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84429.xml.htm"/>
      <w:bookmarkStart w:id="1" w:name="kswkform4_17775844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Jozoff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ANGELO, GORDON &amp; CO.,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 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Mortgage Investment Trust, Inc.</w:t>
              </w:r>
            </w:hyperlink>
            <w:r>
              <w:rPr/>
              <w:t xml:space="preserve"> [ </w:t>
            </w:r>
            <w:r>
              <w:rPr>
                <w:rFonts w:ascii="Times;serif" w:hAnsi="Times;serif"/>
                <w:color w:val="0000FF"/>
                <w:sz w:val="24"/>
                <w:shd w:fill="FFFFFF" w:val="clear"/>
              </w:rPr>
              <w:t>MITT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100,186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to the reporting person in accordance with the Issuer's independent director compensation policy. The granted shares represent (1) 769 shares that are fully vested but may not be sold or transferred during the reporting person's term of service on the Issuer's Board of Directors, and (2) 12,210 shares that will vest on the one-year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B. Neslin, Attorney-in-Fact for Matthew Jozoff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7752" TargetMode="External"/><Relationship Id="rId5" Type="http://schemas.openxmlformats.org/officeDocument/2006/relationships/hyperlink" Target="http://www.sec.gov/cgi-bin/browse-edgar?action=getcompany&amp;CIK=0001514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3421</Characters>
  <CharactersWithSpaces>3994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