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0699.xml.htm"/>
      <w:bookmarkStart w:id="1" w:name="kswkform4_17751606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Hurley Dianne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ANGELO, GORDON &amp; CO.,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 26TH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Mortgage Investment Trust, Inc.</w:t>
              </w:r>
            </w:hyperlink>
            <w:r>
              <w:rPr/>
              <w:t xml:space="preserve"> [ </w:t>
            </w:r>
            <w:r>
              <w:rPr>
                <w:rFonts w:ascii="Times;serif" w:hAnsi="Times;serif"/>
                <w:color w:val="0000FF"/>
                <w:sz w:val="24"/>
                <w:shd w:fill="FFFFFF" w:val="clear"/>
              </w:rPr>
              <w:t>MITT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to the reporting person in accordance with the Issuer's independent director compensation policy. The restricted shares are fully vested, but may not be sold or transferred during the reporting person's term of service on the Issuer's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Jenny B. Neslin, Attorney-in-Fact for Dianne Hurley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018" TargetMode="External"/><Relationship Id="rId5" Type="http://schemas.openxmlformats.org/officeDocument/2006/relationships/hyperlink" Target="http://www.sec.gov/cgi-bin/browse-edgar?action=getcompany&amp;CIK=0001514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3327</Characters>
  <CharactersWithSpaces>3880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