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8.jpeg" ContentType="image/jpeg"/>
  <Override PartName="/word/media/image10.jpeg" ContentType="image/jpeg"/>
  <Override PartName="/word/media/image16.jpeg" ContentType="image/jpeg"/>
  <Override PartName="/word/media/image15.jpeg" ContentType="image/jpeg"/>
  <Override PartName="/word/media/image14.jpeg" ContentType="image/jpeg"/>
  <Override PartName="/word/media/image1.png" ContentType="image/png"/>
  <Override PartName="/word/media/image3.jpeg" ContentType="image/jpeg"/>
  <Override PartName="/word/media/image2.png" ContentType="image/pn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Date of Report (Date of earliest event reported):</w:t>
      </w:r>
      <w:r>
        <w:rPr>
          <w:color w:val="000000"/>
        </w:rPr>
        <w:t xml:space="preserve"> </w:t>
      </w:r>
      <w:r>
        <w:rPr>
          <w:rFonts w:ascii="Times New Roman;serif" w:hAnsi="Times New Roman;serif"/>
          <w:b w:val="false"/>
          <w:color w:val="000000"/>
          <w:sz w:val="20"/>
        </w:rPr>
        <w:t>August 9, 2026</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TPG Mortgage Investment Trust,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707" w:type="dxa"/>
        <w:jc w:val="center"/>
        <w:tblInd w:w="0" w:type="dxa"/>
        <w:tblLayout w:type="fixed"/>
        <w:tblCellMar>
          <w:top w:w="28" w:type="dxa"/>
          <w:left w:w="28" w:type="dxa"/>
          <w:bottom w:w="28" w:type="dxa"/>
          <w:right w:w="28" w:type="dxa"/>
        </w:tblCellMar>
      </w:tblPr>
      <w:tblGrid>
        <w:gridCol w:w="1148"/>
        <w:gridCol w:w="1011"/>
        <w:gridCol w:w="1020"/>
        <w:gridCol w:w="662"/>
        <w:gridCol w:w="662"/>
        <w:gridCol w:w="670"/>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001-35151</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27-5254382</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245 Park Avenue, 26th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10167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(212) 692-2000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center"/>
        <w:tblInd w:w="0" w:type="dxa"/>
        <w:tblLayout w:type="fixed"/>
        <w:tblCellMar>
          <w:top w:w="28" w:type="dxa"/>
          <w:left w:w="28" w:type="dxa"/>
          <w:bottom w:w="28" w:type="dxa"/>
          <w:right w:w="28" w:type="dxa"/>
        </w:tblCellMar>
      </w:tblPr>
      <w:tblGrid>
        <w:gridCol w:w="1954"/>
        <w:gridCol w:w="1299"/>
        <w:gridCol w:w="1281"/>
        <w:gridCol w:w="195"/>
        <w:gridCol w:w="195"/>
        <w:gridCol w:w="195"/>
        <w:gridCol w:w="431"/>
        <w:gridCol w:w="431"/>
        <w:gridCol w:w="432"/>
        <w:gridCol w:w="195"/>
        <w:gridCol w:w="195"/>
        <w:gridCol w:w="195"/>
        <w:gridCol w:w="667"/>
        <w:gridCol w:w="549"/>
        <w:gridCol w:w="490"/>
        <w:gridCol w:w="536"/>
        <w:gridCol w:w="396"/>
        <w:gridCol w:w="569"/>
      </w:tblGrid>
      <w:tr>
        <w:trPr/>
        <w:tc>
          <w:tcPr>
            <w:tcW w:w="195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 Series A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PrA</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 Series B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PrB</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8.000% Series C Fixed-to-Floating Rate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PrC</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9.500% Senior Notes due 2029</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MITN</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9.500% Senior Notes due 2029</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MITP</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Merger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10, 2026, TPG Mortgage Investment Trust, Inc., a Maryland corporation (“MITT”), announced it entered into an Agreement and Plan of Merger, dated as of August 9, 2026 (the “Merger Agreement”), with Cherry Hill Mortgage Investment Corporation, a Maryland corporation (“CHMI”), Cherry Hill Operating Partnership, LP ("CHOP"), a Delaware limited partnership, MIT Merger Sub II, LLC, a Delaware limited liability company and wholly owned subsidiary of MITT (“Merger Sub”), and, solely for the limited purposes set forth in the Merger Agreement, AG REIT Management, LLC, a Delaware limited liability company (“MITT Manager”). Pursuant to, and subject to the terms and conditions set forth in, the Merger Agreement, CHMI will merge with and into Merger Sub, with Merger Sub surviving (the “Merger”).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terms of the Merger Agreement, at the effective time of the Merger (the “Effective Time”), each outstanding share of CHMI common stock will be converted into the right to receive the following (the “Per Share Merger Consideration”): (1)(a) 0.3063 shares of MITT common stock pursuant to a fixed exchange ratio and (b) $0.41 per share in cash, without interest, from MITT; and (2) $0.52 per share in cash from MITT Manager (acting solely on its own behalf), as additional consideration. In addition, each share of CHMI 8.20% Series A Cumulative Redeemable Preferred Stock outstanding immediately prior to the Effective Time shall be converted into the right to receive one newly issued share of MITT 8.20% Series D Cumulative Redeemable Preferred Stock (“MITT Series D Preferred Stock”). Also, each share of CHMI 8.250% Series B Fixed-to-Floating Rate Cumulative Redeemable Preferred Stock outstanding immediately prior to the Effective Time shall automatically be converted into the right to receive one newly issued share of MITT Series E Floating Rate Cumulative Redeemable Preferred Stock (“MITT Series E Preferred Stock”). The MITT Series D Preferred Stock and MITT Series E Preferred Stock shall have the rights, preferences, privileges and voting powers substantially the same as those of the CHMI Series A Preferred Stock and CHMI Series B Preferred Stock,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Merger Agreement, each outstanding CHMI restricted stock award, restricted stock unit award and performance stock unit award (each, a “CHMI Equity Award”) will vest in full immediately prior to the Effective Time and settle in shares of CHMI common stock. Each outstanding CHOP LTIP unit (vested and unvested) will be converted to shares of CHMI common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obligation of each party to consummate the Merger is subject to a number of conditions, including, among others, (a) the approval of the Merger and the Merger Agreement by the affirmative vote of the holders of a majority of the outstanding shares of CHMI common stock entitled to vote on such matters (the “CHMI Stockholder Approval”), (b) the approval of the issuance of MITT common stock pursuant to the Merger Agreement by the affirmative vote of a majority of the votes cast by the holders of the outstanding shares of MITT common stock at the meeting of the stockholders of MITT (the “MITT Stockholder Approval”), (c) the Registration Statement (as defined below) being declared effective by the SEC, (d) the listing on the NYSE of the shares of MITT common stock, MITT Series D Preferred Stock and MITT Series E Preferred Stock that will be issued in connection with the Merger, (e) the representations and warranties of each of the parties being true and correct, subject to the materiality standards contained in the Merger Agreement, (f) each party’s compliance in all material respects with their respective covenants and agreements set forth in the Merger Agreement, (g) the absence of a material adverse effect with respect to either MITT or CHMI, (h) the delivery of certain tax opinions, documents and certificates, and (i) obtaining certain regulatory approvals arising in connection with the proposed transaction.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Merger Agreement contains customary representations, warranties and covenants by the parties. The representations and warranties of the parties are subject to certain important qualifications and limitations set forth in confidential disclosure letters delivered by MITT, on the one hand, and CHMI, on the other hand, and were made solely for purposes of the Merger Agreement. The representations and warranties are subject to a contractual standard of materiality that may be different from what may be viewed as material to stockholders, and the representations and warranties are primarily intended to establish circumstances in which either of the parties may not be obligated to consummate the Merger, rather than establishing matters as facts. In addition, the Merger Agreement provides that each of MITT and CHMI will, until the Effective Time, use commercially reasonable efforts to operate their respective businesses in all material respects in the ordinary course, preserve substantially intact its current business organization and preserve key business relationships, and maintain all material permits, registrations, licenses and the like. Each of MITT and CHMI is subject to restrictions as specified in the Merger Agreement on certain actions each company may take prior to the Effective Time, including related to amending organizational documents, declaring dividends, issuing or repurchasing capital stock, engaging in certain business transactions and incurring indebtedness.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provides for reciprocal “no-shop” provisions, which prohibit each of MITT, CHMI and their respective subsidiaries from, among other things, (a) initiating, soliciting or knowingly encouraging or facilitating the making of a competing proposal, or (b) engaging in, continuing, or otherwise participating in discussions or negotiations regarding, or furnishing to any other person any information for the purpose of encouraging or facilitating, a competing proposal. The no-shop provisions are subject to certain exceptions as more fully described in the Merger Agreement, including the ability of MITT or CHMI to engage in certain of the foregoing activities under certain circumstances in the event that it receives a bona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fide, competing proposal that is, or would reasonably be expected to lead to, a “superior proposal,” that did not result from a material breach of the foregoing restrictions. CHMI and MITT also may not enter into a letter of intent or agreement in principle or other agreement providing for a competing proposal or effect a change of recommendation.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any time prior to obtaining the requisite stockholder approval, under certain specified circumstances, the board of directors of each of MITT and CHMI may change its recommendation to its stockholders regarding the Merger (with respect to the CHMI board of directors) or the issuance of shares of MITT common stock (with respect to the MITT board of directors), if such board of directors (i) determines in good faith after consulting with its outside legal counsel and independent financial advisor that the failure to do so would reasonably be expected to be inconsistent with such board of directors’ fiduciary duties under applicable law (outside the context of a competing proposal, which is addressed in the following prong (ii)) or (ii) in response to a bona fide unsolicited written competing proposal that such board of directors has determined in good faith (after consultation with its legal and financial advisors) is a “superior proposal,” provided the party intending to make the change of recommendation complies with the procedures set forth in the Merger Agreement.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Merger Agreement contains certain termination rights for both MITT and CHMI, including if there is a failure to complete the Merger on or before March 9, 2027 </w:t>
      </w:r>
      <w:r>
        <w:rPr>
          <w:rFonts w:ascii="Times New Roman;serif" w:hAnsi="Times New Roman;serif"/>
          <w:b w:val="false"/>
          <w:color w:val="000000"/>
          <w:sz w:val="20"/>
        </w:rPr>
        <w:t>(provided that such date shall be extended to May 9, 2027, if on such earlier date, the parties have not received certain required regulatory approvals)</w:t>
      </w:r>
      <w:r>
        <w:rPr>
          <w:rFonts w:ascii="Times New Roman;serif" w:hAnsi="Times New Roman;serif"/>
          <w:b w:val="false"/>
          <w:color w:val="000000"/>
          <w:sz w:val="20"/>
          <w:shd w:fill="FFFFFF" w:val="clear"/>
        </w:rPr>
        <w:t>, a failure to obtain the MITT Stockholder Approval or the CHMI Stockholder Approval, a change of recommendation of the other party’s board of directors, acceptance of a superior proposal, or uncured breaches of the Merger Agreement by the other party. In the event of a termination of the Merger Agreement under certain circumstances, including a change of recommendation or the acceptance of a superior proposal, MITT or CHMI, as applicable, would be required to pay the other party a termination fee of, in the case of payment by CHMI, $4,700,000</w:t>
      </w:r>
      <w:r>
        <w:rPr>
          <w:color w:val="000000"/>
        </w:rPr>
        <w:t xml:space="preserve"> </w:t>
      </w:r>
      <w:r>
        <w:rPr>
          <w:rFonts w:ascii="Times New Roman;serif" w:hAnsi="Times New Roman;serif"/>
          <w:b w:val="false"/>
          <w:color w:val="000000"/>
          <w:sz w:val="20"/>
          <w:shd w:fill="FFFFFF" w:val="clear"/>
        </w:rPr>
        <w:t>and, in the case of payment by MITT, $</w:t>
      </w:r>
      <w:r>
        <w:rPr>
          <w:rFonts w:ascii="Times New Roman;serif" w:hAnsi="Times New Roman;serif"/>
          <w:b w:val="false"/>
          <w:color w:val="000000"/>
          <w:sz w:val="20"/>
        </w:rPr>
        <w:t>7,990,000</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Merger Agreement, MITT has agreed to take all necessary corporate action so that upon and after the Effective Time, the size of the MITT board of directors is increased by two members, and the members of the CHMI board of directors designated by CHMI to serve on the MITT board of directors (“CHMI Director Designees”) are appointed to the MITT board of directors. MITT has further agreed to nominate the CHMI Director Designees to the MITT board of directors at the next annual meeting following the Effective Time.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Merger Agreement and the transactions contemplated thereby does not purport to be complete and is qualified in its entirety by reference to the full text of the Merger Agreement, which is filed as Exhibit 2.1 to this Current Report on Form 8-K and is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Voting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AG MIT, LLC, a subsidiary of MITT (the “Voting Party”), also entered into a Voting and Support Agreement with CHMI (the “Voting Agreement”). Pursuant to the Voting Agreement, among other things, the Voting Party agreed to vote all shares of CHMI common stock owned of record or beneficially held by the Voting Party, consisting of 734,800 shares (the “Voting Shares”), in favor of (a) (i) the approval of the Merger Agreement and the Merger and (ii) any proposal to adjourn, recess or postpone the CHMI stockholders meeting to solicit additional proxies if there are not sufficient votes to approve the matters referred to in clause (i); and (b) against any alternative CHMI acquisition proposal. Notwithstanding the foregoing, (A) if the CHMI board of directors has made a CHMI change of recommendation in compliance with the Merger Agreement, then the Voting Party shall not be required to vote or cause to be voted the Voting Shares in favor of the matters described in clauses (a) or (b) and (B) the Voting Party shall retain at all times the right to vote and the right to cause the vote of any Voting Shares in the Voting Party’s sole discretion. The Voting Agreement terminates on the earliest to occur of (a) the Effective Time and (b) the termination of the Merger Agreement in accordance with its terms.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Voting Agreement does not purport to be complete and is qualified in its entirety by reference to the full text of the Voting Agreement, which is filed as Exhibit 10.1 to this Current Report on Form 8-K and is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Amendment to MITT's Management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Contemporaneously with the execution of the Merger Agreement, and in consideration of MITT Manager’s approximate $20 million cash payment to CHMI stockholders in the Merger, MITT and MITT Manager entered into an amendment (the “MITT Management Agreement Amendment”) to the existing MITT Management Agreement, as amended on April 6, 2020, September 24, 2020, November 22, 2021, and August 8, 2023 (as amended, the “Existing MITT Management Agreement”). The MITT Management Agreement Amendment will become effective automatically upon the closing of the Merger, and will have no force and effect if the Merger does not close.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rolling four quarter basis, (iv) providing that no incentive fee shall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MITT’s board of directors, shares of MITT’s common stock or a combination of cash and shares, provided that no more than 50% of the incentive fee may be paid in shares of MITT’s common stock without MITT Manager’s consent.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other terms and conditions of the Existing MITT Management Agreement remain substantially the same.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 of the MITT Management Agreement Amendment does not purport to be complete and is qualified in its entirety by reference to the full text of the MITT Management Agreement Amendment, which is filed as Exhibit 10.2 to this Current Report on Form 8-K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10, 2026, MITT and CHMI issued a joint press release announcing the execution of the Merger Agreement. On the same day, MITT made available an investor presentation regarding the Merger. A copy of each of the joint press release and the investor presentation is furnished as Exhibit 99.1 and Exhibit 99.2, respectively, to this Current Report on Form 8-K and each is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Item 7.01 of this Current Report on Form 8-K (including Exhibit 99.1 and Exhibit 99.2) shall not be deemed to be “filed” for the purposes of Section 18 of the Securities Exchange Act of 1934, as amended (the “Exchange Act”), or otherwise subject to the liability of such section, nor shall such information (including Exhibit 99.1 and Exhibit 99.2) be deemed incorporated by reference in any filing under the Securities Act of 1933, as amended (the “Securities Act”), or the Exchange Act, regardless of the general incorporation language of such filing, except as shall be expressly set forth by specific reference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574"/>
        <w:gridCol w:w="2574"/>
        <w:gridCol w:w="364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mitt-8x10x26exhibit21.htm">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8x10x26exhibit21.htm">
              <w:r>
                <w:rPr>
                  <w:rStyle w:val="InternetLink"/>
                  <w:rFonts w:ascii="Times New Roman;serif" w:hAnsi="Times New Roman;serif"/>
                  <w:b w:val="false"/>
                  <w:color w:val="0000FF"/>
                  <w:sz w:val="20"/>
                  <w:u w:val="single"/>
                </w:rPr>
                <w:t>Agreement and Plan of Merger, dated as of August 9, 2026, by and among TPG Mortgage Investment Trust, Inc., MIT Merger Sub II, LLC, Cherry Hill Mortgage Investment Corporation, Cherry Hill Operating Partnership, LP, and, solely for the limited purposes set forth therein, AG REIT Management, LLC*</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tt-81026exhibit101.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81026exhibit101.htm">
              <w:r>
                <w:rPr>
                  <w:rStyle w:val="InternetLink"/>
                  <w:rFonts w:ascii="Times New Roman;serif" w:hAnsi="Times New Roman;serif"/>
                  <w:b w:val="false"/>
                  <w:color w:val="000080"/>
                  <w:sz w:val="20"/>
                  <w:u w:val="single"/>
                </w:rPr>
                <w:t xml:space="preserve">Voting and Support Agreement, dated as of August </w:t>
              </w:r>
            </w:hyperlink>
            <w:hyperlink w:anchor="mitt-81026exhibit101.htm">
              <w:r>
                <w:rPr>
                  <w:rStyle w:val="InternetLink"/>
                  <w:rFonts w:ascii="Times New Roman;serif" w:hAnsi="Times New Roman;serif"/>
                  <w:b w:val="false"/>
                  <w:color w:val="000080"/>
                  <w:sz w:val="20"/>
                  <w:u w:val="single"/>
                </w:rPr>
                <w:t>9</w:t>
              </w:r>
            </w:hyperlink>
            <w:hyperlink w:anchor="mitt-81026exhibit101.htm">
              <w:r>
                <w:rPr>
                  <w:rStyle w:val="InternetLink"/>
                  <w:rFonts w:ascii="Times New Roman;serif" w:hAnsi="Times New Roman;serif"/>
                  <w:b w:val="false"/>
                  <w:color w:val="000080"/>
                  <w:sz w:val="20"/>
                  <w:u w:val="single"/>
                </w:rPr>
                <w:t>, 2026, by and among Cherry Hill Mortgage Investment Corporation and AG MIT, LLC</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tt-exhibit102.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itt-exhibit102.htm">
              <w:r>
                <w:rPr>
                  <w:rStyle w:val="InternetLink"/>
                  <w:rFonts w:ascii="Times New Roman;serif" w:hAnsi="Times New Roman;serif"/>
                  <w:b w:val="false"/>
                  <w:color w:val="000080"/>
                  <w:sz w:val="20"/>
                  <w:u w:val="single"/>
                </w:rPr>
                <w:t xml:space="preserve">Fifth Amendment to Management Agreement, dated as of August </w:t>
              </w:r>
            </w:hyperlink>
            <w:hyperlink w:anchor="mitt-exhibit102.htm">
              <w:r>
                <w:rPr>
                  <w:rStyle w:val="InternetLink"/>
                  <w:rFonts w:ascii="Times New Roman;serif" w:hAnsi="Times New Roman;serif"/>
                  <w:b w:val="false"/>
                  <w:color w:val="000080"/>
                  <w:sz w:val="20"/>
                  <w:u w:val="single"/>
                </w:rPr>
                <w:t>9</w:t>
              </w:r>
            </w:hyperlink>
            <w:hyperlink w:anchor="mitt-exhibit102.htm">
              <w:r>
                <w:rPr>
                  <w:rStyle w:val="InternetLink"/>
                  <w:rFonts w:ascii="Times New Roman;serif" w:hAnsi="Times New Roman;serif"/>
                  <w:b w:val="false"/>
                  <w:color w:val="000080"/>
                  <w:sz w:val="20"/>
                  <w:u w:val="single"/>
                </w:rPr>
                <w:t>, 2026, by and between TPG Mortgage Investment Trust, Inc. and AG REIT Management, LLC</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tt-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tt-exhibit991.htm">
              <w:r>
                <w:rPr>
                  <w:rStyle w:val="InternetLink"/>
                  <w:rFonts w:ascii="Times New Roman;serif" w:hAnsi="Times New Roman;serif"/>
                  <w:b w:val="false"/>
                  <w:color w:val="0000FF"/>
                  <w:sz w:val="20"/>
                  <w:u w:val="single"/>
                </w:rPr>
                <w:t>Joint Press Release, dated August 10,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pgmortgageinvestmenttru.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pgmortgageinvestmenttru.htm">
              <w:r>
                <w:rPr>
                  <w:rStyle w:val="InternetLink"/>
                  <w:rFonts w:ascii="Times New Roman;serif" w:hAnsi="Times New Roman;serif"/>
                  <w:b w:val="false"/>
                  <w:color w:val="0000FF"/>
                  <w:sz w:val="20"/>
                  <w:u w:val="single"/>
                </w:rPr>
                <w:t>Investor Presentation, dated August 10,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Item 601(a)(5) of Regulation S-K, certain schedules have been omitted. MITT agrees to furnish supplementally a copy of any omitted schedule to the SEC upon request.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Important Additional Information and Where to Find It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In connection with the proposed Merger, MITT expects to file with the U.S. Securities and Exchange Commission (the “SEC”) a registration statement on Form S-4 (the “Registration Statement”) that will include a prospectus of MITT and a joint proxy statement of MITT and CHMI (the “joint proxy statement/prospectus”). The joint proxy statement/prospectus will contain important information about MITT, CHMI, the proposed Merger and related matters. MITT and CHMI also expect to file with the SEC other documents regarding the Merger. The Merger will be submitted to the stockholders of CHMI for their consideration. Issuance of MITT stock in the Merger will be submitted to the stockholders of MITT for their consideration. The definitive joint proxy statement/prospectus will be sent to the stockholders of MITT and CHMI, and will contain important information about MITT, CHMI, the proposed Merger and related matters. This communication is not a substitute for any proxy statement, registration statement, tender or exchange offer statement, prospectus or other document MITT or CHMI may file with the SEC in connection with the proposed Merger and related matters. </w:t>
      </w:r>
      <w:r>
        <w:rPr>
          <w:rFonts w:ascii="Times New Roman;serif" w:hAnsi="Times New Roman;serif"/>
          <w:b/>
          <w:color w:val="000000"/>
          <w:sz w:val="20"/>
        </w:rPr>
        <w:t xml:space="preserve">INVESTORS AND SECURITY HOLDERS ARE ADVISED TO READ THE REGISTRATION STATEMENT ON FORM S-4 AND THE RELATED JOINT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PROXY STATEMENT/PROSPECTUS (INCLUDING ALL AMENDMENTS AND SUPPLEMENTS THERETO) AND OTHER RELEVANT DOCUMENTS FILED BY MITT AND CHMI WITH THE SEC CAREFULLY AND IN THEIR ENTIRETY IF AND WHEN THEY BECOME AVAILABLE BECAUSE THEY WILL CONTAIN IMPORTANT INFORMATION ABOUT MITT, CHMI AND THE PROPOSED MERGER.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Investors and security holders may obtain copies of these documents free of charge (if and when they become available) through the website maintained by the SEC at www.sec.gov. Copies of the documents filed by MITT with the SEC are also available free of charge on MITT’s website at www.mitt.tpg.com. Copies of the documents filed by CHMI with the SEC are also available free of charge on CHMI’s website at www.chmireit.com.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Participants in the Solicitation Relating to the Merger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MITT, CHMI and certain of their respective directors and executive officers and certain other affiliates of MITT and CHMI may be deemed to be participants in the solicitation of proxies from the common stockholders of CHMI and MITT in respect of the proposed Merger. Information regarding CHMI and its directors and executive officers and their ownership of common stock of CHMI can be found in CHMI’s Annual Report on Form 10-K for the fiscal year ended December 31, 2025, filed with the SEC on March 5, 2026, and in its definitive proxy statement relating to its 2026 annual meeting of stockholders, filed with the SEC on April 21, 2026. Information regarding MITT and its directors and executive officers and their ownership of common stock of MITT can be found in MITT’s Annual Report on Form 10-K for the fiscal year ended December 31, 2025, filed with the SEC on February 25, 2026, and in its definitive proxy statement relating to its 2026 annual meeting of stockholders, filed with the SEC on March 16, 2026. Additional information regarding the interests of such participants in the Merger will be included in the joint proxy statement/prospectus and other relevant documents relating to the proposed Merger when they are filed with the SEC. These documents are available free of charge on the SEC’s website and from MITT or CHMI, as applicable, using the sources indicated above.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This communication may be deemed to be solicitation material in respect of the proposed Merger.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Current Report on Form 8-K contains certain “forward-looking” statements within the meaning of Section 27A of the Securities Act and Section 21E of the Exchange Act, as amended. MITT and CHMI intend such forward-looking statements to be covered by the safe harbor provisions for forward-looking statements contained in the Private Securities Litigation Reform Act of 1995 and include this statement for purposes of complying with the safe harbor provisions. Words such as “expects,” “anticipates,” “intends,” “plans,” “believes,” “seeks,” “will,” “should,” “may,” “projects,” “could,” “estimates” or variations of such words and other similar expressions are intended to identify such forward-looking statements, which generally are not historical in nature, but not all forward-looking statements include such identifying words. Forward-looking statements regarding MITT and CHMI include, but are not limited to, statements related to the proposed Merger, including the anticipated timing, benefits and financial and operational impact thereof; other statements of management’s belief, intentions or goals;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MITT’s and CHMI’s ability to complete the proposed Merger on the proposed terms or on the anticipated timeline, or at all, including risks and uncertainties related to securing the necessary stockholder approval from CHMI’s and MITT’s respective stockholders and satisfaction of other closing conditions to consummate the proposed Merger; the occurrence of any event, change or other circumstance that could give rise to the termination of the Merger Agreement; risks related to diverting the attention of MITT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MITT’s and CHMI’s respective businesses will not be integrated successfully or that such integration may be more difficult, time-consuming or costly than expected; and effects relating to the announcement of the proposed Merger or any further announcements or the consummation of the proposed Merger on the market price of MITT’s or CHMI’s common stock. Additional risks and uncertainties related to MITT’s and CHMI’s business are included under the headings “Forward-Looking Statements” and “Risk Factors” in MITT’s and CHMI’s Annual Report on Form 10-K for the year ended December 31, 2025, and in other reports and documents filed by either company with the SEC from time to time. Moreover, other risks and uncertainties of which MITT or CHMI are not currently aware may also affect each of the companies’ forward-looking statements and may cause actual results and the timing of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differ materially from those anticipated. The forward-looking statements made in this communication are made only as of the date hereof or as of the dates indicated in the forward-looking statements, even if they are subsequently made available by MITT or CHMI on their respective websites or otherwise. Neither MITT nor CHMI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74" w:type="dxa"/>
        <w:jc w:val="left"/>
        <w:tblInd w:w="0" w:type="dxa"/>
        <w:tblLayout w:type="fixed"/>
        <w:tblCellMar>
          <w:top w:w="28" w:type="dxa"/>
          <w:left w:w="28" w:type="dxa"/>
          <w:bottom w:w="28" w:type="dxa"/>
          <w:right w:w="28" w:type="dxa"/>
        </w:tblCellMar>
      </w:tblPr>
      <w:tblGrid>
        <w:gridCol w:w="705"/>
        <w:gridCol w:w="621"/>
        <w:gridCol w:w="624"/>
        <w:gridCol w:w="630"/>
        <w:gridCol w:w="630"/>
        <w:gridCol w:w="630"/>
        <w:gridCol w:w="915"/>
        <w:gridCol w:w="915"/>
        <w:gridCol w:w="130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5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MORTGAGE INVESTMENT TRUST,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JENNY B. NESLIN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Jenny B. Neslin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 and Secretary</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shd w:fill="FFFFFF" w:val="clear"/>
        </w:rPr>
      </w:pPr>
      <w:r>
        <w:rPr>
          <w:rFonts w:ascii="Times New Roman;serif" w:hAnsi="Times New Roman;serif"/>
          <w:b/>
          <w:color w:val="000000"/>
          <w:sz w:val="22"/>
          <w:shd w:fill="FFFFFF" w:val="clear"/>
        </w:rPr>
        <w:t>Exhibit 2.1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shd w:fill="FFFFFF" w:val="clear"/>
        </w:rPr>
      </w:pPr>
      <w:r>
        <w:rPr>
          <w:rFonts w:ascii="Times New Roman;serif" w:hAnsi="Times New Roman;serif"/>
          <w:b/>
          <w:color w:val="000000"/>
          <w:sz w:val="22"/>
          <w:shd w:fill="FFFFFF" w:val="clear"/>
        </w:rPr>
        <w:t>EXECUTION VERSION</w:t>
      </w:r>
    </w:p>
    <w:p>
      <w:pPr>
        <w:pStyle w:val="TextBody"/>
        <w:bidi w:val="0"/>
        <w:spacing w:before="0" w:after="0"/>
        <w:jc w:val="left"/>
        <w:rPr/>
      </w:pPr>
      <w:r>
        <w:rPr/>
      </w:r>
    </w:p>
    <w:p>
      <w:pPr>
        <w:pStyle w:val="TextBody"/>
        <w:bidi w:val="0"/>
        <w:spacing w:before="200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lineRule="auto" w:line="240" w:before="240" w:after="240"/>
        <w:jc w:val="center"/>
        <w:rPr>
          <w:rFonts w:ascii="Times New Roman;serif" w:hAnsi="Times New Roman;serif"/>
          <w:b w:val="false"/>
          <w:color w:val="000000"/>
          <w:sz w:val="24"/>
        </w:rPr>
      </w:pPr>
      <w:r>
        <w:rPr>
          <w:rFonts w:ascii="Times New Roman;serif" w:hAnsi="Times New Roman;serif"/>
          <w:b w:val="false"/>
          <w:color w:val="000000"/>
          <w:sz w:val="24"/>
        </w:rPr>
        <w:t>AGREEMENT AND PLAN OF MERGER</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by and among</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MIT MERGER SUB II, LLC,</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CHERRY HILL OPERATING PARTNERSHIP, LP</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 solely for the limited purposes set forth herein,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AG REIT MANAGEMENT, LLC</w:t>
      </w:r>
    </w:p>
    <w:p>
      <w:pPr>
        <w:pStyle w:val="TextBody"/>
        <w:bidi w:val="0"/>
        <w:spacing w:before="240" w:after="720"/>
        <w:jc w:val="center"/>
        <w:rPr/>
      </w:pPr>
      <w:r>
        <w:rPr/>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Dated as of August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OF CONTENTS</w:t>
      </w:r>
    </w:p>
    <w:p>
      <w:pPr>
        <w:pStyle w:val="TextBody"/>
        <w:bidi w:val="0"/>
        <w:spacing w:lineRule="auto" w:line="288" w:before="0" w:after="240"/>
        <w:jc w:val="right"/>
        <w:rPr>
          <w:rFonts w:ascii="Times New Roman;serif" w:hAnsi="Times New Roman;serif"/>
          <w:b/>
          <w:color w:val="000000"/>
          <w:sz w:val="24"/>
          <w:shd w:fill="FFFFFF" w:val="clear"/>
        </w:rPr>
      </w:pPr>
      <w:r>
        <w:rPr>
          <w:rFonts w:ascii="Times New Roman;serif" w:hAnsi="Times New Roman;serif"/>
          <w:b/>
          <w:color w:val="000000"/>
          <w:sz w:val="24"/>
          <w:shd w:fill="FFFFFF" w:val="clear"/>
        </w:rPr>
        <w:t>Page</w:t>
      </w:r>
    </w:p>
    <w:tbl>
      <w:tblPr>
        <w:tblW w:w="10205" w:type="dxa"/>
        <w:jc w:val="left"/>
        <w:tblInd w:w="0" w:type="dxa"/>
        <w:tblLayout w:type="fixed"/>
        <w:tblCellMar>
          <w:top w:w="28" w:type="dxa"/>
          <w:left w:w="28" w:type="dxa"/>
          <w:bottom w:w="28" w:type="dxa"/>
          <w:right w:w="28" w:type="dxa"/>
        </w:tblCellMar>
      </w:tblPr>
      <w:tblGrid>
        <w:gridCol w:w="3635"/>
        <w:gridCol w:w="3016"/>
        <w:gridCol w:w="3034"/>
        <w:gridCol w:w="151"/>
        <w:gridCol w:w="151"/>
        <w:gridCol w:w="218"/>
      </w:tblGrid>
      <w:tr>
        <w:trPr/>
        <w:tc>
          <w:tcPr>
            <w:tcW w:w="3635"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ba7d8a2a3440a28f288c23e6347a6e">
              <w:r>
                <w:rPr>
                  <w:rStyle w:val="InternetLink"/>
                  <w:rFonts w:ascii="Times New Roman;serif" w:hAnsi="Times New Roman;serif"/>
                  <w:b w:val="false"/>
                  <w:strike w:val="false"/>
                  <w:dstrike w:val="false"/>
                  <w:color w:val="000000"/>
                  <w:sz w:val="24"/>
                  <w:u w:val="none"/>
                  <w:effect w:val="none"/>
                </w:rPr>
                <w:t>Article I    </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ba7d8a2a3440a28f288c23e6347a6e">
              <w:r>
                <w:rPr>
                  <w:rStyle w:val="InternetLink"/>
                  <w:rFonts w:ascii="Times New Roman;serif" w:hAnsi="Times New Roman;serif"/>
                  <w:b w:val="false"/>
                  <w:strike w:val="false"/>
                  <w:dstrike w:val="false"/>
                  <w:color w:val="000000"/>
                  <w:sz w:val="24"/>
                  <w:u w:val="none"/>
                  <w:effect w:val="none"/>
                </w:rPr>
                <w:t>-2-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1017d79d3e4f6da54c213b420eeb8f">
              <w:r>
                <w:rPr>
                  <w:rStyle w:val="InternetLink"/>
                  <w:rFonts w:ascii="Times New Roman;serif" w:hAnsi="Times New Roman;serif"/>
                  <w:b w:val="false"/>
                  <w:strike w:val="false"/>
                  <w:dstrike w:val="false"/>
                  <w:color w:val="000000"/>
                  <w:sz w:val="24"/>
                  <w:u w:val="none"/>
                  <w:effect w:val="none"/>
                </w:rPr>
                <w:t>DEFINITIONS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1017d79d3e4f6da54c213b420eeb8f">
              <w:r>
                <w:rPr>
                  <w:rStyle w:val="InternetLink"/>
                  <w:rFonts w:ascii="Times New Roman;serif" w:hAnsi="Times New Roman;serif"/>
                  <w:b w:val="false"/>
                  <w:strike w:val="false"/>
                  <w:dstrike w:val="false"/>
                  <w:color w:val="000000"/>
                  <w:sz w:val="24"/>
                  <w:u w:val="none"/>
                  <w:effect w:val="none"/>
                </w:rPr>
                <w:t>-2-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96d18b7da6d42cbac2c8104383f80cb">
              <w:r>
                <w:rPr>
                  <w:rStyle w:val="InternetLink"/>
                  <w:rFonts w:ascii="Times New Roman;serif" w:hAnsi="Times New Roman;serif"/>
                  <w:b w:val="false"/>
                  <w:strike w:val="false"/>
                  <w:dstrike w:val="false"/>
                  <w:color w:val="000000"/>
                  <w:sz w:val="24"/>
                  <w:u w:val="none"/>
                  <w:effect w:val="none"/>
                </w:rPr>
                <w:t>1.1.    Definitions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6d18b7da6d42cbac2c8104383f80cb">
              <w:r>
                <w:rPr>
                  <w:rStyle w:val="InternetLink"/>
                  <w:rFonts w:ascii="Times New Roman;serif" w:hAnsi="Times New Roman;serif"/>
                  <w:b w:val="false"/>
                  <w:strike w:val="false"/>
                  <w:dstrike w:val="false"/>
                  <w:color w:val="000000"/>
                  <w:sz w:val="24"/>
                  <w:u w:val="none"/>
                  <w:effect w:val="none"/>
                </w:rPr>
                <w:t>-2-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fe0adb0e754cc8b3ab2c97a5a32304">
              <w:r>
                <w:rPr>
                  <w:rStyle w:val="InternetLink"/>
                  <w:rFonts w:ascii="Times New Roman;serif" w:hAnsi="Times New Roman;serif"/>
                  <w:b w:val="false"/>
                  <w:strike w:val="false"/>
                  <w:dstrike w:val="false"/>
                  <w:color w:val="000000"/>
                  <w:sz w:val="24"/>
                  <w:u w:val="none"/>
                  <w:effect w:val="none"/>
                </w:rPr>
                <w:t>Article II    </w:t>
                <w:br/>
                <w:br/>
                <w:t>MERGERS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fe0adb0e754cc8b3ab2c97a5a32304">
              <w:r>
                <w:rPr>
                  <w:rStyle w:val="InternetLink"/>
                  <w:rFonts w:ascii="Times New Roman;serif" w:hAnsi="Times New Roman;serif"/>
                  <w:b w:val="false"/>
                  <w:strike w:val="false"/>
                  <w:dstrike w:val="false"/>
                  <w:color w:val="000000"/>
                  <w:sz w:val="24"/>
                  <w:u w:val="none"/>
                  <w:effect w:val="none"/>
                </w:rPr>
                <w:t>-21-</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eb81df00f6e4bc09a3f8db5f8334542">
              <w:r>
                <w:rPr>
                  <w:rStyle w:val="InternetLink"/>
                  <w:rFonts w:ascii="Times New Roman;serif" w:hAnsi="Times New Roman;serif"/>
                  <w:b w:val="false"/>
                  <w:strike w:val="false"/>
                  <w:dstrike w:val="false"/>
                  <w:color w:val="000000"/>
                  <w:sz w:val="24"/>
                  <w:u w:val="none"/>
                  <w:effect w:val="none"/>
                </w:rPr>
                <w:t>2.1.    Mergers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b81df00f6e4bc09a3f8db5f8334542">
              <w:r>
                <w:rPr>
                  <w:rStyle w:val="InternetLink"/>
                  <w:rFonts w:ascii="Times New Roman;serif" w:hAnsi="Times New Roman;serif"/>
                  <w:b w:val="false"/>
                  <w:strike w:val="false"/>
                  <w:dstrike w:val="false"/>
                  <w:color w:val="000000"/>
                  <w:sz w:val="24"/>
                  <w:u w:val="none"/>
                  <w:effect w:val="none"/>
                </w:rPr>
                <w:t>-21-</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b5a4c1067424d298a41387609fd470f">
              <w:r>
                <w:rPr>
                  <w:rStyle w:val="InternetLink"/>
                  <w:rFonts w:ascii="Times New Roman;serif" w:hAnsi="Times New Roman;serif"/>
                  <w:b w:val="false"/>
                  <w:strike w:val="false"/>
                  <w:dstrike w:val="false"/>
                  <w:color w:val="000000"/>
                  <w:sz w:val="24"/>
                  <w:u w:val="none"/>
                  <w:effect w:val="none"/>
                </w:rPr>
                <w:t>2.2.    Closing</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5a4c1067424d298a41387609fd470f">
              <w:r>
                <w:rPr>
                  <w:rStyle w:val="InternetLink"/>
                  <w:rFonts w:ascii="Times New Roman;serif" w:hAnsi="Times New Roman;serif"/>
                  <w:b w:val="false"/>
                  <w:strike w:val="false"/>
                  <w:dstrike w:val="false"/>
                  <w:color w:val="000000"/>
                  <w:sz w:val="24"/>
                  <w:u w:val="none"/>
                  <w:effect w:val="none"/>
                </w:rPr>
                <w:t>-22-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3a42c7a690b40f18593aa7c576f9d45">
              <w:r>
                <w:rPr>
                  <w:rStyle w:val="InternetLink"/>
                  <w:rFonts w:ascii="Times New Roman;serif" w:hAnsi="Times New Roman;serif"/>
                  <w:b w:val="false"/>
                  <w:strike w:val="false"/>
                  <w:dstrike w:val="false"/>
                  <w:color w:val="000000"/>
                  <w:sz w:val="24"/>
                  <w:u w:val="none"/>
                  <w:effect w:val="none"/>
                </w:rPr>
                <w:t>2.3.    Effective Times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42c7a690b40f18593aa7c576f9d45">
              <w:r>
                <w:rPr>
                  <w:rStyle w:val="InternetLink"/>
                  <w:rFonts w:ascii="Times New Roman;serif" w:hAnsi="Times New Roman;serif"/>
                  <w:b w:val="false"/>
                  <w:strike w:val="false"/>
                  <w:dstrike w:val="false"/>
                  <w:color w:val="000000"/>
                  <w:sz w:val="24"/>
                  <w:u w:val="none"/>
                  <w:effect w:val="none"/>
                </w:rPr>
                <w:t>-22-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57cf9b831b148beb86c80a9eb70bee5">
              <w:r>
                <w:rPr>
                  <w:rStyle w:val="InternetLink"/>
                  <w:rFonts w:ascii="Times New Roman;serif" w:hAnsi="Times New Roman;serif"/>
                  <w:b w:val="false"/>
                  <w:strike w:val="false"/>
                  <w:dstrike w:val="false"/>
                  <w:color w:val="000000"/>
                  <w:sz w:val="24"/>
                  <w:u w:val="none"/>
                  <w:effect w:val="none"/>
                </w:rPr>
                <w:t>2.4.    Effects of the Mergers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7cf9b831b148beb86c80a9eb70bee5">
              <w:r>
                <w:rPr>
                  <w:rStyle w:val="InternetLink"/>
                  <w:rFonts w:ascii="Times New Roman;serif" w:hAnsi="Times New Roman;serif"/>
                  <w:b w:val="false"/>
                  <w:strike w:val="false"/>
                  <w:dstrike w:val="false"/>
                  <w:color w:val="000000"/>
                  <w:sz w:val="24"/>
                  <w:u w:val="none"/>
                  <w:effect w:val="none"/>
                </w:rPr>
                <w:t>-22-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0f14ddf719944269908dce82b3a1cac">
              <w:r>
                <w:rPr>
                  <w:rStyle w:val="InternetLink"/>
                  <w:rFonts w:ascii="Times New Roman;serif" w:hAnsi="Times New Roman;serif"/>
                  <w:b w:val="false"/>
                  <w:strike w:val="false"/>
                  <w:dstrike w:val="false"/>
                  <w:color w:val="000000"/>
                  <w:sz w:val="24"/>
                  <w:u w:val="none"/>
                  <w:effect w:val="none"/>
                </w:rPr>
                <w:t>2.5.    Organizational Documents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14ddf719944269908dce82b3a1cac">
              <w:r>
                <w:rPr>
                  <w:rStyle w:val="InternetLink"/>
                  <w:rFonts w:ascii="Times New Roman;serif" w:hAnsi="Times New Roman;serif"/>
                  <w:b w:val="false"/>
                  <w:strike w:val="false"/>
                  <w:dstrike w:val="false"/>
                  <w:color w:val="000000"/>
                  <w:sz w:val="24"/>
                  <w:u w:val="none"/>
                  <w:effect w:val="none"/>
                </w:rPr>
                <w:t>-23-</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6c7d6288db24cbb81e0d7569b9555ae">
              <w:r>
                <w:rPr>
                  <w:rStyle w:val="InternetLink"/>
                  <w:rFonts w:ascii="Times New Roman;serif" w:hAnsi="Times New Roman;serif"/>
                  <w:b w:val="false"/>
                  <w:strike w:val="false"/>
                  <w:dstrike w:val="false"/>
                  <w:color w:val="000000"/>
                  <w:sz w:val="24"/>
                  <w:u w:val="none"/>
                  <w:effect w:val="none"/>
                </w:rPr>
                <w:t>2.6.    Directors and Officers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c7d6288db24cbb81e0d7569b9555ae">
              <w:r>
                <w:rPr>
                  <w:rStyle w:val="InternetLink"/>
                  <w:rFonts w:ascii="Times New Roman;serif" w:hAnsi="Times New Roman;serif"/>
                  <w:b w:val="false"/>
                  <w:strike w:val="false"/>
                  <w:dstrike w:val="false"/>
                  <w:color w:val="000000"/>
                  <w:sz w:val="24"/>
                  <w:u w:val="none"/>
                  <w:effect w:val="none"/>
                </w:rPr>
                <w:t>-23-</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3b8130574dc439caece0da565e29cc4">
              <w:r>
                <w:rPr>
                  <w:rStyle w:val="InternetLink"/>
                  <w:rFonts w:ascii="Times New Roman;serif" w:hAnsi="Times New Roman;serif"/>
                  <w:b w:val="false"/>
                  <w:strike w:val="false"/>
                  <w:dstrike w:val="false"/>
                  <w:color w:val="000000"/>
                  <w:sz w:val="24"/>
                  <w:u w:val="none"/>
                  <w:effect w:val="none"/>
                </w:rPr>
                <w:t>2.7.    Directors of Parent</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b8130574dc439caece0da565e29cc4">
              <w:r>
                <w:rPr>
                  <w:rStyle w:val="InternetLink"/>
                  <w:rFonts w:ascii="Times New Roman;serif" w:hAnsi="Times New Roman;serif"/>
                  <w:b w:val="false"/>
                  <w:strike w:val="false"/>
                  <w:dstrike w:val="false"/>
                  <w:color w:val="000000"/>
                  <w:sz w:val="24"/>
                  <w:u w:val="none"/>
                  <w:effect w:val="none"/>
                </w:rPr>
                <w:t>-23-</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8d21ac1563947829567903428c46bc9">
              <w:r>
                <w:rPr>
                  <w:rStyle w:val="InternetLink"/>
                  <w:rFonts w:ascii="Times New Roman;serif" w:hAnsi="Times New Roman;serif"/>
                  <w:b w:val="false"/>
                  <w:strike w:val="false"/>
                  <w:dstrike w:val="false"/>
                  <w:color w:val="000000"/>
                  <w:sz w:val="24"/>
                  <w:u w:val="none"/>
                  <w:effect w:val="none"/>
                </w:rPr>
                <w:t>2.8.    Tax Consequences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d21ac1563947829567903428c46bc9">
              <w:r>
                <w:rPr>
                  <w:rStyle w:val="InternetLink"/>
                  <w:rFonts w:ascii="Times New Roman;serif" w:hAnsi="Times New Roman;serif"/>
                  <w:b w:val="false"/>
                  <w:strike w:val="false"/>
                  <w:dstrike w:val="false"/>
                  <w:color w:val="000000"/>
                  <w:sz w:val="24"/>
                  <w:u w:val="none"/>
                  <w:effect w:val="none"/>
                </w:rPr>
                <w:t>-24-</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f269306154d79a58bdabae395df13">
              <w:r>
                <w:rPr>
                  <w:rStyle w:val="InternetLink"/>
                  <w:rFonts w:ascii="Times New Roman;serif" w:hAnsi="Times New Roman;serif"/>
                  <w:b w:val="false"/>
                  <w:strike w:val="false"/>
                  <w:dstrike w:val="false"/>
                  <w:color w:val="000000"/>
                  <w:sz w:val="24"/>
                  <w:u w:val="none"/>
                  <w:effect w:val="none"/>
                </w:rPr>
                <w:t>Article III    </w:t>
                <w:br/>
                <w:br/>
                <w:t>CONVERSION OF SHARES, UNITS AND AWARDS; EXCHANGE</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f269306154d79a58bdabae395df13">
              <w:r>
                <w:rPr>
                  <w:rStyle w:val="InternetLink"/>
                  <w:rFonts w:ascii="Times New Roman;serif" w:hAnsi="Times New Roman;serif"/>
                  <w:b w:val="false"/>
                  <w:strike w:val="false"/>
                  <w:dstrike w:val="false"/>
                  <w:color w:val="000000"/>
                  <w:sz w:val="24"/>
                  <w:u w:val="none"/>
                  <w:effect w:val="none"/>
                </w:rPr>
                <w:t>-24-</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e0bbf658a484b4dacc1220e5fbe3508">
              <w:r>
                <w:rPr>
                  <w:rStyle w:val="InternetLink"/>
                  <w:rFonts w:ascii="Times New Roman;serif" w:hAnsi="Times New Roman;serif"/>
                  <w:b w:val="false"/>
                  <w:strike w:val="false"/>
                  <w:dstrike w:val="false"/>
                  <w:color w:val="000000"/>
                  <w:sz w:val="24"/>
                  <w:u w:val="none"/>
                  <w:effect w:val="none"/>
                </w:rPr>
                <w:t>3.1.    Treatment of Merger Sub Units, Company Common Stock, Company Preferred Stock and Company Equity Awards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bbf658a484b4dacc1220e5fbe3508">
              <w:r>
                <w:rPr>
                  <w:rStyle w:val="InternetLink"/>
                  <w:rFonts w:ascii="Times New Roman;serif" w:hAnsi="Times New Roman;serif"/>
                  <w:b w:val="false"/>
                  <w:strike w:val="false"/>
                  <w:dstrike w:val="false"/>
                  <w:color w:val="000000"/>
                  <w:sz w:val="24"/>
                  <w:u w:val="none"/>
                  <w:effect w:val="none"/>
                </w:rPr>
                <w:t>-24-</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f16751f5453482a861153bb383d6167">
              <w:r>
                <w:rPr>
                  <w:rStyle w:val="InternetLink"/>
                  <w:rFonts w:ascii="Times New Roman;serif" w:hAnsi="Times New Roman;serif"/>
                  <w:b w:val="false"/>
                  <w:strike w:val="false"/>
                  <w:dstrike w:val="false"/>
                  <w:color w:val="000000"/>
                  <w:sz w:val="24"/>
                  <w:u w:val="none"/>
                  <w:effect w:val="none"/>
                </w:rPr>
                <w:t>3.2.    Treatment of Company Partnership Units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6751f5453482a861153bb383d6167">
              <w:r>
                <w:rPr>
                  <w:rStyle w:val="InternetLink"/>
                  <w:rFonts w:ascii="Times New Roman;serif" w:hAnsi="Times New Roman;serif"/>
                  <w:b w:val="false"/>
                  <w:strike w:val="false"/>
                  <w:dstrike w:val="false"/>
                  <w:color w:val="000000"/>
                  <w:sz w:val="24"/>
                  <w:u w:val="none"/>
                  <w:effect w:val="none"/>
                </w:rPr>
                <w:t>-28-</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36c625ac2974117b0ee1e29b79e2054">
              <w:r>
                <w:rPr>
                  <w:rStyle w:val="InternetLink"/>
                  <w:rFonts w:ascii="Times New Roman;serif" w:hAnsi="Times New Roman;serif"/>
                  <w:b w:val="false"/>
                  <w:strike w:val="false"/>
                  <w:dstrike w:val="false"/>
                  <w:color w:val="000000"/>
                  <w:sz w:val="24"/>
                  <w:u w:val="none"/>
                  <w:effect w:val="none"/>
                </w:rPr>
                <w:t>3.3.    Dissenters’ Rights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6c625ac2974117b0ee1e29b79e2054">
              <w:r>
                <w:rPr>
                  <w:rStyle w:val="InternetLink"/>
                  <w:rFonts w:ascii="Times New Roman;serif" w:hAnsi="Times New Roman;serif"/>
                  <w:b w:val="false"/>
                  <w:strike w:val="false"/>
                  <w:dstrike w:val="false"/>
                  <w:color w:val="000000"/>
                  <w:sz w:val="24"/>
                  <w:u w:val="none"/>
                  <w:effect w:val="none"/>
                </w:rPr>
                <w:t>-28-</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0f86332d2fc413bbe6e35ec034825e3">
              <w:r>
                <w:rPr>
                  <w:rStyle w:val="InternetLink"/>
                  <w:rFonts w:ascii="Times New Roman;serif" w:hAnsi="Times New Roman;serif"/>
                  <w:b w:val="false"/>
                  <w:strike w:val="false"/>
                  <w:dstrike w:val="false"/>
                  <w:color w:val="000000"/>
                  <w:sz w:val="24"/>
                  <w:u w:val="none"/>
                  <w:effect w:val="none"/>
                </w:rPr>
                <w:t>3.4.    Exchange of Company Common Stock and Company Preferred Stock</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f86332d2fc413bbe6e35ec034825e3">
              <w:r>
                <w:rPr>
                  <w:rStyle w:val="InternetLink"/>
                  <w:rFonts w:ascii="Times New Roman;serif" w:hAnsi="Times New Roman;serif"/>
                  <w:b w:val="false"/>
                  <w:strike w:val="false"/>
                  <w:dstrike w:val="false"/>
                  <w:color w:val="000000"/>
                  <w:sz w:val="24"/>
                  <w:u w:val="none"/>
                  <w:effect w:val="none"/>
                </w:rPr>
                <w:t>-28-</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3ad321bd2e47ab9230695e3e4f9131">
              <w:r>
                <w:rPr>
                  <w:rStyle w:val="InternetLink"/>
                  <w:rFonts w:ascii="Times New Roman;serif" w:hAnsi="Times New Roman;serif"/>
                  <w:b w:val="false"/>
                  <w:strike w:val="false"/>
                  <w:dstrike w:val="false"/>
                  <w:color w:val="000000"/>
                  <w:sz w:val="24"/>
                  <w:u w:val="none"/>
                  <w:effect w:val="none"/>
                </w:rPr>
                <w:t>Article IV    </w:t>
                <w:br/>
                <w:br/>
                <w:t>REPRESENTATIONS AND WARRANTIES OF THE COMPANY AND THE COMPANY OPERATING PARTNERSHIP</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ad321bd2e47ab9230695e3e4f9131">
              <w:r>
                <w:rPr>
                  <w:rStyle w:val="InternetLink"/>
                  <w:rFonts w:ascii="Times New Roman;serif" w:hAnsi="Times New Roman;serif"/>
                  <w:b w:val="false"/>
                  <w:strike w:val="false"/>
                  <w:dstrike w:val="false"/>
                  <w:color w:val="000000"/>
                  <w:sz w:val="24"/>
                  <w:u w:val="none"/>
                  <w:effect w:val="none"/>
                </w:rPr>
                <w:t>-32-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55803fbd53f4430baa6c405206bfed0">
              <w:r>
                <w:rPr>
                  <w:rStyle w:val="InternetLink"/>
                  <w:rFonts w:ascii="Times New Roman;serif" w:hAnsi="Times New Roman;serif"/>
                  <w:b w:val="false"/>
                  <w:strike w:val="false"/>
                  <w:dstrike w:val="false"/>
                  <w:color w:val="000000"/>
                  <w:sz w:val="24"/>
                  <w:u w:val="none"/>
                  <w:effect w:val="none"/>
                </w:rPr>
                <w:t>4.1.    Due Incorporation; Capitalization; Indebtedness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5803fbd53f4430baa6c405206bfed0">
              <w:r>
                <w:rPr>
                  <w:rStyle w:val="InternetLink"/>
                  <w:rFonts w:ascii="Times New Roman;serif" w:hAnsi="Times New Roman;serif"/>
                  <w:b w:val="false"/>
                  <w:strike w:val="false"/>
                  <w:dstrike w:val="false"/>
                  <w:color w:val="000000"/>
                  <w:sz w:val="24"/>
                  <w:u w:val="none"/>
                  <w:effect w:val="none"/>
                </w:rPr>
                <w:t>-32-</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9e259448e5c4634882f939f9c0227d9">
              <w:r>
                <w:rPr>
                  <w:rStyle w:val="InternetLink"/>
                  <w:rFonts w:ascii="Times New Roman;serif" w:hAnsi="Times New Roman;serif"/>
                  <w:b w:val="false"/>
                  <w:strike w:val="false"/>
                  <w:dstrike w:val="false"/>
                  <w:color w:val="000000"/>
                  <w:sz w:val="24"/>
                  <w:u w:val="none"/>
                  <w:effect w:val="none"/>
                </w:rPr>
                <w:t>4.2.    Due Authorization</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e259448e5c4634882f939f9c0227d9">
              <w:r>
                <w:rPr>
                  <w:rStyle w:val="InternetLink"/>
                  <w:rFonts w:ascii="Times New Roman;serif" w:hAnsi="Times New Roman;serif"/>
                  <w:b w:val="false"/>
                  <w:strike w:val="false"/>
                  <w:dstrike w:val="false"/>
                  <w:color w:val="000000"/>
                  <w:sz w:val="24"/>
                  <w:u w:val="none"/>
                  <w:effect w:val="none"/>
                </w:rPr>
                <w:t>-35-</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4d457b1f699472da193b5cbc4d51035">
              <w:r>
                <w:rPr>
                  <w:rStyle w:val="InternetLink"/>
                  <w:rFonts w:ascii="Times New Roman;serif" w:hAnsi="Times New Roman;serif"/>
                  <w:b w:val="false"/>
                  <w:strike w:val="false"/>
                  <w:dstrike w:val="false"/>
                  <w:color w:val="000000"/>
                  <w:sz w:val="24"/>
                  <w:u w:val="none"/>
                  <w:effect w:val="none"/>
                </w:rPr>
                <w:t>4.3.    Consents and Approvals; No Violations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d457b1f699472da193b5cbc4d51035">
              <w:r>
                <w:rPr>
                  <w:rStyle w:val="InternetLink"/>
                  <w:rFonts w:ascii="Times New Roman;serif" w:hAnsi="Times New Roman;serif"/>
                  <w:b w:val="false"/>
                  <w:strike w:val="false"/>
                  <w:dstrike w:val="false"/>
                  <w:color w:val="000000"/>
                  <w:sz w:val="24"/>
                  <w:u w:val="none"/>
                  <w:effect w:val="none"/>
                </w:rPr>
                <w:t>-36-</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b72e07be4074af18244e4c283074f9f">
              <w:r>
                <w:rPr>
                  <w:rStyle w:val="InternetLink"/>
                  <w:rFonts w:ascii="Times New Roman;serif" w:hAnsi="Times New Roman;serif"/>
                  <w:b w:val="false"/>
                  <w:strike w:val="false"/>
                  <w:dstrike w:val="false"/>
                  <w:color w:val="000000"/>
                  <w:sz w:val="24"/>
                  <w:u w:val="none"/>
                  <w:effect w:val="none"/>
                </w:rPr>
                <w:t>4.4.    Financial Statements; Internal Controls and Procedures; Investment Company Act</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72e07be4074af18244e4c283074f9f">
              <w:r>
                <w:rPr>
                  <w:rStyle w:val="InternetLink"/>
                  <w:rFonts w:ascii="Times New Roman;serif" w:hAnsi="Times New Roman;serif"/>
                  <w:b w:val="false"/>
                  <w:strike w:val="false"/>
                  <w:dstrike w:val="false"/>
                  <w:color w:val="000000"/>
                  <w:sz w:val="24"/>
                  <w:u w:val="none"/>
                  <w:effect w:val="none"/>
                </w:rPr>
                <w:t>-37-</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28b24f4464d44659ca4a58dc2c3c83b">
              <w:r>
                <w:rPr>
                  <w:rStyle w:val="InternetLink"/>
                  <w:rFonts w:ascii="Times New Roman;serif" w:hAnsi="Times New Roman;serif"/>
                  <w:b w:val="false"/>
                  <w:strike w:val="false"/>
                  <w:dstrike w:val="false"/>
                  <w:color w:val="000000"/>
                  <w:sz w:val="24"/>
                  <w:u w:val="none"/>
                  <w:effect w:val="none"/>
                </w:rPr>
                <w:t>4.5.    Proxy Statement/Prospectus; Company Information</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b24f4464d44659ca4a58dc2c3c83b">
              <w:r>
                <w:rPr>
                  <w:rStyle w:val="InternetLink"/>
                  <w:rFonts w:ascii="Times New Roman;serif" w:hAnsi="Times New Roman;serif"/>
                  <w:b w:val="false"/>
                  <w:strike w:val="false"/>
                  <w:dstrike w:val="false"/>
                  <w:color w:val="000000"/>
                  <w:sz w:val="24"/>
                  <w:u w:val="none"/>
                  <w:effect w:val="none"/>
                </w:rPr>
                <w:t>-38-</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686d633d060415cacfa53e64bc01851">
              <w:r>
                <w:rPr>
                  <w:rStyle w:val="InternetLink"/>
                  <w:rFonts w:ascii="Times New Roman;serif" w:hAnsi="Times New Roman;serif"/>
                  <w:b w:val="false"/>
                  <w:strike w:val="false"/>
                  <w:dstrike w:val="false"/>
                  <w:color w:val="000000"/>
                  <w:sz w:val="24"/>
                  <w:u w:val="none"/>
                  <w:effect w:val="none"/>
                </w:rPr>
                <w:t>4.6.    No Undisclosed Liabilities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86d633d060415cacfa53e64bc01851">
              <w:r>
                <w:rPr>
                  <w:rStyle w:val="InternetLink"/>
                  <w:rFonts w:ascii="Times New Roman;serif" w:hAnsi="Times New Roman;serif"/>
                  <w:b w:val="false"/>
                  <w:strike w:val="false"/>
                  <w:dstrike w:val="false"/>
                  <w:color w:val="000000"/>
                  <w:sz w:val="24"/>
                  <w:u w:val="none"/>
                  <w:effect w:val="none"/>
                </w:rPr>
                <w:t>-38-</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b19522eb4cc40ba882aa9e439e37f83">
              <w:r>
                <w:rPr>
                  <w:rStyle w:val="InternetLink"/>
                  <w:rFonts w:ascii="Times New Roman;serif" w:hAnsi="Times New Roman;serif"/>
                  <w:b w:val="false"/>
                  <w:strike w:val="false"/>
                  <w:dstrike w:val="false"/>
                  <w:color w:val="000000"/>
                  <w:sz w:val="24"/>
                  <w:u w:val="none"/>
                  <w:effect w:val="none"/>
                </w:rPr>
                <w:t>4.7.    Intellectual Property</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19522eb4cc40ba882aa9e439e37f83">
              <w:r>
                <w:rPr>
                  <w:rStyle w:val="InternetLink"/>
                  <w:rFonts w:ascii="Times New Roman;serif" w:hAnsi="Times New Roman;serif"/>
                  <w:b w:val="false"/>
                  <w:strike w:val="false"/>
                  <w:dstrike w:val="false"/>
                  <w:color w:val="000000"/>
                  <w:sz w:val="24"/>
                  <w:u w:val="none"/>
                  <w:effect w:val="none"/>
                </w:rPr>
                <w:t>-39-</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d60cb8687c4451faa6f75b403136bc0">
              <w:r>
                <w:rPr>
                  <w:rStyle w:val="InternetLink"/>
                  <w:rFonts w:ascii="Times New Roman;serif" w:hAnsi="Times New Roman;serif"/>
                  <w:b w:val="false"/>
                  <w:strike w:val="false"/>
                  <w:dstrike w:val="false"/>
                  <w:color w:val="000000"/>
                  <w:sz w:val="24"/>
                  <w:u w:val="none"/>
                  <w:effect w:val="none"/>
                </w:rPr>
                <w:t>4.8.    Contracts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60cb8687c4451faa6f75b403136bc0">
              <w:r>
                <w:rPr>
                  <w:rStyle w:val="InternetLink"/>
                  <w:rFonts w:ascii="Times New Roman;serif" w:hAnsi="Times New Roman;serif"/>
                  <w:b w:val="false"/>
                  <w:strike w:val="false"/>
                  <w:dstrike w:val="false"/>
                  <w:color w:val="000000"/>
                  <w:sz w:val="24"/>
                  <w:u w:val="none"/>
                  <w:effect w:val="none"/>
                </w:rPr>
                <w:t>-39-</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0cc616ff1eb45d1aa28c44071f80498">
              <w:r>
                <w:rPr>
                  <w:rStyle w:val="InternetLink"/>
                  <w:rFonts w:ascii="Times New Roman;serif" w:hAnsi="Times New Roman;serif"/>
                  <w:b w:val="false"/>
                  <w:strike w:val="false"/>
                  <w:dstrike w:val="false"/>
                  <w:color w:val="000000"/>
                  <w:sz w:val="24"/>
                  <w:u w:val="none"/>
                  <w:effect w:val="none"/>
                </w:rPr>
                <w:t>4.9.    Insurance</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cc616ff1eb45d1aa28c44071f80498">
              <w:r>
                <w:rPr>
                  <w:rStyle w:val="InternetLink"/>
                  <w:rFonts w:ascii="Times New Roman;serif" w:hAnsi="Times New Roman;serif"/>
                  <w:b w:val="false"/>
                  <w:strike w:val="false"/>
                  <w:dstrike w:val="false"/>
                  <w:color w:val="000000"/>
                  <w:sz w:val="24"/>
                  <w:u w:val="none"/>
                  <w:effect w:val="none"/>
                </w:rPr>
                <w:t>-41-</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6d114135f0043d08ebc50f7030a10d9">
              <w:r>
                <w:rPr>
                  <w:rStyle w:val="InternetLink"/>
                  <w:rFonts w:ascii="Times New Roman;serif" w:hAnsi="Times New Roman;serif"/>
                  <w:b w:val="false"/>
                  <w:strike w:val="false"/>
                  <w:dstrike w:val="false"/>
                  <w:color w:val="000000"/>
                  <w:sz w:val="24"/>
                  <w:u w:val="none"/>
                  <w:effect w:val="none"/>
                </w:rPr>
                <w:t>4.10.    Employee Benefits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d114135f0043d08ebc50f7030a10d9">
              <w:r>
                <w:rPr>
                  <w:rStyle w:val="InternetLink"/>
                  <w:rFonts w:ascii="Times New Roman;serif" w:hAnsi="Times New Roman;serif"/>
                  <w:b w:val="false"/>
                  <w:strike w:val="false"/>
                  <w:dstrike w:val="false"/>
                  <w:color w:val="000000"/>
                  <w:sz w:val="24"/>
                  <w:u w:val="none"/>
                  <w:effect w:val="none"/>
                </w:rPr>
                <w:t>-41-</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4740566873b4133851105a43e7b83c5">
              <w:r>
                <w:rPr>
                  <w:rStyle w:val="InternetLink"/>
                  <w:rFonts w:ascii="Times New Roman;serif" w:hAnsi="Times New Roman;serif"/>
                  <w:b w:val="false"/>
                  <w:strike w:val="false"/>
                  <w:dstrike w:val="false"/>
                  <w:color w:val="000000"/>
                  <w:sz w:val="24"/>
                  <w:u w:val="none"/>
                  <w:effect w:val="none"/>
                </w:rPr>
                <w:t>4.11.    Labor Matters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740566873b4133851105a43e7b83c5">
              <w:r>
                <w:rPr>
                  <w:rStyle w:val="InternetLink"/>
                  <w:rFonts w:ascii="Times New Roman;serif" w:hAnsi="Times New Roman;serif"/>
                  <w:b w:val="false"/>
                  <w:strike w:val="false"/>
                  <w:dstrike w:val="false"/>
                  <w:color w:val="000000"/>
                  <w:sz w:val="24"/>
                  <w:u w:val="none"/>
                  <w:effect w:val="none"/>
                </w:rPr>
                <w:t>-44-</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23c998f19e34b6d9d3c1d57058567ef">
              <w:r>
                <w:rPr>
                  <w:rStyle w:val="InternetLink"/>
                  <w:rFonts w:ascii="Times New Roman;serif" w:hAnsi="Times New Roman;serif"/>
                  <w:b w:val="false"/>
                  <w:strike w:val="false"/>
                  <w:dstrike w:val="false"/>
                  <w:color w:val="000000"/>
                  <w:sz w:val="24"/>
                  <w:u w:val="none"/>
                  <w:effect w:val="none"/>
                </w:rPr>
                <w:t>4.12.    Taxes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3c998f19e34b6d9d3c1d57058567ef">
              <w:r>
                <w:rPr>
                  <w:rStyle w:val="InternetLink"/>
                  <w:rFonts w:ascii="Times New Roman;serif" w:hAnsi="Times New Roman;serif"/>
                  <w:b w:val="false"/>
                  <w:strike w:val="false"/>
                  <w:dstrike w:val="false"/>
                  <w:color w:val="000000"/>
                  <w:sz w:val="24"/>
                  <w:u w:val="none"/>
                  <w:effect w:val="none"/>
                </w:rPr>
                <w:t>-44-</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4adcb944a044754a1b492775191b4a0">
              <w:r>
                <w:rPr>
                  <w:rStyle w:val="InternetLink"/>
                  <w:rFonts w:ascii="Times New Roman;serif" w:hAnsi="Times New Roman;serif"/>
                  <w:b w:val="false"/>
                  <w:strike w:val="false"/>
                  <w:dstrike w:val="false"/>
                  <w:color w:val="000000"/>
                  <w:sz w:val="24"/>
                  <w:u w:val="none"/>
                  <w:effect w:val="none"/>
                </w:rPr>
                <w:t>4.13.    Litigation</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adcb944a044754a1b492775191b4a0">
              <w:r>
                <w:rPr>
                  <w:rStyle w:val="InternetLink"/>
                  <w:rFonts w:ascii="Times New Roman;serif" w:hAnsi="Times New Roman;serif"/>
                  <w:b w:val="false"/>
                  <w:strike w:val="false"/>
                  <w:dstrike w:val="false"/>
                  <w:color w:val="000000"/>
                  <w:sz w:val="24"/>
                  <w:u w:val="none"/>
                  <w:effect w:val="none"/>
                </w:rPr>
                <w:t>-47-</w:t>
              </w:r>
            </w:hyperlink>
          </w:p>
        </w:tc>
      </w:tr>
      <w:tr>
        <w:trPr/>
        <w:tc>
          <w:tcPr>
            <w:tcW w:w="9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50150c53c2140cfa9daa2b2e1aaeb05">
              <w:r>
                <w:rPr>
                  <w:rStyle w:val="InternetLink"/>
                  <w:rFonts w:ascii="Times New Roman;serif" w:hAnsi="Times New Roman;serif"/>
                  <w:b w:val="false"/>
                  <w:strike w:val="false"/>
                  <w:dstrike w:val="false"/>
                  <w:color w:val="000000"/>
                  <w:sz w:val="24"/>
                  <w:u w:val="none"/>
                  <w:effect w:val="none"/>
                </w:rPr>
                <w:t>4.14.    Compliance with Laws; Permits</w:t>
              </w:r>
            </w:hyperlink>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0150c53c2140cfa9daa2b2e1aaeb05">
              <w:r>
                <w:rPr>
                  <w:rStyle w:val="InternetLink"/>
                  <w:rFonts w:ascii="Times New Roman;serif" w:hAnsi="Times New Roman;serif"/>
                  <w:b w:val="false"/>
                  <w:strike w:val="false"/>
                  <w:dstrike w:val="false"/>
                  <w:color w:val="000000"/>
                  <w:sz w:val="24"/>
                  <w:u w:val="none"/>
                  <w:effect w:val="none"/>
                </w:rPr>
                <w:t>-47-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60705"/>
                <wp:effectExtent l="0" t="0" r="0" b="0"/>
                <wp:wrapNone/>
                <wp:docPr id="9"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53"/>
        <w:gridCol w:w="3084"/>
        <w:gridCol w:w="3036"/>
        <w:gridCol w:w="154"/>
        <w:gridCol w:w="154"/>
        <w:gridCol w:w="224"/>
      </w:tblGrid>
      <w:tr>
        <w:trPr/>
        <w:tc>
          <w:tcPr>
            <w:tcW w:w="3553"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d48be11e5104ac3ab1124321413f95a">
              <w:r>
                <w:rPr>
                  <w:rStyle w:val="InternetLink"/>
                  <w:rFonts w:ascii="Times New Roman;serif" w:hAnsi="Times New Roman;serif"/>
                  <w:b w:val="false"/>
                  <w:strike w:val="false"/>
                  <w:dstrike w:val="false"/>
                  <w:color w:val="000000"/>
                  <w:sz w:val="24"/>
                  <w:u w:val="none"/>
                  <w:effect w:val="none"/>
                </w:rPr>
                <w:t>4.15.    Absence of Changes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8be11e5104ac3ab1124321413f95a">
              <w:r>
                <w:rPr>
                  <w:rStyle w:val="InternetLink"/>
                  <w:rFonts w:ascii="Times New Roman;serif" w:hAnsi="Times New Roman;serif"/>
                  <w:b w:val="false"/>
                  <w:strike w:val="false"/>
                  <w:dstrike w:val="false"/>
                  <w:color w:val="000000"/>
                  <w:sz w:val="24"/>
                  <w:u w:val="none"/>
                  <w:effect w:val="none"/>
                </w:rPr>
                <w:t>-48-</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0bdbc843dca4055aaa9e716bc3e60e0">
              <w:r>
                <w:rPr>
                  <w:rStyle w:val="InternetLink"/>
                  <w:rFonts w:ascii="Times New Roman;serif" w:hAnsi="Times New Roman;serif"/>
                  <w:b w:val="false"/>
                  <w:strike w:val="false"/>
                  <w:dstrike w:val="false"/>
                  <w:color w:val="000000"/>
                  <w:sz w:val="24"/>
                  <w:u w:val="none"/>
                  <w:effect w:val="none"/>
                </w:rPr>
                <w:t>4.16.    Real Property</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bdbc843dca4055aaa9e716bc3e60e0">
              <w:r>
                <w:rPr>
                  <w:rStyle w:val="InternetLink"/>
                  <w:rFonts w:ascii="Times New Roman;serif" w:hAnsi="Times New Roman;serif"/>
                  <w:b w:val="false"/>
                  <w:strike w:val="false"/>
                  <w:dstrike w:val="false"/>
                  <w:color w:val="000000"/>
                  <w:sz w:val="24"/>
                  <w:u w:val="none"/>
                  <w:effect w:val="none"/>
                </w:rPr>
                <w:t>-49-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1aab1782f0843df93f243655f1a3c5e">
              <w:r>
                <w:rPr>
                  <w:rStyle w:val="InternetLink"/>
                  <w:rFonts w:ascii="Times New Roman;serif" w:hAnsi="Times New Roman;serif"/>
                  <w:b w:val="false"/>
                  <w:strike w:val="false"/>
                  <w:dstrike w:val="false"/>
                  <w:color w:val="000000"/>
                  <w:sz w:val="24"/>
                  <w:u w:val="none"/>
                  <w:effect w:val="none"/>
                </w:rPr>
                <w:t>4.17.    Related Party Transactions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aab1782f0843df93f243655f1a3c5e">
              <w:r>
                <w:rPr>
                  <w:rStyle w:val="InternetLink"/>
                  <w:rFonts w:ascii="Times New Roman;serif" w:hAnsi="Times New Roman;serif"/>
                  <w:b w:val="false"/>
                  <w:strike w:val="false"/>
                  <w:dstrike w:val="false"/>
                  <w:color w:val="000000"/>
                  <w:sz w:val="24"/>
                  <w:u w:val="none"/>
                  <w:effect w:val="none"/>
                </w:rPr>
                <w:t>-49-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844b980030c493c8a6f398aaf3905df">
              <w:r>
                <w:rPr>
                  <w:rStyle w:val="InternetLink"/>
                  <w:rFonts w:ascii="Times New Roman;serif" w:hAnsi="Times New Roman;serif"/>
                  <w:b w:val="false"/>
                  <w:strike w:val="false"/>
                  <w:dstrike w:val="false"/>
                  <w:color w:val="000000"/>
                  <w:sz w:val="24"/>
                  <w:u w:val="none"/>
                  <w:effect w:val="none"/>
                </w:rPr>
                <w:t>4.18.    Brokers and Finders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44b980030c493c8a6f398aaf3905df">
              <w:r>
                <w:rPr>
                  <w:rStyle w:val="InternetLink"/>
                  <w:rFonts w:ascii="Times New Roman;serif" w:hAnsi="Times New Roman;serif"/>
                  <w:b w:val="false"/>
                  <w:strike w:val="false"/>
                  <w:dstrike w:val="false"/>
                  <w:color w:val="000000"/>
                  <w:sz w:val="24"/>
                  <w:u w:val="none"/>
                  <w:effect w:val="none"/>
                </w:rPr>
                <w:t>-49-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01aea353b274f618dd20ff6b40ff1e7">
              <w:r>
                <w:rPr>
                  <w:rStyle w:val="InternetLink"/>
                  <w:rFonts w:ascii="Times New Roman;serif" w:hAnsi="Times New Roman;serif"/>
                  <w:b w:val="false"/>
                  <w:strike w:val="false"/>
                  <w:dstrike w:val="false"/>
                  <w:color w:val="000000"/>
                  <w:sz w:val="24"/>
                  <w:u w:val="none"/>
                  <w:effect w:val="none"/>
                </w:rPr>
                <w:t>4.19.    Opinion of Financial Advisor</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1aea353b274f618dd20ff6b40ff1e7">
              <w:r>
                <w:rPr>
                  <w:rStyle w:val="InternetLink"/>
                  <w:rFonts w:ascii="Times New Roman;serif" w:hAnsi="Times New Roman;serif"/>
                  <w:b w:val="false"/>
                  <w:strike w:val="false"/>
                  <w:dstrike w:val="false"/>
                  <w:color w:val="000000"/>
                  <w:sz w:val="24"/>
                  <w:u w:val="none"/>
                  <w:effect w:val="none"/>
                </w:rPr>
                <w:t>-49-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0cebcf462d54a63a46e45a6aa6e26a2">
              <w:r>
                <w:rPr>
                  <w:rStyle w:val="InternetLink"/>
                  <w:rFonts w:ascii="Times New Roman;serif" w:hAnsi="Times New Roman;serif"/>
                  <w:b w:val="false"/>
                  <w:strike w:val="false"/>
                  <w:dstrike w:val="false"/>
                  <w:color w:val="000000"/>
                  <w:sz w:val="24"/>
                  <w:u w:val="none"/>
                  <w:effect w:val="none"/>
                </w:rPr>
                <w:t>4.20.    No Additional Representations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cebcf462d54a63a46e45a6aa6e26a2">
              <w:r>
                <w:rPr>
                  <w:rStyle w:val="InternetLink"/>
                  <w:rFonts w:ascii="Times New Roman;serif" w:hAnsi="Times New Roman;serif"/>
                  <w:b w:val="false"/>
                  <w:strike w:val="false"/>
                  <w:dstrike w:val="false"/>
                  <w:color w:val="000000"/>
                  <w:sz w:val="24"/>
                  <w:u w:val="none"/>
                  <w:effect w:val="none"/>
                </w:rPr>
                <w:t>-50-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e0cc0fd2b48558aa3035099381bac">
              <w:r>
                <w:rPr>
                  <w:rStyle w:val="InternetLink"/>
                  <w:rFonts w:ascii="Times New Roman;serif" w:hAnsi="Times New Roman;serif"/>
                  <w:b w:val="false"/>
                  <w:strike w:val="false"/>
                  <w:dstrike w:val="false"/>
                  <w:color w:val="000000"/>
                  <w:sz w:val="24"/>
                  <w:u w:val="none"/>
                  <w:effect w:val="none"/>
                </w:rPr>
                <w:t>Article V    </w:t>
                <w:br/>
                <w:br/>
                <w:t>REPRESENTATIONS AND WARRANTIES OF PARENT, MERGER SUB AND PARENT MANAGER</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e0cc0fd2b48558aa3035099381bac">
              <w:r>
                <w:rPr>
                  <w:rStyle w:val="InternetLink"/>
                  <w:rFonts w:ascii="Times New Roman;serif" w:hAnsi="Times New Roman;serif"/>
                  <w:b w:val="false"/>
                  <w:strike w:val="false"/>
                  <w:dstrike w:val="false"/>
                  <w:color w:val="000000"/>
                  <w:sz w:val="24"/>
                  <w:u w:val="none"/>
                  <w:effect w:val="none"/>
                </w:rPr>
                <w:t>-50-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24793cd1c3645dbb8b6f5619f9e5fdf">
              <w:r>
                <w:rPr>
                  <w:rStyle w:val="InternetLink"/>
                  <w:rFonts w:ascii="Times New Roman;serif" w:hAnsi="Times New Roman;serif"/>
                  <w:b w:val="false"/>
                  <w:strike w:val="false"/>
                  <w:dstrike w:val="false"/>
                  <w:color w:val="000000"/>
                  <w:sz w:val="24"/>
                  <w:u w:val="none"/>
                  <w:effect w:val="none"/>
                </w:rPr>
                <w:t>5.1.    Due Incorporation; Capitalization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4793cd1c3645dbb8b6f5619f9e5fdf">
              <w:r>
                <w:rPr>
                  <w:rStyle w:val="InternetLink"/>
                  <w:rFonts w:ascii="Times New Roman;serif" w:hAnsi="Times New Roman;serif"/>
                  <w:b w:val="false"/>
                  <w:strike w:val="false"/>
                  <w:dstrike w:val="false"/>
                  <w:color w:val="000000"/>
                  <w:sz w:val="24"/>
                  <w:u w:val="none"/>
                  <w:effect w:val="none"/>
                </w:rPr>
                <w:t>-50-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6e2af83fca141c5956384189c3396bb">
              <w:r>
                <w:rPr>
                  <w:rStyle w:val="InternetLink"/>
                  <w:rFonts w:ascii="Times New Roman;serif" w:hAnsi="Times New Roman;serif"/>
                  <w:b w:val="false"/>
                  <w:strike w:val="false"/>
                  <w:dstrike w:val="false"/>
                  <w:color w:val="000000"/>
                  <w:sz w:val="24"/>
                  <w:u w:val="none"/>
                  <w:effect w:val="none"/>
                </w:rPr>
                <w:t>5.2.    Due Authorization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e2af83fca141c5956384189c3396bb">
              <w:r>
                <w:rPr>
                  <w:rStyle w:val="InternetLink"/>
                  <w:rFonts w:ascii="Times New Roman;serif" w:hAnsi="Times New Roman;serif"/>
                  <w:b w:val="false"/>
                  <w:strike w:val="false"/>
                  <w:dstrike w:val="false"/>
                  <w:color w:val="000000"/>
                  <w:sz w:val="24"/>
                  <w:u w:val="none"/>
                  <w:effect w:val="none"/>
                </w:rPr>
                <w:t>-52-</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15570a8c24f4542bc331a4d51e7d9e0">
              <w:r>
                <w:rPr>
                  <w:rStyle w:val="InternetLink"/>
                  <w:rFonts w:ascii="Times New Roman;serif" w:hAnsi="Times New Roman;serif"/>
                  <w:b w:val="false"/>
                  <w:strike w:val="false"/>
                  <w:dstrike w:val="false"/>
                  <w:color w:val="000000"/>
                  <w:sz w:val="24"/>
                  <w:u w:val="none"/>
                  <w:effect w:val="none"/>
                </w:rPr>
                <w:t>5.3.    Consents and Approvals; No Violations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5570a8c24f4542bc331a4d51e7d9e0">
              <w:r>
                <w:rPr>
                  <w:rStyle w:val="InternetLink"/>
                  <w:rFonts w:ascii="Times New Roman;serif" w:hAnsi="Times New Roman;serif"/>
                  <w:b w:val="false"/>
                  <w:strike w:val="false"/>
                  <w:dstrike w:val="false"/>
                  <w:color w:val="000000"/>
                  <w:sz w:val="24"/>
                  <w:u w:val="none"/>
                  <w:effect w:val="none"/>
                </w:rPr>
                <w:t>-53-</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2d5bf53456f4c7d9776137c1082e505">
              <w:r>
                <w:rPr>
                  <w:rStyle w:val="InternetLink"/>
                  <w:rFonts w:ascii="Times New Roman;serif" w:hAnsi="Times New Roman;serif"/>
                  <w:b w:val="false"/>
                  <w:strike w:val="false"/>
                  <w:dstrike w:val="false"/>
                  <w:color w:val="000000"/>
                  <w:sz w:val="24"/>
                  <w:u w:val="none"/>
                  <w:effect w:val="none"/>
                </w:rPr>
                <w:t>5.4.    Financial Statements; Internal Controls and Procedures; Investment Company Act</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d5bf53456f4c7d9776137c1082e505">
              <w:r>
                <w:rPr>
                  <w:rStyle w:val="InternetLink"/>
                  <w:rFonts w:ascii="Times New Roman;serif" w:hAnsi="Times New Roman;serif"/>
                  <w:b w:val="false"/>
                  <w:strike w:val="false"/>
                  <w:dstrike w:val="false"/>
                  <w:color w:val="000000"/>
                  <w:sz w:val="24"/>
                  <w:u w:val="none"/>
                  <w:effect w:val="none"/>
                </w:rPr>
                <w:t>-54-</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fab85fad9dd436f89a1b798c6bdc503">
              <w:r>
                <w:rPr>
                  <w:rStyle w:val="InternetLink"/>
                  <w:rFonts w:ascii="Times New Roman;serif" w:hAnsi="Times New Roman;serif"/>
                  <w:b w:val="false"/>
                  <w:strike w:val="false"/>
                  <w:dstrike w:val="false"/>
                  <w:color w:val="000000"/>
                  <w:sz w:val="24"/>
                  <w:u w:val="none"/>
                  <w:effect w:val="none"/>
                </w:rPr>
                <w:t>5.5.    Proxy Statement/Prospectus; Parent, Merger Sub and Parent Manager Information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ab85fad9dd436f89a1b798c6bdc503">
              <w:r>
                <w:rPr>
                  <w:rStyle w:val="InternetLink"/>
                  <w:rFonts w:ascii="Times New Roman;serif" w:hAnsi="Times New Roman;serif"/>
                  <w:b w:val="false"/>
                  <w:strike w:val="false"/>
                  <w:dstrike w:val="false"/>
                  <w:color w:val="000000"/>
                  <w:sz w:val="24"/>
                  <w:u w:val="none"/>
                  <w:effect w:val="none"/>
                </w:rPr>
                <w:t>-55-</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7ecc84d4f8943949623db2fd1307ebe">
              <w:r>
                <w:rPr>
                  <w:rStyle w:val="InternetLink"/>
                  <w:rFonts w:ascii="Times New Roman;serif" w:hAnsi="Times New Roman;serif"/>
                  <w:b w:val="false"/>
                  <w:strike w:val="false"/>
                  <w:dstrike w:val="false"/>
                  <w:color w:val="000000"/>
                  <w:sz w:val="24"/>
                  <w:u w:val="none"/>
                  <w:effect w:val="none"/>
                </w:rPr>
                <w:t>5.6.    No Undisclosed Liabilities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ecc84d4f8943949623db2fd1307ebe">
              <w:r>
                <w:rPr>
                  <w:rStyle w:val="InternetLink"/>
                  <w:rFonts w:ascii="Times New Roman;serif" w:hAnsi="Times New Roman;serif"/>
                  <w:b w:val="false"/>
                  <w:strike w:val="false"/>
                  <w:dstrike w:val="false"/>
                  <w:color w:val="000000"/>
                  <w:sz w:val="24"/>
                  <w:u w:val="none"/>
                  <w:effect w:val="none"/>
                </w:rPr>
                <w:t>-55-</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100d2fa4d7b4c57b9ef0be8f36de382">
              <w:r>
                <w:rPr>
                  <w:rStyle w:val="InternetLink"/>
                  <w:rFonts w:ascii="Times New Roman;serif" w:hAnsi="Times New Roman;serif"/>
                  <w:b w:val="false"/>
                  <w:strike w:val="false"/>
                  <w:dstrike w:val="false"/>
                  <w:color w:val="000000"/>
                  <w:sz w:val="24"/>
                  <w:u w:val="none"/>
                  <w:effect w:val="none"/>
                </w:rPr>
                <w:t>5.7.    Taxes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0d2fa4d7b4c57b9ef0be8f36de382">
              <w:r>
                <w:rPr>
                  <w:rStyle w:val="InternetLink"/>
                  <w:rFonts w:ascii="Times New Roman;serif" w:hAnsi="Times New Roman;serif"/>
                  <w:b w:val="false"/>
                  <w:strike w:val="false"/>
                  <w:dstrike w:val="false"/>
                  <w:color w:val="000000"/>
                  <w:sz w:val="24"/>
                  <w:u w:val="none"/>
                  <w:effect w:val="none"/>
                </w:rPr>
                <w:t>-55-</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6be666601fc4db58bee940eb2b4e70e">
              <w:r>
                <w:rPr>
                  <w:rStyle w:val="InternetLink"/>
                  <w:rFonts w:ascii="Times New Roman;serif" w:hAnsi="Times New Roman;serif"/>
                  <w:b w:val="false"/>
                  <w:strike w:val="false"/>
                  <w:dstrike w:val="false"/>
                  <w:color w:val="000000"/>
                  <w:sz w:val="24"/>
                  <w:u w:val="none"/>
                  <w:effect w:val="none"/>
                </w:rPr>
                <w:t>5.8.    Contracts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be666601fc4db58bee940eb2b4e70e">
              <w:r>
                <w:rPr>
                  <w:rStyle w:val="InternetLink"/>
                  <w:rFonts w:ascii="Times New Roman;serif" w:hAnsi="Times New Roman;serif"/>
                  <w:b w:val="false"/>
                  <w:strike w:val="false"/>
                  <w:dstrike w:val="false"/>
                  <w:color w:val="000000"/>
                  <w:sz w:val="24"/>
                  <w:u w:val="none"/>
                  <w:effect w:val="none"/>
                </w:rPr>
                <w:t>-58-</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7f230cae41548168fea545c86ab75dc">
              <w:r>
                <w:rPr>
                  <w:rStyle w:val="InternetLink"/>
                  <w:rFonts w:ascii="Times New Roman;serif" w:hAnsi="Times New Roman;serif"/>
                  <w:b w:val="false"/>
                  <w:strike w:val="false"/>
                  <w:dstrike w:val="false"/>
                  <w:color w:val="000000"/>
                  <w:sz w:val="24"/>
                  <w:u w:val="none"/>
                  <w:effect w:val="none"/>
                </w:rPr>
                <w:t>5.9.    Litigation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f230cae41548168fea545c86ab75dc">
              <w:r>
                <w:rPr>
                  <w:rStyle w:val="InternetLink"/>
                  <w:rFonts w:ascii="Times New Roman;serif" w:hAnsi="Times New Roman;serif"/>
                  <w:b w:val="false"/>
                  <w:strike w:val="false"/>
                  <w:dstrike w:val="false"/>
                  <w:color w:val="000000"/>
                  <w:sz w:val="24"/>
                  <w:u w:val="none"/>
                  <w:effect w:val="none"/>
                </w:rPr>
                <w:t>-59-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1e3816994c645ef9e3629dfb1760cbd">
              <w:r>
                <w:rPr>
                  <w:rStyle w:val="InternetLink"/>
                  <w:rFonts w:ascii="Times New Roman;serif" w:hAnsi="Times New Roman;serif"/>
                  <w:b w:val="false"/>
                  <w:strike w:val="false"/>
                  <w:dstrike w:val="false"/>
                  <w:color w:val="000000"/>
                  <w:sz w:val="24"/>
                  <w:u w:val="none"/>
                  <w:effect w:val="none"/>
                </w:rPr>
                <w:t>5.10.    Compliance with Laws; Permits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e3816994c645ef9e3629dfb1760cbd">
              <w:r>
                <w:rPr>
                  <w:rStyle w:val="InternetLink"/>
                  <w:rFonts w:ascii="Times New Roman;serif" w:hAnsi="Times New Roman;serif"/>
                  <w:b w:val="false"/>
                  <w:strike w:val="false"/>
                  <w:dstrike w:val="false"/>
                  <w:color w:val="000000"/>
                  <w:sz w:val="24"/>
                  <w:u w:val="none"/>
                  <w:effect w:val="none"/>
                </w:rPr>
                <w:t>-59-</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80ff63617824672b31d6c29bc462c1c">
              <w:r>
                <w:rPr>
                  <w:rStyle w:val="InternetLink"/>
                  <w:rFonts w:ascii="Times New Roman;serif" w:hAnsi="Times New Roman;serif"/>
                  <w:b w:val="false"/>
                  <w:strike w:val="false"/>
                  <w:dstrike w:val="false"/>
                  <w:color w:val="000000"/>
                  <w:sz w:val="24"/>
                  <w:u w:val="none"/>
                  <w:effect w:val="none"/>
                </w:rPr>
                <w:t>5.11.    Compensation; Benefits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0ff63617824672b31d6c29bc462c1c">
              <w:r>
                <w:rPr>
                  <w:rStyle w:val="InternetLink"/>
                  <w:rFonts w:ascii="Times New Roman;serif" w:hAnsi="Times New Roman;serif"/>
                  <w:b w:val="false"/>
                  <w:strike w:val="false"/>
                  <w:dstrike w:val="false"/>
                  <w:color w:val="000000"/>
                  <w:sz w:val="24"/>
                  <w:u w:val="none"/>
                  <w:effect w:val="none"/>
                </w:rPr>
                <w:t>-60-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556df1da0bc4848b2b13c591ed87cfc">
              <w:r>
                <w:rPr>
                  <w:rStyle w:val="InternetLink"/>
                  <w:rFonts w:ascii="Times New Roman;serif" w:hAnsi="Times New Roman;serif"/>
                  <w:b w:val="false"/>
                  <w:strike w:val="false"/>
                  <w:dstrike w:val="false"/>
                  <w:color w:val="000000"/>
                  <w:sz w:val="24"/>
                  <w:u w:val="none"/>
                  <w:effect w:val="none"/>
                </w:rPr>
                <w:t>5.12.    Absence of Changes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56df1da0bc4848b2b13c591ed87cfc">
              <w:r>
                <w:rPr>
                  <w:rStyle w:val="InternetLink"/>
                  <w:rFonts w:ascii="Times New Roman;serif" w:hAnsi="Times New Roman;serif"/>
                  <w:b w:val="false"/>
                  <w:strike w:val="false"/>
                  <w:dstrike w:val="false"/>
                  <w:color w:val="000000"/>
                  <w:sz w:val="24"/>
                  <w:u w:val="none"/>
                  <w:effect w:val="none"/>
                </w:rPr>
                <w:t>-60-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8b450ba2155459f8ec195b6bcba4028">
              <w:r>
                <w:rPr>
                  <w:rStyle w:val="InternetLink"/>
                  <w:rFonts w:ascii="Times New Roman;serif" w:hAnsi="Times New Roman;serif"/>
                  <w:b w:val="false"/>
                  <w:strike w:val="false"/>
                  <w:dstrike w:val="false"/>
                  <w:color w:val="000000"/>
                  <w:sz w:val="24"/>
                  <w:u w:val="none"/>
                  <w:effect w:val="none"/>
                </w:rPr>
                <w:t>5.13.    Operations of Merger Sub</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450ba2155459f8ec195b6bcba4028">
              <w:r>
                <w:rPr>
                  <w:rStyle w:val="InternetLink"/>
                  <w:rFonts w:ascii="Times New Roman;serif" w:hAnsi="Times New Roman;serif"/>
                  <w:b w:val="false"/>
                  <w:strike w:val="false"/>
                  <w:dstrike w:val="false"/>
                  <w:color w:val="000000"/>
                  <w:sz w:val="24"/>
                  <w:u w:val="none"/>
                  <w:effect w:val="none"/>
                </w:rPr>
                <w:t>-60-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5414eb5821d441490e792b90cbf51c1">
              <w:r>
                <w:rPr>
                  <w:rStyle w:val="InternetLink"/>
                  <w:rFonts w:ascii="Times New Roman;serif" w:hAnsi="Times New Roman;serif"/>
                  <w:b w:val="false"/>
                  <w:strike w:val="false"/>
                  <w:dstrike w:val="false"/>
                  <w:color w:val="000000"/>
                  <w:sz w:val="24"/>
                  <w:u w:val="none"/>
                  <w:effect w:val="none"/>
                </w:rPr>
                <w:t>5.14.    Ownership of Company Common Stock, Company Preferred Stock or Company Partnership Units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414eb5821d441490e792b90cbf51c1">
              <w:r>
                <w:rPr>
                  <w:rStyle w:val="InternetLink"/>
                  <w:rFonts w:ascii="Times New Roman;serif" w:hAnsi="Times New Roman;serif"/>
                  <w:b w:val="false"/>
                  <w:strike w:val="false"/>
                  <w:dstrike w:val="false"/>
                  <w:color w:val="000000"/>
                  <w:sz w:val="24"/>
                  <w:u w:val="none"/>
                  <w:effect w:val="none"/>
                </w:rPr>
                <w:t>-60-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9d0d86429004903a2d1a31d8c775228">
              <w:r>
                <w:rPr>
                  <w:rStyle w:val="InternetLink"/>
                  <w:rFonts w:ascii="Times New Roman;serif" w:hAnsi="Times New Roman;serif"/>
                  <w:b w:val="false"/>
                  <w:strike w:val="false"/>
                  <w:dstrike w:val="false"/>
                  <w:color w:val="000000"/>
                  <w:sz w:val="24"/>
                  <w:u w:val="none"/>
                  <w:effect w:val="none"/>
                </w:rPr>
                <w:t>5.15.    Available Funds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d0d86429004903a2d1a31d8c775228">
              <w:r>
                <w:rPr>
                  <w:rStyle w:val="InternetLink"/>
                  <w:rFonts w:ascii="Times New Roman;serif" w:hAnsi="Times New Roman;serif"/>
                  <w:b w:val="false"/>
                  <w:strike w:val="false"/>
                  <w:dstrike w:val="false"/>
                  <w:color w:val="000000"/>
                  <w:sz w:val="24"/>
                  <w:u w:val="none"/>
                  <w:effect w:val="none"/>
                </w:rPr>
                <w:t>-60-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a597d5671a4435ca7a06e29a9cd92ac">
              <w:r>
                <w:rPr>
                  <w:rStyle w:val="InternetLink"/>
                  <w:rFonts w:ascii="Times New Roman;serif" w:hAnsi="Times New Roman;serif"/>
                  <w:b w:val="false"/>
                  <w:strike w:val="false"/>
                  <w:dstrike w:val="false"/>
                  <w:color w:val="000000"/>
                  <w:sz w:val="24"/>
                  <w:u w:val="none"/>
                  <w:effect w:val="none"/>
                </w:rPr>
                <w:t>5.16.    Support Agreement</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97d5671a4435ca7a06e29a9cd92ac">
              <w:r>
                <w:rPr>
                  <w:rStyle w:val="InternetLink"/>
                  <w:rFonts w:ascii="Times New Roman;serif" w:hAnsi="Times New Roman;serif"/>
                  <w:b w:val="false"/>
                  <w:strike w:val="false"/>
                  <w:dstrike w:val="false"/>
                  <w:color w:val="000000"/>
                  <w:sz w:val="24"/>
                  <w:u w:val="none"/>
                  <w:effect w:val="none"/>
                </w:rPr>
                <w:t>-61-</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affed631fc34c97ba68a3c4ca229a0e">
              <w:r>
                <w:rPr>
                  <w:rStyle w:val="InternetLink"/>
                  <w:rFonts w:ascii="Times New Roman;serif" w:hAnsi="Times New Roman;serif"/>
                  <w:b w:val="false"/>
                  <w:strike w:val="false"/>
                  <w:dstrike w:val="false"/>
                  <w:color w:val="000000"/>
                  <w:sz w:val="24"/>
                  <w:u w:val="none"/>
                  <w:effect w:val="none"/>
                </w:rPr>
                <w:t>5.17.    Brokers and Finders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ffed631fc34c97ba68a3c4ca229a0e">
              <w:r>
                <w:rPr>
                  <w:rStyle w:val="InternetLink"/>
                  <w:rFonts w:ascii="Times New Roman;serif" w:hAnsi="Times New Roman;serif"/>
                  <w:b w:val="false"/>
                  <w:strike w:val="false"/>
                  <w:dstrike w:val="false"/>
                  <w:color w:val="000000"/>
                  <w:sz w:val="24"/>
                  <w:u w:val="none"/>
                  <w:effect w:val="none"/>
                </w:rPr>
                <w:t>-61-</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6d4bc0a2ed54c0593c839d93db6233e">
              <w:r>
                <w:rPr>
                  <w:rStyle w:val="InternetLink"/>
                  <w:rFonts w:ascii="Times New Roman;serif" w:hAnsi="Times New Roman;serif"/>
                  <w:b w:val="false"/>
                  <w:strike w:val="false"/>
                  <w:dstrike w:val="false"/>
                  <w:color w:val="000000"/>
                  <w:sz w:val="24"/>
                  <w:u w:val="none"/>
                  <w:effect w:val="none"/>
                </w:rPr>
                <w:t>5.18.    Opinion of Financial Advisor</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d4bc0a2ed54c0593c839d93db6233e">
              <w:r>
                <w:rPr>
                  <w:rStyle w:val="InternetLink"/>
                  <w:rFonts w:ascii="Times New Roman;serif" w:hAnsi="Times New Roman;serif"/>
                  <w:b w:val="false"/>
                  <w:strike w:val="false"/>
                  <w:dstrike w:val="false"/>
                  <w:color w:val="000000"/>
                  <w:sz w:val="24"/>
                  <w:u w:val="none"/>
                  <w:effect w:val="none"/>
                </w:rPr>
                <w:t>-61-</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3e47cb3677540ef99c18973d0fed53a">
              <w:r>
                <w:rPr>
                  <w:rStyle w:val="InternetLink"/>
                  <w:rFonts w:ascii="Times New Roman;serif" w:hAnsi="Times New Roman;serif"/>
                  <w:b w:val="false"/>
                  <w:strike w:val="false"/>
                  <w:dstrike w:val="false"/>
                  <w:color w:val="000000"/>
                  <w:sz w:val="24"/>
                  <w:u w:val="none"/>
                  <w:effect w:val="none"/>
                </w:rPr>
                <w:t>5.19.    Investigation; No Other Representations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e47cb3677540ef99c18973d0fed53a">
              <w:r>
                <w:rPr>
                  <w:rStyle w:val="InternetLink"/>
                  <w:rFonts w:ascii="Times New Roman;serif" w:hAnsi="Times New Roman;serif"/>
                  <w:b w:val="false"/>
                  <w:strike w:val="false"/>
                  <w:dstrike w:val="false"/>
                  <w:color w:val="000000"/>
                  <w:sz w:val="24"/>
                  <w:u w:val="none"/>
                  <w:effect w:val="none"/>
                </w:rPr>
                <w:t>-61-</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a2f54640ed43b5858434ce67f78ef3">
              <w:r>
                <w:rPr>
                  <w:rStyle w:val="InternetLink"/>
                  <w:rFonts w:ascii="Times New Roman;serif" w:hAnsi="Times New Roman;serif"/>
                  <w:b w:val="false"/>
                  <w:strike w:val="false"/>
                  <w:dstrike w:val="false"/>
                  <w:color w:val="000000"/>
                  <w:sz w:val="24"/>
                  <w:u w:val="none"/>
                  <w:effect w:val="none"/>
                </w:rPr>
                <w:t>Article VI    </w:t>
                <w:br/>
                <w:br/>
                <w:t>COVENANTS AND AGREEMENTS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a2f54640ed43b5858434ce67f78ef3">
              <w:r>
                <w:rPr>
                  <w:rStyle w:val="InternetLink"/>
                  <w:rFonts w:ascii="Times New Roman;serif" w:hAnsi="Times New Roman;serif"/>
                  <w:b w:val="false"/>
                  <w:strike w:val="false"/>
                  <w:dstrike w:val="false"/>
                  <w:color w:val="000000"/>
                  <w:sz w:val="24"/>
                  <w:u w:val="none"/>
                  <w:effect w:val="none"/>
                </w:rPr>
                <w:t>-62-</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ad03f26cf3d44959b5c644e663f5857">
              <w:r>
                <w:rPr>
                  <w:rStyle w:val="InternetLink"/>
                  <w:rFonts w:ascii="Times New Roman;serif" w:hAnsi="Times New Roman;serif"/>
                  <w:b w:val="false"/>
                  <w:strike w:val="false"/>
                  <w:dstrike w:val="false"/>
                  <w:color w:val="000000"/>
                  <w:sz w:val="24"/>
                  <w:u w:val="none"/>
                  <w:effect w:val="none"/>
                </w:rPr>
                <w:t>6.1.    Access to Information, Personnel and Facilities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d03f26cf3d44959b5c644e663f5857">
              <w:r>
                <w:rPr>
                  <w:rStyle w:val="InternetLink"/>
                  <w:rFonts w:ascii="Times New Roman;serif" w:hAnsi="Times New Roman;serif"/>
                  <w:b w:val="false"/>
                  <w:strike w:val="false"/>
                  <w:dstrike w:val="false"/>
                  <w:color w:val="000000"/>
                  <w:sz w:val="24"/>
                  <w:u w:val="none"/>
                  <w:effect w:val="none"/>
                </w:rPr>
                <w:t>-62-</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0c222ce0c184811b43ae0c1ad828ed8">
              <w:r>
                <w:rPr>
                  <w:rStyle w:val="InternetLink"/>
                  <w:rFonts w:ascii="Times New Roman;serif" w:hAnsi="Times New Roman;serif"/>
                  <w:b w:val="false"/>
                  <w:strike w:val="false"/>
                  <w:dstrike w:val="false"/>
                  <w:color w:val="000000"/>
                  <w:sz w:val="24"/>
                  <w:u w:val="none"/>
                  <w:effect w:val="none"/>
                </w:rPr>
                <w:t>6.2.    Conduct of Company Business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c222ce0c184811b43ae0c1ad828ed8">
              <w:r>
                <w:rPr>
                  <w:rStyle w:val="InternetLink"/>
                  <w:rFonts w:ascii="Times New Roman;serif" w:hAnsi="Times New Roman;serif"/>
                  <w:b w:val="false"/>
                  <w:strike w:val="false"/>
                  <w:dstrike w:val="false"/>
                  <w:color w:val="000000"/>
                  <w:sz w:val="24"/>
                  <w:u w:val="none"/>
                  <w:effect w:val="none"/>
                </w:rPr>
                <w:t>-63-</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459727f34c74fafac65ad57aa34def4">
              <w:r>
                <w:rPr>
                  <w:rStyle w:val="InternetLink"/>
                  <w:rFonts w:ascii="Times New Roman;serif" w:hAnsi="Times New Roman;serif"/>
                  <w:b w:val="false"/>
                  <w:strike w:val="false"/>
                  <w:dstrike w:val="false"/>
                  <w:color w:val="000000"/>
                  <w:sz w:val="24"/>
                  <w:u w:val="none"/>
                  <w:effect w:val="none"/>
                </w:rPr>
                <w:t>6.3.    Conduct of Parent Business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59727f34c74fafac65ad57aa34def4">
              <w:r>
                <w:rPr>
                  <w:rStyle w:val="InternetLink"/>
                  <w:rFonts w:ascii="Times New Roman;serif" w:hAnsi="Times New Roman;serif"/>
                  <w:b w:val="false"/>
                  <w:strike w:val="false"/>
                  <w:dstrike w:val="false"/>
                  <w:color w:val="000000"/>
                  <w:sz w:val="24"/>
                  <w:u w:val="none"/>
                  <w:effect w:val="none"/>
                </w:rPr>
                <w:t>-67-</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e1335f8dfed40688e4ff12f800a6104">
              <w:r>
                <w:rPr>
                  <w:rStyle w:val="InternetLink"/>
                  <w:rFonts w:ascii="Times New Roman;serif" w:hAnsi="Times New Roman;serif"/>
                  <w:b w:val="false"/>
                  <w:strike w:val="false"/>
                  <w:dstrike w:val="false"/>
                  <w:color w:val="000000"/>
                  <w:sz w:val="24"/>
                  <w:u w:val="none"/>
                  <w:effect w:val="none"/>
                </w:rPr>
                <w:t>6.4.    Obligations of Merger Sub</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1335f8dfed40688e4ff12f800a6104">
              <w:r>
                <w:rPr>
                  <w:rStyle w:val="InternetLink"/>
                  <w:rFonts w:ascii="Times New Roman;serif" w:hAnsi="Times New Roman;serif"/>
                  <w:b w:val="false"/>
                  <w:strike w:val="false"/>
                  <w:dstrike w:val="false"/>
                  <w:color w:val="000000"/>
                  <w:sz w:val="24"/>
                  <w:u w:val="none"/>
                  <w:effect w:val="none"/>
                </w:rPr>
                <w:t>-70-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85fbe084c274f8a9c91c59920fb377a">
              <w:r>
                <w:rPr>
                  <w:rStyle w:val="InternetLink"/>
                  <w:rFonts w:ascii="Times New Roman;serif" w:hAnsi="Times New Roman;serif"/>
                  <w:b w:val="false"/>
                  <w:strike w:val="false"/>
                  <w:dstrike w:val="false"/>
                  <w:color w:val="000000"/>
                  <w:sz w:val="24"/>
                  <w:u w:val="none"/>
                  <w:effect w:val="none"/>
                </w:rPr>
                <w:t>6.5.    Company No Solicitation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5fbe084c274f8a9c91c59920fb377a">
              <w:r>
                <w:rPr>
                  <w:rStyle w:val="InternetLink"/>
                  <w:rFonts w:ascii="Times New Roman;serif" w:hAnsi="Times New Roman;serif"/>
                  <w:b w:val="false"/>
                  <w:strike w:val="false"/>
                  <w:dstrike w:val="false"/>
                  <w:color w:val="000000"/>
                  <w:sz w:val="24"/>
                  <w:u w:val="none"/>
                  <w:effect w:val="none"/>
                </w:rPr>
                <w:t>-70-</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e10774279404b04a4934e65596afa12">
              <w:r>
                <w:rPr>
                  <w:rStyle w:val="InternetLink"/>
                  <w:rFonts w:ascii="Times New Roman;serif" w:hAnsi="Times New Roman;serif"/>
                  <w:b w:val="false"/>
                  <w:strike w:val="false"/>
                  <w:dstrike w:val="false"/>
                  <w:color w:val="000000"/>
                  <w:sz w:val="24"/>
                  <w:u w:val="none"/>
                  <w:effect w:val="none"/>
                </w:rPr>
                <w:t>6.6.    Parent No-Solicitation</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10774279404b04a4934e65596afa12">
              <w:r>
                <w:rPr>
                  <w:rStyle w:val="InternetLink"/>
                  <w:rFonts w:ascii="Times New Roman;serif" w:hAnsi="Times New Roman;serif"/>
                  <w:b w:val="false"/>
                  <w:strike w:val="false"/>
                  <w:dstrike w:val="false"/>
                  <w:color w:val="000000"/>
                  <w:sz w:val="24"/>
                  <w:u w:val="none"/>
                  <w:effect w:val="none"/>
                </w:rPr>
                <w:t>-74-</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e92e0d6a0554f68bb9666e360136190">
              <w:r>
                <w:rPr>
                  <w:rStyle w:val="InternetLink"/>
                  <w:rFonts w:ascii="Times New Roman;serif" w:hAnsi="Times New Roman;serif"/>
                  <w:b w:val="false"/>
                  <w:strike w:val="false"/>
                  <w:dstrike w:val="false"/>
                  <w:color w:val="000000"/>
                  <w:sz w:val="24"/>
                  <w:u w:val="none"/>
                  <w:effect w:val="none"/>
                </w:rPr>
                <w:t>6.7.    Form S-4 and Joint Proxy Statement</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92e0d6a0554f68bb9666e360136190">
              <w:r>
                <w:rPr>
                  <w:rStyle w:val="InternetLink"/>
                  <w:rFonts w:ascii="Times New Roman;serif" w:hAnsi="Times New Roman;serif"/>
                  <w:b w:val="false"/>
                  <w:strike w:val="false"/>
                  <w:dstrike w:val="false"/>
                  <w:color w:val="000000"/>
                  <w:sz w:val="24"/>
                  <w:u w:val="none"/>
                  <w:effect w:val="none"/>
                </w:rPr>
                <w:t>-77-</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7aaed0f7a92466284134a113f9bacb8">
              <w:r>
                <w:rPr>
                  <w:rStyle w:val="InternetLink"/>
                  <w:rFonts w:ascii="Times New Roman;serif" w:hAnsi="Times New Roman;serif"/>
                  <w:b w:val="false"/>
                  <w:strike w:val="false"/>
                  <w:dstrike w:val="false"/>
                  <w:color w:val="000000"/>
                  <w:sz w:val="24"/>
                  <w:u w:val="none"/>
                  <w:effect w:val="none"/>
                </w:rPr>
                <w:t>6.8.    Stockholders Meetings.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aaed0f7a92466284134a113f9bacb8">
              <w:r>
                <w:rPr>
                  <w:rStyle w:val="InternetLink"/>
                  <w:rFonts w:ascii="Times New Roman;serif" w:hAnsi="Times New Roman;serif"/>
                  <w:b w:val="false"/>
                  <w:strike w:val="false"/>
                  <w:dstrike w:val="false"/>
                  <w:color w:val="000000"/>
                  <w:sz w:val="24"/>
                  <w:u w:val="none"/>
                  <w:effect w:val="none"/>
                </w:rPr>
                <w:t>-78-</w:t>
              </w:r>
            </w:hyperlink>
          </w:p>
        </w:tc>
      </w:tr>
      <w:tr>
        <w:trPr/>
        <w:tc>
          <w:tcPr>
            <w:tcW w:w="967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228864236a24740978b69f658ee338c">
              <w:r>
                <w:rPr>
                  <w:rStyle w:val="InternetLink"/>
                  <w:rFonts w:ascii="Times New Roman;serif" w:hAnsi="Times New Roman;serif"/>
                  <w:b w:val="false"/>
                  <w:strike w:val="false"/>
                  <w:dstrike w:val="false"/>
                  <w:color w:val="000000"/>
                  <w:sz w:val="24"/>
                  <w:u w:val="none"/>
                  <w:effect w:val="none"/>
                </w:rPr>
                <w:t>6.9.    Efforts</w:t>
              </w:r>
            </w:hyperlink>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28864236a24740978b69f658ee338c">
              <w:r>
                <w:rPr>
                  <w:rStyle w:val="InternetLink"/>
                  <w:rFonts w:ascii="Times New Roman;serif" w:hAnsi="Times New Roman;serif"/>
                  <w:b w:val="false"/>
                  <w:strike w:val="false"/>
                  <w:dstrike w:val="false"/>
                  <w:color w:val="000000"/>
                  <w:sz w:val="24"/>
                  <w:u w:val="none"/>
                  <w:effect w:val="none"/>
                </w:rPr>
                <w:t>-79-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60705"/>
                <wp:effectExtent l="0" t="0" r="0" b="0"/>
                <wp:wrapNone/>
                <wp:docPr id="10"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18"/>
        <w:gridCol w:w="3007"/>
        <w:gridCol w:w="3025"/>
        <w:gridCol w:w="190"/>
        <w:gridCol w:w="190"/>
        <w:gridCol w:w="275"/>
      </w:tblGrid>
      <w:tr>
        <w:trPr/>
        <w:tc>
          <w:tcPr>
            <w:tcW w:w="3518"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cee17e758374207b68d72c7c99c1039">
              <w:r>
                <w:rPr>
                  <w:rStyle w:val="InternetLink"/>
                  <w:rFonts w:ascii="Times New Roman;serif" w:hAnsi="Times New Roman;serif"/>
                  <w:b w:val="false"/>
                  <w:strike w:val="false"/>
                  <w:dstrike w:val="false"/>
                  <w:color w:val="000000"/>
                  <w:sz w:val="24"/>
                  <w:u w:val="none"/>
                  <w:effect w:val="none"/>
                </w:rPr>
                <w:t>6.10.    Public Announcements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ee17e758374207b68d72c7c99c1039">
              <w:r>
                <w:rPr>
                  <w:rStyle w:val="InternetLink"/>
                  <w:rFonts w:ascii="Times New Roman;serif" w:hAnsi="Times New Roman;serif"/>
                  <w:b w:val="false"/>
                  <w:strike w:val="false"/>
                  <w:dstrike w:val="false"/>
                  <w:color w:val="000000"/>
                  <w:sz w:val="24"/>
                  <w:u w:val="none"/>
                  <w:effect w:val="none"/>
                </w:rPr>
                <w:t>-81-</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2a92b23de7e48dc8d4dd1f28045177a">
              <w:r>
                <w:rPr>
                  <w:rStyle w:val="InternetLink"/>
                  <w:rFonts w:ascii="Times New Roman;serif" w:hAnsi="Times New Roman;serif"/>
                  <w:b w:val="false"/>
                  <w:strike w:val="false"/>
                  <w:dstrike w:val="false"/>
                  <w:color w:val="000000"/>
                  <w:sz w:val="24"/>
                  <w:u w:val="none"/>
                  <w:effect w:val="none"/>
                </w:rPr>
                <w:t>6.11.    Indemnification and Insurance</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a92b23de7e48dc8d4dd1f28045177a">
              <w:r>
                <w:rPr>
                  <w:rStyle w:val="InternetLink"/>
                  <w:rFonts w:ascii="Times New Roman;serif" w:hAnsi="Times New Roman;serif"/>
                  <w:b w:val="false"/>
                  <w:strike w:val="false"/>
                  <w:dstrike w:val="false"/>
                  <w:color w:val="000000"/>
                  <w:sz w:val="24"/>
                  <w:u w:val="none"/>
                  <w:effect w:val="none"/>
                </w:rPr>
                <w:t>-82-</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f4ca6f371274e9088d5dfef89c1b200">
              <w:r>
                <w:rPr>
                  <w:rStyle w:val="InternetLink"/>
                  <w:rFonts w:ascii="Times New Roman;serif" w:hAnsi="Times New Roman;serif"/>
                  <w:b w:val="false"/>
                  <w:strike w:val="false"/>
                  <w:dstrike w:val="false"/>
                  <w:color w:val="000000"/>
                  <w:sz w:val="24"/>
                  <w:u w:val="none"/>
                  <w:effect w:val="none"/>
                </w:rPr>
                <w:t>6.12.    Exchange Delisting</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4ca6f371274e9088d5dfef89c1b200">
              <w:r>
                <w:rPr>
                  <w:rStyle w:val="InternetLink"/>
                  <w:rFonts w:ascii="Times New Roman;serif" w:hAnsi="Times New Roman;serif"/>
                  <w:b w:val="false"/>
                  <w:strike w:val="false"/>
                  <w:dstrike w:val="false"/>
                  <w:color w:val="000000"/>
                  <w:sz w:val="24"/>
                  <w:u w:val="none"/>
                  <w:effect w:val="none"/>
                </w:rPr>
                <w:t>-83-</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c3d066e5f214e67842832adcef33f77">
              <w:r>
                <w:rPr>
                  <w:rStyle w:val="InternetLink"/>
                  <w:rFonts w:ascii="Times New Roman;serif" w:hAnsi="Times New Roman;serif"/>
                  <w:b w:val="false"/>
                  <w:strike w:val="false"/>
                  <w:dstrike w:val="false"/>
                  <w:color w:val="000000"/>
                  <w:sz w:val="24"/>
                  <w:u w:val="none"/>
                  <w:effect w:val="none"/>
                </w:rPr>
                <w:t>6.13.    Listing</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3d066e5f214e67842832adcef33f77">
              <w:r>
                <w:rPr>
                  <w:rStyle w:val="InternetLink"/>
                  <w:rFonts w:ascii="Times New Roman;serif" w:hAnsi="Times New Roman;serif"/>
                  <w:b w:val="false"/>
                  <w:strike w:val="false"/>
                  <w:dstrike w:val="false"/>
                  <w:color w:val="000000"/>
                  <w:sz w:val="24"/>
                  <w:u w:val="none"/>
                  <w:effect w:val="none"/>
                </w:rPr>
                <w:t>-83-</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55275b4ca4d411a963acf61bae68c50">
              <w:r>
                <w:rPr>
                  <w:rStyle w:val="InternetLink"/>
                  <w:rFonts w:ascii="Times New Roman;serif" w:hAnsi="Times New Roman;serif"/>
                  <w:b w:val="false"/>
                  <w:strike w:val="false"/>
                  <w:dstrike w:val="false"/>
                  <w:color w:val="000000"/>
                  <w:sz w:val="24"/>
                  <w:u w:val="none"/>
                  <w:effect w:val="none"/>
                </w:rPr>
                <w:t>6.14.    Transaction Litigation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5275b4ca4d411a963acf61bae68c50">
              <w:r>
                <w:rPr>
                  <w:rStyle w:val="InternetLink"/>
                  <w:rFonts w:ascii="Times New Roman;serif" w:hAnsi="Times New Roman;serif"/>
                  <w:b w:val="false"/>
                  <w:strike w:val="false"/>
                  <w:dstrike w:val="false"/>
                  <w:color w:val="000000"/>
                  <w:sz w:val="24"/>
                  <w:u w:val="none"/>
                  <w:effect w:val="none"/>
                </w:rPr>
                <w:t>-83-</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2744cca15894f08a4da02c7aed5f99e">
              <w:r>
                <w:rPr>
                  <w:rStyle w:val="InternetLink"/>
                  <w:rFonts w:ascii="Times New Roman;serif" w:hAnsi="Times New Roman;serif"/>
                  <w:b w:val="false"/>
                  <w:strike w:val="false"/>
                  <w:dstrike w:val="false"/>
                  <w:color w:val="000000"/>
                  <w:sz w:val="24"/>
                  <w:u w:val="none"/>
                  <w:effect w:val="none"/>
                </w:rPr>
                <w:t>6.15.    Rule 16b-3</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744cca15894f08a4da02c7aed5f99e">
              <w:r>
                <w:rPr>
                  <w:rStyle w:val="InternetLink"/>
                  <w:rFonts w:ascii="Times New Roman;serif" w:hAnsi="Times New Roman;serif"/>
                  <w:b w:val="false"/>
                  <w:strike w:val="false"/>
                  <w:dstrike w:val="false"/>
                  <w:color w:val="000000"/>
                  <w:sz w:val="24"/>
                  <w:u w:val="none"/>
                  <w:effect w:val="none"/>
                </w:rPr>
                <w:t>-84-</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a13c210f3ea4638933d40f8cc038672">
              <w:r>
                <w:rPr>
                  <w:rStyle w:val="InternetLink"/>
                  <w:rFonts w:ascii="Times New Roman;serif" w:hAnsi="Times New Roman;serif"/>
                  <w:b w:val="false"/>
                  <w:strike w:val="false"/>
                  <w:dstrike w:val="false"/>
                  <w:color w:val="000000"/>
                  <w:sz w:val="24"/>
                  <w:u w:val="none"/>
                  <w:effect w:val="none"/>
                </w:rPr>
                <w:t>6.16.    Takeover Law</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13c210f3ea4638933d40f8cc038672">
              <w:r>
                <w:rPr>
                  <w:rStyle w:val="InternetLink"/>
                  <w:rFonts w:ascii="Times New Roman;serif" w:hAnsi="Times New Roman;serif"/>
                  <w:b w:val="false"/>
                  <w:strike w:val="false"/>
                  <w:dstrike w:val="false"/>
                  <w:color w:val="000000"/>
                  <w:sz w:val="24"/>
                  <w:u w:val="none"/>
                  <w:effect w:val="none"/>
                </w:rPr>
                <w:t>-84-</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025d71ff4d2466fbf7ff481ebd2000b">
              <w:r>
                <w:rPr>
                  <w:rStyle w:val="InternetLink"/>
                  <w:rFonts w:ascii="Times New Roman;serif" w:hAnsi="Times New Roman;serif"/>
                  <w:b w:val="false"/>
                  <w:strike w:val="false"/>
                  <w:dstrike w:val="false"/>
                  <w:color w:val="000000"/>
                  <w:sz w:val="24"/>
                  <w:u w:val="none"/>
                  <w:effect w:val="none"/>
                </w:rPr>
                <w:t>6.17.    Resignations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25d71ff4d2466fbf7ff481ebd2000b">
              <w:r>
                <w:rPr>
                  <w:rStyle w:val="InternetLink"/>
                  <w:rFonts w:ascii="Times New Roman;serif" w:hAnsi="Times New Roman;serif"/>
                  <w:b w:val="false"/>
                  <w:strike w:val="false"/>
                  <w:dstrike w:val="false"/>
                  <w:color w:val="000000"/>
                  <w:sz w:val="24"/>
                  <w:u w:val="none"/>
                  <w:effect w:val="none"/>
                </w:rPr>
                <w:t>-84-</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1646cc9612941969096d598175408d9">
              <w:r>
                <w:rPr>
                  <w:rStyle w:val="InternetLink"/>
                  <w:rFonts w:ascii="Times New Roman;serif" w:hAnsi="Times New Roman;serif"/>
                  <w:b w:val="false"/>
                  <w:strike w:val="false"/>
                  <w:dstrike w:val="false"/>
                  <w:color w:val="000000"/>
                  <w:sz w:val="24"/>
                  <w:u w:val="none"/>
                  <w:effect w:val="none"/>
                </w:rPr>
                <w:t>6.18.    Control of Operations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646cc9612941969096d598175408d9">
              <w:r>
                <w:rPr>
                  <w:rStyle w:val="InternetLink"/>
                  <w:rFonts w:ascii="Times New Roman;serif" w:hAnsi="Times New Roman;serif"/>
                  <w:b w:val="false"/>
                  <w:strike w:val="false"/>
                  <w:dstrike w:val="false"/>
                  <w:color w:val="000000"/>
                  <w:sz w:val="24"/>
                  <w:u w:val="none"/>
                  <w:effect w:val="none"/>
                </w:rPr>
                <w:t>-84-</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4328eaf220e4cf49d6dd74a47dc0b9c">
              <w:r>
                <w:rPr>
                  <w:rStyle w:val="InternetLink"/>
                  <w:rFonts w:ascii="Times New Roman;serif" w:hAnsi="Times New Roman;serif"/>
                  <w:b w:val="false"/>
                  <w:strike w:val="false"/>
                  <w:dstrike w:val="false"/>
                  <w:color w:val="000000"/>
                  <w:sz w:val="24"/>
                  <w:u w:val="none"/>
                  <w:effect w:val="none"/>
                </w:rPr>
                <w:t>6.19.    Additional Dividends.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328eaf220e4cf49d6dd74a47dc0b9c">
              <w:r>
                <w:rPr>
                  <w:rStyle w:val="InternetLink"/>
                  <w:rFonts w:ascii="Times New Roman;serif" w:hAnsi="Times New Roman;serif"/>
                  <w:b w:val="false"/>
                  <w:strike w:val="false"/>
                  <w:dstrike w:val="false"/>
                  <w:color w:val="000000"/>
                  <w:sz w:val="24"/>
                  <w:u w:val="none"/>
                  <w:effect w:val="none"/>
                </w:rPr>
                <w:t>-84-</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49cc4c3e1734414891fef240502365d">
              <w:r>
                <w:rPr>
                  <w:rStyle w:val="InternetLink"/>
                  <w:rFonts w:ascii="Times New Roman;serif" w:hAnsi="Times New Roman;serif"/>
                  <w:b w:val="false"/>
                  <w:strike w:val="false"/>
                  <w:dstrike w:val="false"/>
                  <w:color w:val="000000"/>
                  <w:sz w:val="24"/>
                  <w:u w:val="none"/>
                  <w:effect w:val="none"/>
                </w:rPr>
                <w:t>6.20.    Tax Matters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9cc4c3e1734414891fef240502365d">
              <w:r>
                <w:rPr>
                  <w:rStyle w:val="InternetLink"/>
                  <w:rFonts w:ascii="Times New Roman;serif" w:hAnsi="Times New Roman;serif"/>
                  <w:b w:val="false"/>
                  <w:strike w:val="false"/>
                  <w:dstrike w:val="false"/>
                  <w:color w:val="000000"/>
                  <w:sz w:val="24"/>
                  <w:u w:val="none"/>
                  <w:effect w:val="none"/>
                </w:rPr>
                <w:t>-85-</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a3f998ead794824998da2e69d66d6e8">
              <w:r>
                <w:rPr>
                  <w:rStyle w:val="InternetLink"/>
                  <w:rFonts w:ascii="Times New Roman;serif" w:hAnsi="Times New Roman;serif"/>
                  <w:b w:val="false"/>
                  <w:strike w:val="false"/>
                  <w:dstrike w:val="false"/>
                  <w:color w:val="000000"/>
                  <w:sz w:val="24"/>
                  <w:u w:val="none"/>
                  <w:effect w:val="none"/>
                </w:rPr>
                <w:t>6.21.    Employee Matters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f998ead794824998da2e69d66d6e8">
              <w:r>
                <w:rPr>
                  <w:rStyle w:val="InternetLink"/>
                  <w:rFonts w:ascii="Times New Roman;serif" w:hAnsi="Times New Roman;serif"/>
                  <w:b w:val="false"/>
                  <w:strike w:val="false"/>
                  <w:dstrike w:val="false"/>
                  <w:color w:val="000000"/>
                  <w:sz w:val="24"/>
                  <w:u w:val="none"/>
                  <w:effect w:val="none"/>
                </w:rPr>
                <w:t>-85-</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7bff78c787449b96f6d696d8e402b6">
              <w:r>
                <w:rPr>
                  <w:rStyle w:val="InternetLink"/>
                  <w:rFonts w:ascii="Times New Roman;serif" w:hAnsi="Times New Roman;serif"/>
                  <w:b w:val="false"/>
                  <w:strike w:val="false"/>
                  <w:dstrike w:val="false"/>
                  <w:color w:val="000000"/>
                  <w:sz w:val="24"/>
                  <w:u w:val="none"/>
                  <w:effect w:val="none"/>
                </w:rPr>
                <w:t>Article VII    </w:t>
                <w:br/>
                <w:br/>
                <w:t>CONDITIONS PRECEDENT TO THE MERGERS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7bff78c787449b96f6d696d8e402b6">
              <w:r>
                <w:rPr>
                  <w:rStyle w:val="InternetLink"/>
                  <w:rFonts w:ascii="Times New Roman;serif" w:hAnsi="Times New Roman;serif"/>
                  <w:b w:val="false"/>
                  <w:strike w:val="false"/>
                  <w:dstrike w:val="false"/>
                  <w:color w:val="000000"/>
                  <w:sz w:val="24"/>
                  <w:u w:val="none"/>
                  <w:effect w:val="none"/>
                </w:rPr>
                <w:t>-88-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104c23a558e409998bc296aa2a8a5af">
              <w:r>
                <w:rPr>
                  <w:rStyle w:val="InternetLink"/>
                  <w:rFonts w:ascii="Times New Roman;serif" w:hAnsi="Times New Roman;serif"/>
                  <w:b w:val="false"/>
                  <w:strike w:val="false"/>
                  <w:dstrike w:val="false"/>
                  <w:color w:val="000000"/>
                  <w:sz w:val="24"/>
                  <w:u w:val="none"/>
                  <w:effect w:val="none"/>
                </w:rPr>
                <w:t>7.1.    Conditions to Each Party’s Obligations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04c23a558e409998bc296aa2a8a5af">
              <w:r>
                <w:rPr>
                  <w:rStyle w:val="InternetLink"/>
                  <w:rFonts w:ascii="Times New Roman;serif" w:hAnsi="Times New Roman;serif"/>
                  <w:b w:val="false"/>
                  <w:strike w:val="false"/>
                  <w:dstrike w:val="false"/>
                  <w:color w:val="000000"/>
                  <w:sz w:val="24"/>
                  <w:u w:val="none"/>
                  <w:effect w:val="none"/>
                </w:rPr>
                <w:t>-88-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b9da52986dd4a02b517bd128c084c88">
              <w:r>
                <w:rPr>
                  <w:rStyle w:val="InternetLink"/>
                  <w:rFonts w:ascii="Times New Roman;serif" w:hAnsi="Times New Roman;serif"/>
                  <w:b w:val="false"/>
                  <w:strike w:val="false"/>
                  <w:dstrike w:val="false"/>
                  <w:color w:val="000000"/>
                  <w:sz w:val="24"/>
                  <w:u w:val="none"/>
                  <w:effect w:val="none"/>
                </w:rPr>
                <w:t>7.2.    Conditions to Obligations of Parent, Merger Sub and Parent Manager</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9da52986dd4a02b517bd128c084c88">
              <w:r>
                <w:rPr>
                  <w:rStyle w:val="InternetLink"/>
                  <w:rFonts w:ascii="Times New Roman;serif" w:hAnsi="Times New Roman;serif"/>
                  <w:b w:val="false"/>
                  <w:strike w:val="false"/>
                  <w:dstrike w:val="false"/>
                  <w:color w:val="000000"/>
                  <w:sz w:val="24"/>
                  <w:u w:val="none"/>
                  <w:effect w:val="none"/>
                </w:rPr>
                <w:t>-89-</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3e13a894e0b47aabf5fba5c7d92a9ed">
              <w:r>
                <w:rPr>
                  <w:rStyle w:val="InternetLink"/>
                  <w:rFonts w:ascii="Times New Roman;serif" w:hAnsi="Times New Roman;serif"/>
                  <w:b w:val="false"/>
                  <w:strike w:val="false"/>
                  <w:dstrike w:val="false"/>
                  <w:color w:val="000000"/>
                  <w:sz w:val="24"/>
                  <w:u w:val="none"/>
                  <w:effect w:val="none"/>
                </w:rPr>
                <w:t>7.3.    Conditions to Obligations of the Company and the Company Operating Partnership</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e13a894e0b47aabf5fba5c7d92a9ed">
              <w:r>
                <w:rPr>
                  <w:rStyle w:val="InternetLink"/>
                  <w:rFonts w:ascii="Times New Roman;serif" w:hAnsi="Times New Roman;serif"/>
                  <w:b w:val="false"/>
                  <w:strike w:val="false"/>
                  <w:dstrike w:val="false"/>
                  <w:color w:val="000000"/>
                  <w:sz w:val="24"/>
                  <w:u w:val="none"/>
                  <w:effect w:val="none"/>
                </w:rPr>
                <w:t>-90-</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59fce7ebd94937ad9a6db14e1bfca6">
              <w:r>
                <w:rPr>
                  <w:rStyle w:val="InternetLink"/>
                  <w:rFonts w:ascii="Times New Roman;serif" w:hAnsi="Times New Roman;serif"/>
                  <w:b w:val="false"/>
                  <w:strike w:val="false"/>
                  <w:dstrike w:val="false"/>
                  <w:color w:val="000000"/>
                  <w:sz w:val="24"/>
                  <w:u w:val="none"/>
                  <w:effect w:val="none"/>
                </w:rPr>
                <w:t>Article VIII    </w:t>
                <w:br/>
                <w:br/>
                <w:t>TERMINATION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59fce7ebd94937ad9a6db14e1bfca6">
              <w:r>
                <w:rPr>
                  <w:rStyle w:val="InternetLink"/>
                  <w:rFonts w:ascii="Times New Roman;serif" w:hAnsi="Times New Roman;serif"/>
                  <w:b w:val="false"/>
                  <w:strike w:val="false"/>
                  <w:dstrike w:val="false"/>
                  <w:color w:val="000000"/>
                  <w:sz w:val="24"/>
                  <w:u w:val="none"/>
                  <w:effect w:val="none"/>
                </w:rPr>
                <w:t>-91-</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62e420d16734c1394414dfb16c526fd">
              <w:r>
                <w:rPr>
                  <w:rStyle w:val="InternetLink"/>
                  <w:rFonts w:ascii="Times New Roman;serif" w:hAnsi="Times New Roman;serif"/>
                  <w:b w:val="false"/>
                  <w:strike w:val="false"/>
                  <w:dstrike w:val="false"/>
                  <w:color w:val="000000"/>
                  <w:sz w:val="24"/>
                  <w:u w:val="none"/>
                  <w:effect w:val="none"/>
                </w:rPr>
                <w:t>8.1.    Termination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2e420d16734c1394414dfb16c526fd">
              <w:r>
                <w:rPr>
                  <w:rStyle w:val="InternetLink"/>
                  <w:rFonts w:ascii="Times New Roman;serif" w:hAnsi="Times New Roman;serif"/>
                  <w:b w:val="false"/>
                  <w:strike w:val="false"/>
                  <w:dstrike w:val="false"/>
                  <w:color w:val="000000"/>
                  <w:sz w:val="24"/>
                  <w:u w:val="none"/>
                  <w:effect w:val="none"/>
                </w:rPr>
                <w:t>-91-</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3f4540ca624e53b090854ad610d6fe">
              <w:r>
                <w:rPr>
                  <w:rStyle w:val="InternetLink"/>
                  <w:rFonts w:ascii="Times New Roman;serif" w:hAnsi="Times New Roman;serif"/>
                  <w:b w:val="false"/>
                  <w:strike w:val="false"/>
                  <w:dstrike w:val="false"/>
                  <w:color w:val="000000"/>
                  <w:sz w:val="24"/>
                  <w:u w:val="none"/>
                  <w:effect w:val="none"/>
                </w:rPr>
                <w:t>8.2.    Expenses; Transfer Taxes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3f4540ca624e53b090854ad610d6fe">
              <w:r>
                <w:rPr>
                  <w:rStyle w:val="InternetLink"/>
                  <w:rFonts w:ascii="Times New Roman;serif" w:hAnsi="Times New Roman;serif"/>
                  <w:b w:val="false"/>
                  <w:strike w:val="false"/>
                  <w:dstrike w:val="false"/>
                  <w:color w:val="000000"/>
                  <w:sz w:val="24"/>
                  <w:u w:val="none"/>
                  <w:effect w:val="none"/>
                </w:rPr>
                <w:t>-93-</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8c0154daec848f88af6e24af1b68561">
              <w:r>
                <w:rPr>
                  <w:rStyle w:val="InternetLink"/>
                  <w:rFonts w:ascii="Times New Roman;serif" w:hAnsi="Times New Roman;serif"/>
                  <w:b w:val="false"/>
                  <w:strike w:val="false"/>
                  <w:dstrike w:val="false"/>
                  <w:color w:val="000000"/>
                  <w:sz w:val="24"/>
                  <w:u w:val="none"/>
                  <w:effect w:val="none"/>
                </w:rPr>
                <w:t>8.3.    Effect of Termination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c0154daec848f88af6e24af1b68561">
              <w:r>
                <w:rPr>
                  <w:rStyle w:val="InternetLink"/>
                  <w:rFonts w:ascii="Times New Roman;serif" w:hAnsi="Times New Roman;serif"/>
                  <w:b w:val="false"/>
                  <w:strike w:val="false"/>
                  <w:dstrike w:val="false"/>
                  <w:color w:val="000000"/>
                  <w:sz w:val="24"/>
                  <w:u w:val="none"/>
                  <w:effect w:val="none"/>
                </w:rPr>
                <w:t>-93-</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c35341d7ea4c3fa76d7c10aca71668">
              <w:r>
                <w:rPr>
                  <w:rStyle w:val="InternetLink"/>
                  <w:rFonts w:ascii="Times New Roman;serif" w:hAnsi="Times New Roman;serif"/>
                  <w:b w:val="false"/>
                  <w:strike w:val="false"/>
                  <w:dstrike w:val="false"/>
                  <w:color w:val="000000"/>
                  <w:sz w:val="24"/>
                  <w:u w:val="none"/>
                  <w:effect w:val="none"/>
                </w:rPr>
                <w:t>Article IX    </w:t>
                <w:br/>
                <w:br/>
                <w:t>MISCELLANEOUS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c35341d7ea4c3fa76d7c10aca71668">
              <w:r>
                <w:rPr>
                  <w:rStyle w:val="InternetLink"/>
                  <w:rFonts w:ascii="Times New Roman;serif" w:hAnsi="Times New Roman;serif"/>
                  <w:b w:val="false"/>
                  <w:strike w:val="false"/>
                  <w:dstrike w:val="false"/>
                  <w:color w:val="000000"/>
                  <w:sz w:val="24"/>
                  <w:u w:val="none"/>
                  <w:effect w:val="none"/>
                </w:rPr>
                <w:t>-98-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c0968e300e74fdbb2c94ad0051d8f43">
              <w:r>
                <w:rPr>
                  <w:rStyle w:val="InternetLink"/>
                  <w:rFonts w:ascii="Times New Roman;serif" w:hAnsi="Times New Roman;serif"/>
                  <w:b w:val="false"/>
                  <w:strike w:val="false"/>
                  <w:dstrike w:val="false"/>
                  <w:color w:val="000000"/>
                  <w:sz w:val="24"/>
                  <w:u w:val="none"/>
                  <w:effect w:val="none"/>
                </w:rPr>
                <w:t>9.1.    Nonsurvival of Representations and Warranties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0968e300e74fdbb2c94ad0051d8f43">
              <w:r>
                <w:rPr>
                  <w:rStyle w:val="InternetLink"/>
                  <w:rFonts w:ascii="Times New Roman;serif" w:hAnsi="Times New Roman;serif"/>
                  <w:b w:val="false"/>
                  <w:strike w:val="false"/>
                  <w:dstrike w:val="false"/>
                  <w:color w:val="000000"/>
                  <w:sz w:val="24"/>
                  <w:u w:val="none"/>
                  <w:effect w:val="none"/>
                </w:rPr>
                <w:t>-98-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7d0e077eb824c2484e072374187dea8">
              <w:r>
                <w:rPr>
                  <w:rStyle w:val="InternetLink"/>
                  <w:rFonts w:ascii="Times New Roman;serif" w:hAnsi="Times New Roman;serif"/>
                  <w:b w:val="false"/>
                  <w:strike w:val="false"/>
                  <w:dstrike w:val="false"/>
                  <w:color w:val="000000"/>
                  <w:sz w:val="24"/>
                  <w:u w:val="none"/>
                  <w:effect w:val="none"/>
                </w:rPr>
                <w:t>9.2.    Amendment; Waiver</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d0e077eb824c2484e072374187dea8">
              <w:r>
                <w:rPr>
                  <w:rStyle w:val="InternetLink"/>
                  <w:rFonts w:ascii="Times New Roman;serif" w:hAnsi="Times New Roman;serif"/>
                  <w:b w:val="false"/>
                  <w:strike w:val="false"/>
                  <w:dstrike w:val="false"/>
                  <w:color w:val="000000"/>
                  <w:sz w:val="24"/>
                  <w:u w:val="none"/>
                  <w:effect w:val="none"/>
                </w:rPr>
                <w:t>-98-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5a9bd8d3c374945bd919175fc2539bf">
              <w:r>
                <w:rPr>
                  <w:rStyle w:val="InternetLink"/>
                  <w:rFonts w:ascii="Times New Roman;serif" w:hAnsi="Times New Roman;serif"/>
                  <w:b w:val="false"/>
                  <w:strike w:val="false"/>
                  <w:dstrike w:val="false"/>
                  <w:color w:val="000000"/>
                  <w:sz w:val="24"/>
                  <w:u w:val="none"/>
                  <w:effect w:val="none"/>
                </w:rPr>
                <w:t>9.3.    Notice</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a9bd8d3c374945bd919175fc2539bf">
              <w:r>
                <w:rPr>
                  <w:rStyle w:val="InternetLink"/>
                  <w:rFonts w:ascii="Times New Roman;serif" w:hAnsi="Times New Roman;serif"/>
                  <w:b w:val="false"/>
                  <w:strike w:val="false"/>
                  <w:dstrike w:val="false"/>
                  <w:color w:val="000000"/>
                  <w:sz w:val="24"/>
                  <w:u w:val="none"/>
                  <w:effect w:val="none"/>
                </w:rPr>
                <w:t>-98-</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56e5ad8bac54d8a94d8d3d82bcaeba1">
              <w:r>
                <w:rPr>
                  <w:rStyle w:val="InternetLink"/>
                  <w:rFonts w:ascii="Times New Roman;serif" w:hAnsi="Times New Roman;serif"/>
                  <w:b w:val="false"/>
                  <w:strike w:val="false"/>
                  <w:dstrike w:val="false"/>
                  <w:color w:val="000000"/>
                  <w:sz w:val="24"/>
                  <w:u w:val="none"/>
                  <w:effect w:val="none"/>
                </w:rPr>
                <w:t>9.4.    Counterparts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6e5ad8bac54d8a94d8d3d82bcaeba1">
              <w:r>
                <w:rPr>
                  <w:rStyle w:val="InternetLink"/>
                  <w:rFonts w:ascii="Times New Roman;serif" w:hAnsi="Times New Roman;serif"/>
                  <w:b w:val="false"/>
                  <w:strike w:val="false"/>
                  <w:dstrike w:val="false"/>
                  <w:color w:val="000000"/>
                  <w:sz w:val="24"/>
                  <w:u w:val="none"/>
                  <w:effect w:val="none"/>
                </w:rPr>
                <w:t>-99-</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e47b2a5a4354da4ac13a7970d3906b7">
              <w:r>
                <w:rPr>
                  <w:rStyle w:val="InternetLink"/>
                  <w:rFonts w:ascii="Times New Roman;serif" w:hAnsi="Times New Roman;serif"/>
                  <w:b w:val="false"/>
                  <w:strike w:val="false"/>
                  <w:dstrike w:val="false"/>
                  <w:color w:val="000000"/>
                  <w:sz w:val="24"/>
                  <w:u w:val="none"/>
                  <w:effect w:val="none"/>
                </w:rPr>
                <w:t>9.5.    Interpretation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7b2a5a4354da4ac13a7970d3906b7">
              <w:r>
                <w:rPr>
                  <w:rStyle w:val="InternetLink"/>
                  <w:rFonts w:ascii="Times New Roman;serif" w:hAnsi="Times New Roman;serif"/>
                  <w:b w:val="false"/>
                  <w:strike w:val="false"/>
                  <w:dstrike w:val="false"/>
                  <w:color w:val="000000"/>
                  <w:sz w:val="24"/>
                  <w:u w:val="none"/>
                  <w:effect w:val="none"/>
                </w:rPr>
                <w:t>-100-</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83bebe660374a0692da43ec6ad20d68">
              <w:r>
                <w:rPr>
                  <w:rStyle w:val="InternetLink"/>
                  <w:rFonts w:ascii="Times New Roman;serif" w:hAnsi="Times New Roman;serif"/>
                  <w:b w:val="false"/>
                  <w:strike w:val="false"/>
                  <w:dstrike w:val="false"/>
                  <w:color w:val="000000"/>
                  <w:sz w:val="24"/>
                  <w:u w:val="none"/>
                  <w:effect w:val="none"/>
                </w:rPr>
                <w:t>9.6.    Specific Performance.</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3bebe660374a0692da43ec6ad20d68">
              <w:r>
                <w:rPr>
                  <w:rStyle w:val="InternetLink"/>
                  <w:rFonts w:ascii="Times New Roman;serif" w:hAnsi="Times New Roman;serif"/>
                  <w:b w:val="false"/>
                  <w:strike w:val="false"/>
                  <w:dstrike w:val="false"/>
                  <w:color w:val="000000"/>
                  <w:sz w:val="24"/>
                  <w:u w:val="none"/>
                  <w:effect w:val="none"/>
                </w:rPr>
                <w:t>-100-</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e2867d46f544142921e40cdf7d3bfaf">
              <w:r>
                <w:rPr>
                  <w:rStyle w:val="InternetLink"/>
                  <w:rFonts w:ascii="Times New Roman;serif" w:hAnsi="Times New Roman;serif"/>
                  <w:b w:val="false"/>
                  <w:strike w:val="false"/>
                  <w:dstrike w:val="false"/>
                  <w:color w:val="000000"/>
                  <w:sz w:val="24"/>
                  <w:u w:val="none"/>
                  <w:effect w:val="none"/>
                </w:rPr>
                <w:t>9.7.    Governing Law and Venue; Submission to Jurisdiction; Selection of Forum; Waiver of Trial by Jury</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2867d46f544142921e40cdf7d3bfaf">
              <w:r>
                <w:rPr>
                  <w:rStyle w:val="InternetLink"/>
                  <w:rFonts w:ascii="Times New Roman;serif" w:hAnsi="Times New Roman;serif"/>
                  <w:b w:val="false"/>
                  <w:strike w:val="false"/>
                  <w:dstrike w:val="false"/>
                  <w:color w:val="000000"/>
                  <w:sz w:val="24"/>
                  <w:u w:val="none"/>
                  <w:effect w:val="none"/>
                </w:rPr>
                <w:t>-101-</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96d9e633f8f49d98e56e6563f7e3c2f">
              <w:r>
                <w:rPr>
                  <w:rStyle w:val="InternetLink"/>
                  <w:rFonts w:ascii="Times New Roman;serif" w:hAnsi="Times New Roman;serif"/>
                  <w:b w:val="false"/>
                  <w:strike w:val="false"/>
                  <w:dstrike w:val="false"/>
                  <w:color w:val="000000"/>
                  <w:sz w:val="24"/>
                  <w:u w:val="none"/>
                  <w:effect w:val="none"/>
                </w:rPr>
                <w:t>9.8.    Binding Agreement</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d9e633f8f49d98e56e6563f7e3c2f">
              <w:r>
                <w:rPr>
                  <w:rStyle w:val="InternetLink"/>
                  <w:rFonts w:ascii="Times New Roman;serif" w:hAnsi="Times New Roman;serif"/>
                  <w:b w:val="false"/>
                  <w:strike w:val="false"/>
                  <w:dstrike w:val="false"/>
                  <w:color w:val="000000"/>
                  <w:sz w:val="24"/>
                  <w:u w:val="none"/>
                  <w:effect w:val="none"/>
                </w:rPr>
                <w:t>-101-</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bcf8484ef984c52a381f89dd4dfd3bc">
              <w:r>
                <w:rPr>
                  <w:rStyle w:val="InternetLink"/>
                  <w:rFonts w:ascii="Times New Roman;serif" w:hAnsi="Times New Roman;serif"/>
                  <w:b w:val="false"/>
                  <w:strike w:val="false"/>
                  <w:dstrike w:val="false"/>
                  <w:color w:val="000000"/>
                  <w:sz w:val="24"/>
                  <w:u w:val="none"/>
                  <w:effect w:val="none"/>
                </w:rPr>
                <w:t>9.9.    Entire Understanding</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cf8484ef984c52a381f89dd4dfd3bc">
              <w:r>
                <w:rPr>
                  <w:rStyle w:val="InternetLink"/>
                  <w:rFonts w:ascii="Times New Roman;serif" w:hAnsi="Times New Roman;serif"/>
                  <w:b w:val="false"/>
                  <w:strike w:val="false"/>
                  <w:dstrike w:val="false"/>
                  <w:color w:val="000000"/>
                  <w:sz w:val="24"/>
                  <w:u w:val="none"/>
                  <w:effect w:val="none"/>
                </w:rPr>
                <w:t>-102-</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03e43c0f24b4289ac8d43ac328bd398">
              <w:r>
                <w:rPr>
                  <w:rStyle w:val="InternetLink"/>
                  <w:rFonts w:ascii="Times New Roman;serif" w:hAnsi="Times New Roman;serif"/>
                  <w:b w:val="false"/>
                  <w:strike w:val="false"/>
                  <w:dstrike w:val="false"/>
                  <w:color w:val="000000"/>
                  <w:sz w:val="24"/>
                  <w:u w:val="none"/>
                  <w:effect w:val="none"/>
                </w:rPr>
                <w:t>9.10.    Assignment</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e43c0f24b4289ac8d43ac328bd398">
              <w:r>
                <w:rPr>
                  <w:rStyle w:val="InternetLink"/>
                  <w:rFonts w:ascii="Times New Roman;serif" w:hAnsi="Times New Roman;serif"/>
                  <w:b w:val="false"/>
                  <w:strike w:val="false"/>
                  <w:dstrike w:val="false"/>
                  <w:color w:val="000000"/>
                  <w:sz w:val="24"/>
                  <w:u w:val="none"/>
                  <w:effect w:val="none"/>
                </w:rPr>
                <w:t>-102-</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f13c28e92d4c989e74010cf2d74b89">
              <w:r>
                <w:rPr>
                  <w:rStyle w:val="InternetLink"/>
                  <w:rFonts w:ascii="Times New Roman;serif" w:hAnsi="Times New Roman;serif"/>
                  <w:b w:val="false"/>
                  <w:strike w:val="false"/>
                  <w:dstrike w:val="false"/>
                  <w:color w:val="000000"/>
                  <w:sz w:val="24"/>
                  <w:u w:val="none"/>
                  <w:effect w:val="none"/>
                </w:rPr>
                <w:t>9.11.    Third-Party Beneficiaries</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f13c28e92d4c989e74010cf2d74b89">
              <w:r>
                <w:rPr>
                  <w:rStyle w:val="InternetLink"/>
                  <w:rFonts w:ascii="Times New Roman;serif" w:hAnsi="Times New Roman;serif"/>
                  <w:b w:val="false"/>
                  <w:strike w:val="false"/>
                  <w:dstrike w:val="false"/>
                  <w:color w:val="000000"/>
                  <w:sz w:val="24"/>
                  <w:u w:val="none"/>
                  <w:effect w:val="none"/>
                </w:rPr>
                <w:t>-102-</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a2915c0d9e4489aa4b7f36e491915ed">
              <w:r>
                <w:rPr>
                  <w:rStyle w:val="InternetLink"/>
                  <w:rFonts w:ascii="Times New Roman;serif" w:hAnsi="Times New Roman;serif"/>
                  <w:b w:val="false"/>
                  <w:strike w:val="false"/>
                  <w:dstrike w:val="false"/>
                  <w:color w:val="000000"/>
                  <w:sz w:val="24"/>
                  <w:u w:val="none"/>
                  <w:effect w:val="none"/>
                </w:rPr>
                <w:t>9.12.    Severability</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2915c0d9e4489aa4b7f36e491915ed">
              <w:r>
                <w:rPr>
                  <w:rStyle w:val="InternetLink"/>
                  <w:rFonts w:ascii="Times New Roman;serif" w:hAnsi="Times New Roman;serif"/>
                  <w:b w:val="false"/>
                  <w:strike w:val="false"/>
                  <w:dstrike w:val="false"/>
                  <w:color w:val="000000"/>
                  <w:sz w:val="24"/>
                  <w:u w:val="none"/>
                  <w:effect w:val="none"/>
                </w:rPr>
                <w:t>-102-</w:t>
              </w:r>
            </w:hyperlink>
          </w:p>
        </w:tc>
      </w:tr>
      <w:tr>
        <w:trPr/>
        <w:tc>
          <w:tcPr>
            <w:tcW w:w="9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8dab482b945410fbf2d4dbaae2cd8a7">
              <w:r>
                <w:rPr>
                  <w:rStyle w:val="InternetLink"/>
                  <w:rFonts w:ascii="Times New Roman;serif" w:hAnsi="Times New Roman;serif"/>
                  <w:b w:val="false"/>
                  <w:strike w:val="false"/>
                  <w:dstrike w:val="false"/>
                  <w:color w:val="000000"/>
                  <w:sz w:val="24"/>
                  <w:u w:val="none"/>
                  <w:effect w:val="none"/>
                </w:rPr>
                <w:t>9.13.    Construction</w:t>
              </w:r>
            </w:hyperlink>
          </w:p>
        </w:tc>
        <w:tc>
          <w:tcPr>
            <w:tcW w:w="65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dab482b945410fbf2d4dbaae2cd8a7">
              <w:r>
                <w:rPr>
                  <w:rStyle w:val="InternetLink"/>
                  <w:rFonts w:ascii="Times New Roman;serif" w:hAnsi="Times New Roman;serif"/>
                  <w:b w:val="false"/>
                  <w:strike w:val="false"/>
                  <w:dstrike w:val="false"/>
                  <w:color w:val="000000"/>
                  <w:sz w:val="24"/>
                  <w:u w:val="none"/>
                  <w:effect w:val="none"/>
                </w:rPr>
                <w:t>-102-</w:t>
              </w:r>
            </w:hyperlink>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ANNEXES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60705"/>
                <wp:effectExtent l="0" t="0" r="0" b="0"/>
                <wp:wrapNone/>
                <wp:docPr id="11"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ind w:left="0" w:right="0" w:hanging="1440"/>
        <w:jc w:val="left"/>
        <w:rPr/>
      </w:pPr>
      <w:hyperlink w:anchor="i64df24d685ca492ab23cdd29ec49eefb_2007">
        <w:r>
          <w:rPr>
            <w:rStyle w:val="InternetLink"/>
            <w:rFonts w:ascii="Times New Roman;serif" w:hAnsi="Times New Roman;serif"/>
            <w:b w:val="false"/>
            <w:color w:val="0000FF"/>
            <w:sz w:val="24"/>
            <w:u w:val="single"/>
            <w:shd w:fill="FFFFFF" w:val="clear"/>
          </w:rPr>
          <w:t>Annex A</w:t>
        </w:r>
      </w:hyperlink>
      <w:r>
        <w:rPr>
          <w:color w:val="000000"/>
          <w:shd w:fill="FFFFFF" w:val="clear"/>
        </w:rPr>
        <w:t>    </w:t>
      </w:r>
      <w:hyperlink w:anchor="i64df24d685ca492ab23cdd29ec49eefb_2007">
        <w:r>
          <w:rPr>
            <w:rStyle w:val="InternetLink"/>
            <w:rFonts w:ascii="Times New Roman;serif" w:hAnsi="Times New Roman;serif"/>
            <w:b w:val="false"/>
            <w:color w:val="0000FF"/>
            <w:sz w:val="24"/>
            <w:u w:val="single"/>
            <w:shd w:fill="FFFFFF" w:val="clear"/>
          </w:rPr>
          <w:t>Form of Articles Supplementary Classifying Parent Series D Cumulative Redeemable Preferred Stock</w:t>
        </w:r>
      </w:hyperlink>
    </w:p>
    <w:p>
      <w:pPr>
        <w:pStyle w:val="TextBody"/>
        <w:bidi w:val="0"/>
        <w:spacing w:lineRule="auto" w:line="288" w:before="0" w:after="0"/>
        <w:ind w:left="0" w:right="0" w:hanging="1440"/>
        <w:jc w:val="left"/>
        <w:rPr/>
      </w:pPr>
      <w:hyperlink w:anchor="i64df24d685ca492ab23cdd29ec49eefb_2029">
        <w:r>
          <w:rPr>
            <w:rStyle w:val="InternetLink"/>
            <w:rFonts w:ascii="Times New Roman;serif" w:hAnsi="Times New Roman;serif"/>
            <w:b w:val="false"/>
            <w:color w:val="0000FF"/>
            <w:sz w:val="24"/>
            <w:u w:val="single"/>
            <w:shd w:fill="FFFFFF" w:val="clear"/>
          </w:rPr>
          <w:t>Annex B</w:t>
        </w:r>
      </w:hyperlink>
      <w:r>
        <w:rPr>
          <w:color w:val="000000"/>
          <w:shd w:fill="FFFFFF" w:val="clear"/>
        </w:rPr>
        <w:t>    </w:t>
      </w:r>
      <w:hyperlink w:anchor="i64df24d685ca492ab23cdd29ec49eefb_2029">
        <w:r>
          <w:rPr>
            <w:rStyle w:val="InternetLink"/>
            <w:rFonts w:ascii="Times New Roman;serif" w:hAnsi="Times New Roman;serif"/>
            <w:b w:val="false"/>
            <w:color w:val="0000FF"/>
            <w:sz w:val="24"/>
            <w:u w:val="single"/>
            <w:shd w:fill="FFFFFF" w:val="clear"/>
          </w:rPr>
          <w:t>Form of Articles Supplementary Classifying Parent Series E Cumulative Redeemable Preferred Stock</w:t>
        </w:r>
      </w:hyperlink>
    </w:p>
    <w:p>
      <w:pPr>
        <w:pStyle w:val="TextBody"/>
        <w:bidi w:val="0"/>
        <w:spacing w:lineRule="auto" w:line="288" w:before="0" w:after="0"/>
        <w:jc w:val="left"/>
        <w:rPr/>
      </w:pPr>
      <w:hyperlink w:anchor="i64df24d685ca492ab23cdd29ec49eefb_2082">
        <w:r>
          <w:rPr>
            <w:rStyle w:val="InternetLink"/>
            <w:rFonts w:ascii="Times New Roman;serif" w:hAnsi="Times New Roman;serif"/>
            <w:b w:val="false"/>
            <w:color w:val="0000FF"/>
            <w:sz w:val="24"/>
            <w:u w:val="single"/>
            <w:shd w:fill="FFFFFF" w:val="clear"/>
          </w:rPr>
          <w:t>Annex C</w:t>
        </w:r>
      </w:hyperlink>
      <w:r>
        <w:rPr>
          <w:color w:val="000000"/>
          <w:shd w:fill="FFFFFF" w:val="clear"/>
        </w:rPr>
        <w:t>    </w:t>
      </w:r>
      <w:hyperlink w:anchor="i64df24d685ca492ab23cdd29ec49eefb_2082">
        <w:r>
          <w:rPr>
            <w:rStyle w:val="InternetLink"/>
            <w:rFonts w:ascii="Times New Roman;serif" w:hAnsi="Times New Roman;serif"/>
            <w:b w:val="false"/>
            <w:color w:val="0000FF"/>
            <w:sz w:val="24"/>
            <w:u w:val="single"/>
            <w:shd w:fill="FFFFFF" w:val="clear"/>
          </w:rPr>
          <w:t>Form of Mayer Brown LLP Opinion to Parent</w:t>
        </w:r>
      </w:hyperlink>
    </w:p>
    <w:p>
      <w:pPr>
        <w:pStyle w:val="TextBody"/>
        <w:bidi w:val="0"/>
        <w:spacing w:lineRule="auto" w:line="288" w:before="0" w:after="0"/>
        <w:jc w:val="left"/>
        <w:rPr/>
      </w:pPr>
      <w:hyperlink w:anchor="i64df24d685ca492ab23cdd29ec49eefb_2096">
        <w:r>
          <w:rPr>
            <w:rStyle w:val="InternetLink"/>
            <w:rFonts w:ascii="Times New Roman;serif" w:hAnsi="Times New Roman;serif"/>
            <w:b w:val="false"/>
            <w:color w:val="0000FF"/>
            <w:sz w:val="24"/>
            <w:u w:val="single"/>
            <w:shd w:fill="FFFFFF" w:val="clear"/>
          </w:rPr>
          <w:t>Annex D</w:t>
        </w:r>
      </w:hyperlink>
      <w:r>
        <w:rPr>
          <w:color w:val="000000"/>
          <w:shd w:fill="FFFFFF" w:val="clear"/>
        </w:rPr>
        <w:t>    </w:t>
      </w:r>
      <w:hyperlink w:anchor="i64df24d685ca492ab23cdd29ec49eefb_2096">
        <w:r>
          <w:rPr>
            <w:rStyle w:val="InternetLink"/>
            <w:rFonts w:ascii="Times New Roman;serif" w:hAnsi="Times New Roman;serif"/>
            <w:b w:val="false"/>
            <w:color w:val="0000FF"/>
            <w:sz w:val="24"/>
            <w:u w:val="single"/>
            <w:shd w:fill="FFFFFF" w:val="clear"/>
          </w:rPr>
          <w:t>Form of Hunton Andrews Kurth LLP Opinion to Parent</w:t>
        </w:r>
      </w:hyperlink>
    </w:p>
    <w:p>
      <w:pPr>
        <w:pStyle w:val="TextBody"/>
        <w:bidi w:val="0"/>
        <w:spacing w:lineRule="auto" w:line="288" w:before="0" w:after="0"/>
        <w:jc w:val="left"/>
        <w:rPr/>
      </w:pPr>
      <w:hyperlink w:anchor="i64df24d685ca492ab23cdd29ec49eefb_2110">
        <w:r>
          <w:rPr>
            <w:rStyle w:val="InternetLink"/>
            <w:rFonts w:ascii="Times New Roman;serif" w:hAnsi="Times New Roman;serif"/>
            <w:b w:val="false"/>
            <w:color w:val="0000FF"/>
            <w:sz w:val="24"/>
            <w:u w:val="single"/>
            <w:shd w:fill="FFFFFF" w:val="clear"/>
          </w:rPr>
          <w:t>Annex E</w:t>
        </w:r>
      </w:hyperlink>
      <w:r>
        <w:rPr>
          <w:color w:val="000000"/>
          <w:shd w:fill="FFFFFF" w:val="clear"/>
        </w:rPr>
        <w:t>    </w:t>
      </w:r>
      <w:hyperlink w:anchor="i64df24d685ca492ab23cdd29ec49eefb_2110">
        <w:r>
          <w:rPr>
            <w:rStyle w:val="InternetLink"/>
            <w:rFonts w:ascii="Times New Roman;serif" w:hAnsi="Times New Roman;serif"/>
            <w:b w:val="false"/>
            <w:color w:val="0000FF"/>
            <w:sz w:val="24"/>
            <w:u w:val="single"/>
            <w:shd w:fill="FFFFFF" w:val="clear"/>
          </w:rPr>
          <w:t>Form of Hunton Andrews Kurth LLP Opinion to the Company</w:t>
        </w:r>
      </w:hyperlink>
    </w:p>
    <w:p>
      <w:pPr>
        <w:pStyle w:val="TextBody"/>
        <w:bidi w:val="0"/>
        <w:spacing w:lineRule="auto" w:line="288" w:before="0" w:after="0"/>
        <w:jc w:val="left"/>
        <w:rPr/>
      </w:pPr>
      <w:hyperlink w:anchor="i64df24d685ca492ab23cdd29ec49eefb_2124">
        <w:r>
          <w:rPr>
            <w:rStyle w:val="InternetLink"/>
            <w:rFonts w:ascii="Times New Roman;serif" w:hAnsi="Times New Roman;serif"/>
            <w:b w:val="false"/>
            <w:color w:val="0000FF"/>
            <w:sz w:val="24"/>
            <w:u w:val="single"/>
            <w:shd w:fill="FFFFFF" w:val="clear"/>
          </w:rPr>
          <w:t>Annex F</w:t>
        </w:r>
      </w:hyperlink>
      <w:r>
        <w:rPr>
          <w:color w:val="000000"/>
          <w:shd w:fill="FFFFFF" w:val="clear"/>
        </w:rPr>
        <w:t>    </w:t>
      </w:r>
      <w:hyperlink w:anchor="i64df24d685ca492ab23cdd29ec49eefb_2124">
        <w:r>
          <w:rPr>
            <w:rStyle w:val="InternetLink"/>
            <w:rFonts w:ascii="Times New Roman;serif" w:hAnsi="Times New Roman;serif"/>
            <w:b w:val="false"/>
            <w:color w:val="0000FF"/>
            <w:sz w:val="24"/>
            <w:u w:val="single"/>
            <w:shd w:fill="FFFFFF" w:val="clear"/>
          </w:rPr>
          <w:t>Form of Mayer Brown LLP Opinion to the Company</w:t>
        </w:r>
      </w:hyperlink>
    </w:p>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60705"/>
                <wp:effectExtent l="0" t="0" r="0" b="0"/>
                <wp:wrapNone/>
                <wp:docPr id="12"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AGREEMENT AND PLAN OF MERGER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AGREEMENT AND PLAN OF MERGER is made as of August 9,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and among TPG Mortgage Investment Trust, Inc., a Maryland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Cherry Hill Mortgage Investment Corporation,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Company Operating Partnership</w:t>
      </w:r>
      <w:r>
        <w:rPr>
          <w:color w:val="000000"/>
        </w:rPr>
        <w:t>”</w:t>
      </w:r>
      <w:r>
        <w:rPr>
          <w:rFonts w:ascii="Times New Roman;serif" w:hAnsi="Times New Roman;serif"/>
          <w:b w:val="false"/>
          <w:color w:val="000000"/>
          <w:sz w:val="24"/>
        </w:rPr>
        <w:t>), and, solely for purposes of </w:t>
      </w:r>
      <w:r>
        <w:rPr>
          <w:rFonts w:ascii="Times New Roman;serif" w:hAnsi="Times New Roman;serif"/>
          <w:b w:val="false"/>
          <w:color w:val="000000"/>
          <w:sz w:val="24"/>
          <w:u w:val="single"/>
        </w:rPr>
        <w:t>Section 3.1(b)(i)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3.4(i)</w:t>
      </w:r>
      <w:r>
        <w:rPr>
          <w:rFonts w:ascii="Times New Roman;serif" w:hAnsi="Times New Roman;serif"/>
          <w:b w:val="false"/>
          <w:color w:val="000000"/>
          <w:sz w:val="24"/>
        </w:rPr>
        <w:t xml:space="preserve">, the applicable sections of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IX</w:t>
      </w:r>
      <w:r>
        <w:rPr>
          <w:rFonts w:ascii="Times New Roman;serif" w:hAnsi="Times New Roman;serif"/>
          <w:b w:val="false"/>
          <w:color w:val="000000"/>
          <w:sz w:val="24"/>
        </w:rPr>
        <w:t>, AG REIT Management, LLC, a Delaware limited liability company (“</w:t>
      </w:r>
      <w:r>
        <w:rPr>
          <w:rFonts w:ascii="Times New Roman;serif" w:hAnsi="Times New Roman;serif"/>
          <w:b w:val="false"/>
          <w:color w:val="000000"/>
          <w:sz w:val="24"/>
          <w:u w:val="single"/>
        </w:rPr>
        <w:t>Parent Manager</w:t>
      </w:r>
      <w:r>
        <w:rPr>
          <w:color w:val="000000"/>
        </w:rPr>
        <w:t>”</w:t>
      </w:r>
      <w:r>
        <w:rPr>
          <w:rFonts w:ascii="Times New Roman;serif" w:hAnsi="Times New Roman;serif"/>
          <w:b w:val="false"/>
          <w:color w:val="000000"/>
          <w:sz w:val="24"/>
        </w:rPr>
        <w:t xml:space="preserve">). Certain capitalized terms used herein are defined in </w:t>
      </w:r>
      <w:r>
        <w:rPr>
          <w:rFonts w:ascii="Times New Roman;serif" w:hAnsi="Times New Roman;serif"/>
          <w:b w:val="false"/>
          <w:color w:val="000000"/>
          <w:sz w:val="24"/>
          <w:u w:val="single"/>
        </w:rPr>
        <w:t>Article 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Company and Parent are each operating as a real estate investment trust within the meaning, and under the provisions, of Sections 856 through 860 of the Internal Revenue Code of 1986, as amended (the “</w:t>
      </w:r>
      <w:r>
        <w:rPr>
          <w:rFonts w:ascii="Times New Roman;serif" w:hAnsi="Times New Roman;serif"/>
          <w:b w:val="false"/>
          <w:color w:val="000000"/>
          <w:sz w:val="24"/>
          <w:u w:val="single"/>
          <w:shd w:fill="FFFFFF" w:val="clear"/>
        </w:rPr>
        <w:t>Code</w:t>
      </w:r>
      <w:r>
        <w:rPr>
          <w:color w:val="000000"/>
          <w:shd w:fill="FFFFFF" w:val="clear"/>
        </w:rPr>
        <w:t>”</w:t>
      </w:r>
      <w:r>
        <w:rPr>
          <w:rFonts w:ascii="Times New Roman;serif" w:hAnsi="Times New Roman;serif"/>
          <w:b w:val="false"/>
          <w:color w:val="000000"/>
          <w:sz w:val="24"/>
          <w:shd w:fill="FFFFFF" w:val="clear"/>
        </w:rPr>
        <w:t>), for U.S. federal income tax purposes (“</w:t>
      </w:r>
      <w:r>
        <w:rPr>
          <w:rFonts w:ascii="Times New Roman;serif" w:hAnsi="Times New Roman;serif"/>
          <w:b w:val="false"/>
          <w:color w:val="000000"/>
          <w:sz w:val="24"/>
          <w:u w:val="single"/>
          <w:shd w:fill="FFFFFF" w:val="clear"/>
        </w:rPr>
        <w:t>REIT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Company, the Company Operating Partnership, Parent and Merger Sub wish to effect a business combination through (a) a merger of the Company Operating Partnership with and into the Company, with the Company being the surviving entity in such merger (the “</w:t>
      </w:r>
      <w:r>
        <w:rPr>
          <w:rFonts w:ascii="Times New Roman;serif" w:hAnsi="Times New Roman;serif"/>
          <w:b w:val="false"/>
          <w:color w:val="000000"/>
          <w:sz w:val="24"/>
          <w:u w:val="single"/>
          <w:shd w:fill="FFFFFF" w:val="clear"/>
        </w:rPr>
        <w:t>Partnership Merger</w:t>
      </w:r>
      <w:r>
        <w:rPr>
          <w:color w:val="000000"/>
          <w:shd w:fill="FFFFFF" w:val="clear"/>
        </w:rPr>
        <w:t>”</w:t>
      </w:r>
      <w:r>
        <w:rPr>
          <w:rFonts w:ascii="Times New Roman;serif" w:hAnsi="Times New Roman;serif"/>
          <w:b w:val="false"/>
          <w:color w:val="000000"/>
          <w:sz w:val="24"/>
          <w:shd w:fill="FFFFFF" w:val="clear"/>
        </w:rPr>
        <w:t>), upon the terms and conditions set forth in this Agreement and in accordance with the Delaware Revised Uniform Limited Partnership Act (the “</w:t>
      </w:r>
      <w:r>
        <w:rPr>
          <w:rFonts w:ascii="Times New Roman;serif" w:hAnsi="Times New Roman;serif"/>
          <w:b w:val="false"/>
          <w:color w:val="000000"/>
          <w:sz w:val="24"/>
          <w:u w:val="single"/>
          <w:shd w:fill="FFFFFF" w:val="clear"/>
        </w:rPr>
        <w:t>DRULPA</w:t>
      </w:r>
      <w:r>
        <w:rPr>
          <w:color w:val="000000"/>
          <w:shd w:fill="FFFFFF" w:val="clear"/>
        </w:rPr>
        <w:t>”</w:t>
      </w:r>
      <w:r>
        <w:rPr>
          <w:rFonts w:ascii="Times New Roman;serif" w:hAnsi="Times New Roman;serif"/>
          <w:b w:val="false"/>
          <w:color w:val="000000"/>
          <w:sz w:val="24"/>
          <w:shd w:fill="FFFFFF" w:val="clear"/>
        </w:rPr>
        <w:t>) and the Maryland General Corporation Law (the “</w:t>
      </w:r>
      <w:r>
        <w:rPr>
          <w:rFonts w:ascii="Times New Roman;serif" w:hAnsi="Times New Roman;serif"/>
          <w:b w:val="false"/>
          <w:color w:val="000000"/>
          <w:sz w:val="24"/>
          <w:u w:val="single"/>
          <w:shd w:fill="FFFFFF" w:val="clear"/>
        </w:rPr>
        <w:t>MGCL</w:t>
      </w:r>
      <w:r>
        <w:rPr>
          <w:color w:val="000000"/>
          <w:shd w:fill="FFFFFF" w:val="clear"/>
        </w:rPr>
        <w:t>”</w:t>
      </w:r>
      <w:r>
        <w:rPr>
          <w:rFonts w:ascii="Times New Roman;serif" w:hAnsi="Times New Roman;serif"/>
          <w:b w:val="false"/>
          <w:color w:val="000000"/>
          <w:sz w:val="24"/>
          <w:shd w:fill="FFFFFF" w:val="clear"/>
        </w:rPr>
        <w:t>) and then (b) a merger of the Company with and into Merger Sub, with Merger Sub being the Surviving Entity (the “</w:t>
      </w:r>
      <w:r>
        <w:rPr>
          <w:rFonts w:ascii="Times New Roman;serif" w:hAnsi="Times New Roman;serif"/>
          <w:b w:val="false"/>
          <w:color w:val="000000"/>
          <w:sz w:val="24"/>
          <w:u w:val="single"/>
          <w:shd w:fill="FFFFFF" w:val="clear"/>
        </w:rPr>
        <w:t>Company Merger</w:t>
      </w:r>
      <w:r>
        <w:rPr>
          <w:color w:val="000000"/>
          <w:shd w:fill="FFFFFF" w:val="clear"/>
        </w:rPr>
        <w:t xml:space="preserve">” </w:t>
      </w:r>
      <w:r>
        <w:rPr>
          <w:rFonts w:ascii="Times New Roman;serif" w:hAnsi="Times New Roman;serif"/>
          <w:b w:val="false"/>
          <w:color w:val="000000"/>
          <w:sz w:val="24"/>
          <w:shd w:fill="FFFFFF" w:val="clear"/>
        </w:rPr>
        <w:t>and together with the Partnership Merger, the “</w:t>
      </w:r>
      <w:r>
        <w:rPr>
          <w:rFonts w:ascii="Times New Roman;serif" w:hAnsi="Times New Roman;serif"/>
          <w:b w:val="false"/>
          <w:color w:val="000000"/>
          <w:sz w:val="24"/>
          <w:u w:val="single"/>
          <w:shd w:fill="FFFFFF" w:val="clear"/>
        </w:rPr>
        <w:t>Mergers</w:t>
      </w:r>
      <w:r>
        <w:rPr>
          <w:color w:val="000000"/>
          <w:shd w:fill="FFFFFF" w:val="clear"/>
        </w:rPr>
        <w:t>”</w:t>
      </w:r>
      <w:r>
        <w:rPr>
          <w:rFonts w:ascii="Times New Roman;serif" w:hAnsi="Times New Roman;serif"/>
          <w:b w:val="false"/>
          <w:color w:val="000000"/>
          <w:sz w:val="24"/>
          <w:shd w:fill="FFFFFF" w:val="clear"/>
        </w:rPr>
        <w:t>), upon the terms and conditions set forth in this Agreement and in accordance with the Delaware Limited Liability Company Act (the “</w:t>
      </w:r>
      <w:r>
        <w:rPr>
          <w:rFonts w:ascii="Times New Roman;serif" w:hAnsi="Times New Roman;serif"/>
          <w:b w:val="false"/>
          <w:color w:val="000000"/>
          <w:sz w:val="24"/>
          <w:u w:val="single"/>
          <w:shd w:fill="FFFFFF" w:val="clear"/>
        </w:rPr>
        <w:t>DLLCA</w:t>
      </w:r>
      <w:r>
        <w:rPr>
          <w:color w:val="000000"/>
          <w:shd w:fill="FFFFFF" w:val="clear"/>
        </w:rPr>
        <w:t>”</w:t>
      </w:r>
      <w:r>
        <w:rPr>
          <w:rFonts w:ascii="Times New Roman;serif" w:hAnsi="Times New Roman;serif"/>
          <w:b w:val="false"/>
          <w:color w:val="000000"/>
          <w:sz w:val="24"/>
          <w:shd w:fill="FFFFFF" w:val="clear"/>
        </w:rPr>
        <w:t>) and the MGCL;</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board of directors of the Company (the “</w:t>
      </w:r>
      <w:r>
        <w:rPr>
          <w:rFonts w:ascii="Times New Roman;serif" w:hAnsi="Times New Roman;serif"/>
          <w:b w:val="false"/>
          <w:color w:val="000000"/>
          <w:sz w:val="24"/>
          <w:u w:val="single"/>
          <w:shd w:fill="FFFFFF" w:val="clear"/>
        </w:rPr>
        <w:t>Company Board</w:t>
      </w:r>
      <w:r>
        <w:rPr>
          <w:color w:val="000000"/>
          <w:shd w:fill="FFFFFF" w:val="clear"/>
        </w:rPr>
        <w:t>”</w:t>
      </w:r>
      <w:r>
        <w:rPr>
          <w:rFonts w:ascii="Times New Roman;serif" w:hAnsi="Times New Roman;serif"/>
          <w:b w:val="false"/>
          <w:color w:val="000000"/>
          <w:sz w:val="24"/>
          <w:shd w:fill="FFFFFF" w:val="clear"/>
        </w:rPr>
        <w:t>) has unanimously: (a) determined that this Agreement and the transactions contemplated herein, including the Mergers (collectively, the “</w:t>
      </w:r>
      <w:r>
        <w:rPr>
          <w:rFonts w:ascii="Times New Roman;serif" w:hAnsi="Times New Roman;serif"/>
          <w:b w:val="false"/>
          <w:color w:val="000000"/>
          <w:sz w:val="24"/>
          <w:u w:val="single"/>
          <w:shd w:fill="FFFFFF" w:val="clear"/>
        </w:rPr>
        <w:t>Transactions</w:t>
      </w:r>
      <w:r>
        <w:rPr>
          <w:color w:val="000000"/>
          <w:shd w:fill="FFFFFF" w:val="clear"/>
        </w:rPr>
        <w:t>”</w:t>
      </w:r>
      <w:r>
        <w:rPr>
          <w:rFonts w:ascii="Times New Roman;serif" w:hAnsi="Times New Roman;serif"/>
          <w:b w:val="false"/>
          <w:color w:val="000000"/>
          <w:sz w:val="24"/>
          <w:shd w:fill="FFFFFF" w:val="clear"/>
        </w:rPr>
        <w:t xml:space="preserve">), are advisable, fair to and in the best interests of the Company and the Company’s stockholders; (b) adopted this Agreement and approved the Transactions, including the Mergers; (c) directed that this Agreement and the Company Merger be submitted for consideration at the Company Stockholders Meeting; and (d) resolved, subject to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to recommend that the Company’s stockholders approve this Agreement and the Company Merger on the terms and subject to the conditions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board of directors of Parent (the “</w:t>
      </w:r>
      <w:r>
        <w:rPr>
          <w:rFonts w:ascii="Times New Roman;serif" w:hAnsi="Times New Roman;serif"/>
          <w:b w:val="false"/>
          <w:color w:val="000000"/>
          <w:sz w:val="24"/>
          <w:u w:val="single"/>
          <w:shd w:fill="FFFFFF" w:val="clear"/>
        </w:rPr>
        <w:t>Parent Board</w:t>
      </w:r>
      <w:r>
        <w:rPr>
          <w:color w:val="000000"/>
          <w:shd w:fill="FFFFFF" w:val="clear"/>
        </w:rPr>
        <w:t>”</w:t>
      </w:r>
      <w:r>
        <w:rPr>
          <w:rFonts w:ascii="Times New Roman;serif" w:hAnsi="Times New Roman;serif"/>
          <w:b w:val="false"/>
          <w:color w:val="000000"/>
          <w:sz w:val="24"/>
          <w:shd w:fill="FFFFFF" w:val="clear"/>
        </w:rPr>
        <w:t>) has unanimously: (a) determined that this Agreement and the Transactions, including the Company Merger and the issuance of shares of Parent Common Stock in connection therewith (the “</w:t>
      </w:r>
      <w:r>
        <w:rPr>
          <w:rFonts w:ascii="Times New Roman;serif" w:hAnsi="Times New Roman;serif"/>
          <w:b w:val="false"/>
          <w:color w:val="000000"/>
          <w:sz w:val="24"/>
          <w:u w:val="single"/>
          <w:shd w:fill="FFFFFF" w:val="clear"/>
        </w:rPr>
        <w:t>Parent Common Stock Issuance</w:t>
      </w:r>
      <w:r>
        <w:rPr>
          <w:color w:val="000000"/>
          <w:shd w:fill="FFFFFF" w:val="clear"/>
        </w:rPr>
        <w:t>”</w:t>
      </w:r>
      <w:r>
        <w:rPr>
          <w:rFonts w:ascii="Times New Roman;serif" w:hAnsi="Times New Roman;serif"/>
          <w:b w:val="false"/>
          <w:color w:val="000000"/>
          <w:sz w:val="24"/>
          <w:shd w:fill="FFFFFF" w:val="clear"/>
        </w:rPr>
        <w:t xml:space="preserve">), are advisable, fair to and in the best interests of Parent; (b) approved this Agreement and the Transactions, including the Company Merger and the Parent Common Stock Issuance; (c) directed that the Parent Common Stock Issuance be submitted for consideration at the Parent Stockholders Meeting; and (d) resolved, subject to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to recommend that Parent’s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stockholders approve the Parent Common Stock Issuance on the terms and subject to the conditions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sole member of Merger Sub has: (a) determined that this Agreement and the Transactions, including the Company Merger, are advisable, fair to and in the best interests of Merger Sub and Parent, as the sole member of Merger Sub (the “</w:t>
      </w:r>
      <w:r>
        <w:rPr>
          <w:rFonts w:ascii="Times New Roman;serif" w:hAnsi="Times New Roman;serif"/>
          <w:b w:val="false"/>
          <w:color w:val="000000"/>
          <w:sz w:val="24"/>
          <w:u w:val="single"/>
          <w:shd w:fill="FFFFFF" w:val="clear"/>
        </w:rPr>
        <w:t>Merger Sub Sole Member</w:t>
      </w:r>
      <w:r>
        <w:rPr>
          <w:color w:val="000000"/>
          <w:shd w:fill="FFFFFF" w:val="clear"/>
        </w:rPr>
        <w:t>”</w:t>
      </w:r>
      <w:r>
        <w:rPr>
          <w:rFonts w:ascii="Times New Roman;serif" w:hAnsi="Times New Roman;serif"/>
          <w:b w:val="false"/>
          <w:color w:val="000000"/>
          <w:sz w:val="24"/>
          <w:shd w:fill="FFFFFF" w:val="clear"/>
        </w:rPr>
        <w:t>); and (b) approved this Agreement and the Transactions, including the Mergers;</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Company, as the sole general partner of the Company Operating Partnership and the holder of a majority of the issued and outstanding Company Partnership Units, has by written consent: (a) determined that this Agreement and the Transactions, including the Partnership Merger, are advisable, fair to and in the best interests of Company Operating Partnership; and (b) approved this Agreement and the Transactions, including the Partnership Merger;</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concurrently with the execution and delivery of this Agreement, the Company and AG MIT, LLC have entered into and delivered a voting and support agreement (the “</w:t>
      </w:r>
      <w:r>
        <w:rPr>
          <w:rFonts w:ascii="Times New Roman;serif" w:hAnsi="Times New Roman;serif"/>
          <w:b w:val="false"/>
          <w:color w:val="000000"/>
          <w:sz w:val="24"/>
          <w:u w:val="single"/>
          <w:shd w:fill="FFFFFF" w:val="clear"/>
        </w:rPr>
        <w:t>Support Agreement</w:t>
      </w:r>
      <w:r>
        <w:rPr>
          <w:color w:val="000000"/>
          <w:shd w:fill="FFFFFF" w:val="clear"/>
        </w:rPr>
        <w:t>”</w:t>
      </w:r>
      <w:r>
        <w:rPr>
          <w:rFonts w:ascii="Times New Roman;serif" w:hAnsi="Times New Roman;serif"/>
          <w:b w:val="false"/>
          <w:color w:val="000000"/>
          <w:sz w:val="24"/>
          <w:shd w:fill="FFFFFF" w:val="clear"/>
        </w:rPr>
        <w:t>) in connection with the Transactions;</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w:t>
      </w:r>
      <w:r>
        <w:rPr>
          <w:color w:val="000000"/>
        </w:rPr>
        <w:t xml:space="preserve"> </w:t>
      </w:r>
      <w:r>
        <w:rPr>
          <w:rFonts w:ascii="Times New Roman;serif" w:hAnsi="Times New Roman;serif"/>
          <w:b w:val="false"/>
          <w:color w:val="000000"/>
          <w:sz w:val="24"/>
          <w:shd w:fill="FFFFFF" w:val="clear"/>
        </w:rPr>
        <w:t xml:space="preserve">for U.S. federal income tax purposes, it is intended that the Company Merger shall qualify as a “reorganization” under, and within the meaning of, Section 368(a) of the Code, and this Agreement is intended to be and is adopted as a “plan of reorganization” for the Mergers for purposes of Sections 354 and 361 of the Code; </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immediately prior to the Partnership Merger Effective Time (as defined below), all outstanding Company LTIP Units shall be converted into Company Common Stock pursuant to, and in accordance with, the terms of the Company Operating Partnership Agreement; and</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parties hereto desire to make certain representations, warranties, covenants and agreements in connection with the Mergers and to prescribe various terms of and conditions to the Mergers.</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NOW, THEREFORE, in consideration of the foregoing and the representations, warranties, covenants and agreements contained in this Agreement, and for other valuable consideration, the receipt and sufficiency of which are hereby acknowledged, Parent, Merger Sub, Parent Manager, the Company and the Company Operating Partnership hereby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center"/>
        <w:rPr>
          <w:rFonts w:ascii="Times New Roman;serif" w:hAnsi="Times New Roman;serif"/>
          <w:b w:val="false"/>
          <w:color w:val="000000"/>
          <w:sz w:val="24"/>
        </w:rPr>
      </w:pPr>
      <w:bookmarkStart w:id="0" w:name="i8bba7d8a2a3440a28f288c23e6347a6e"/>
      <w:bookmarkEnd w:id="0"/>
      <w:r>
        <w:rPr>
          <w:rFonts w:ascii="Times New Roman;serif" w:hAnsi="Times New Roman;serif"/>
          <w:b w:val="false"/>
          <w:color w:val="000000"/>
          <w:sz w:val="24"/>
        </w:rPr>
        <w:t>Article I</w:t>
      </w:r>
    </w:p>
    <w:p>
      <w:pPr>
        <w:pStyle w:val="TextBody"/>
        <w:bidi w:val="0"/>
        <w:spacing w:lineRule="auto" w:line="240" w:before="0" w:after="240"/>
        <w:jc w:val="center"/>
        <w:rPr>
          <w:rFonts w:ascii="Times New Roman;serif" w:hAnsi="Times New Roman;serif"/>
          <w:b w:val="false"/>
          <w:color w:val="000000"/>
          <w:sz w:val="24"/>
          <w:shd w:fill="FFFFFF" w:val="clear"/>
        </w:rPr>
      </w:pPr>
      <w:bookmarkStart w:id="1" w:name="i181017d79d3e4f6da54c213b420eeb8f"/>
      <w:bookmarkEnd w:id="1"/>
      <w:r>
        <w:rPr>
          <w:rFonts w:ascii="Times New Roman;serif" w:hAnsi="Times New Roman;serif"/>
          <w:b w:val="false"/>
          <w:color w:val="000000"/>
          <w:sz w:val="24"/>
          <w:shd w:fill="FFFFFF" w:val="clear"/>
        </w:rPr>
        <w:t>DEFINITIONS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 w:name="i296d18b7da6d42cbac2c8104383f80cb"/>
      <w:bookmarkEnd w:id="2"/>
      <w:r>
        <w:rPr>
          <w:rFonts w:ascii="Times New Roman;serif" w:hAnsi="Times New Roman;serif"/>
          <w:b w:val="false"/>
          <w:color w:val="000000"/>
          <w:sz w:val="24"/>
        </w:rPr>
        <w:t>1.1.</w:t>
      </w:r>
      <w:r>
        <w:rPr>
          <w:rFonts w:ascii="Times New Roman;serif" w:hAnsi="Times New Roman;serif"/>
          <w:b w:val="false"/>
          <w:color w:val="000000"/>
          <w:sz w:val="24"/>
          <w:u w:val="single"/>
          <w:shd w:fill="FFFFFF" w:val="clear"/>
        </w:rPr>
        <w:t>Definitions</w:t>
      </w:r>
      <w:r>
        <w:rPr>
          <w:rFonts w:ascii="Times New Roman;serif" w:hAnsi="Times New Roman;serif"/>
          <w:b w:val="false"/>
          <w:color w:val="000000"/>
          <w:sz w:val="24"/>
        </w:rPr>
        <w:t>. The following terms shall have the following meanings for purposes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60705"/>
                <wp:effectExtent l="0" t="0" r="0" b="0"/>
                <wp:wrapNone/>
                <wp:docPr id="14" name="Frame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Acceptable Confidentiality Agreement</w:t>
      </w:r>
      <w:r>
        <w:rPr>
          <w:color w:val="000000"/>
          <w:shd w:fill="FFFFFF" w:val="clear"/>
        </w:rPr>
        <w:t xml:space="preserve">” </w:t>
      </w:r>
      <w:r>
        <w:rPr>
          <w:rFonts w:ascii="Times New Roman;serif" w:hAnsi="Times New Roman;serif"/>
          <w:b w:val="false"/>
          <w:color w:val="000000"/>
          <w:sz w:val="24"/>
          <w:shd w:fill="FFFFFF" w:val="clear"/>
        </w:rPr>
        <w:t xml:space="preserve">means a confidentiality agreement on terms that, with respect to confidentiality and use, are no less restrictive to the counterparty thereto than those applicable to a “Receiving Party” under the Confidentiality Agreement, except for such changes to permit the Company or Parent, as applicable, to comply with its obligations under this Agreement.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specified Person, any other Person that directly or indirectly, through one or more intermediaries, Controls, is Controlled by, or is under common Control with, such first Person. For purposes of this Agreement,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and policies of a Person, whether through the ownership of securities, by contract, management control, or otherwise.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 xml:space="preserve">shall be construed accordingly.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Articles of Incorporation</w:t>
      </w:r>
      <w:r>
        <w:rPr>
          <w:color w:val="000000"/>
        </w:rPr>
        <w:t xml:space="preserve">” </w:t>
      </w:r>
      <w:r>
        <w:rPr>
          <w:rFonts w:ascii="Times New Roman;serif" w:hAnsi="Times New Roman;serif"/>
          <w:b w:val="false"/>
          <w:color w:val="000000"/>
          <w:sz w:val="24"/>
        </w:rPr>
        <w:t>means the Articles of Amendment and Restatement of the Company,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Articles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Aurora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4.14(d)</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each Company Benefit Plan and each PEO Benefit Plan.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Book-Entry Shares</w:t>
      </w:r>
      <w:r>
        <w:rPr>
          <w:color w:val="000000"/>
        </w:rPr>
        <w:t xml:space="preserve">” </w:t>
      </w:r>
      <w:r>
        <w:rPr>
          <w:rFonts w:ascii="Times New Roman;serif" w:hAnsi="Times New Roman;serif"/>
          <w:b w:val="false"/>
          <w:color w:val="000000"/>
          <w:sz w:val="24"/>
        </w:rPr>
        <w:t>means, with respect to any shares of Company Common Stock, Company Preferred Stock or Company Partnership Units, which, immediately prior to the Partnership Merger Effective Time or Company Merger Effective Time, as applicable, are not represented by certificates, but are represented in book-entry form.</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other than a Saturday, Sunday or other day on which banking institutions in the State of Maryland are authorized or required by Law or other action of a Governmental Authority to close.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Business Permits</w:t>
      </w:r>
      <w:r>
        <w:rPr>
          <w:color w:val="000000"/>
        </w:rPr>
        <w:t xml:space="preserve">” </w:t>
      </w:r>
      <w:r>
        <w:rPr>
          <w:rFonts w:ascii="Times New Roman;serif" w:hAnsi="Times New Roman;serif"/>
          <w:b w:val="false"/>
          <w:color w:val="000000"/>
          <w:sz w:val="24"/>
        </w:rPr>
        <w:t xml:space="preserve">means the Permits of the Company and its Subsidiaries, which are set forth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of the Company Disclosure Letter in a chart indicating whether such Business Permit requires (a) prior approval, consent or authorization of a Governmental Authority or (b) the submission of a new application that must be approved by a Governmental Authority, or (c) pre-Closing notification of a Governmental Authority, or (d) post-Closing notification of a Governmental Authority, in each case in connection with the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Bylaws</w:t>
      </w:r>
      <w:r>
        <w:rPr>
          <w:color w:val="000000"/>
        </w:rPr>
        <w:t xml:space="preserve">” </w:t>
      </w:r>
      <w:r>
        <w:rPr>
          <w:rFonts w:ascii="Times New Roman;serif" w:hAnsi="Times New Roman;serif"/>
          <w:b w:val="false"/>
          <w:color w:val="000000"/>
          <w:sz w:val="24"/>
        </w:rPr>
        <w:t>means the Amended and Restated Bylaws of the Company,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Canceled Shares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Canceled Units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3.2(c)</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Capitalization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4.1(d)(ii)</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60705"/>
                <wp:effectExtent l="0" t="0" r="0" b="0"/>
                <wp:wrapNone/>
                <wp:docPr id="15" name="Frame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Claim Expenses</w:t>
      </w:r>
      <w:r>
        <w:rPr>
          <w:color w:val="000000"/>
        </w:rPr>
        <w:t xml:space="preserve">” </w:t>
      </w:r>
      <w:r>
        <w:rPr>
          <w:rFonts w:ascii="Times New Roman;serif" w:hAnsi="Times New Roman;serif"/>
          <w:b w:val="false"/>
          <w:color w:val="000000"/>
          <w:sz w:val="24"/>
        </w:rPr>
        <w:t xml:space="preserve">means reasonable out-of-pocket attorneys’ fees and all other reasonable out-of-pocket costs, expenses and obligations (including experts’ fees, travel expenses, court costs, retainers, transcript fees, legal research,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(including on appeal) any D&amp;O Claim for which indemnification is authorized pursuant to </w:t>
      </w:r>
      <w:r>
        <w:rPr>
          <w:rFonts w:ascii="Times New Roman;serif" w:hAnsi="Times New Roman;serif"/>
          <w:b w:val="false"/>
          <w:color w:val="000000"/>
          <w:sz w:val="24"/>
          <w:u w:val="single"/>
        </w:rPr>
        <w:t>Section 6.11</w:t>
      </w:r>
      <w:r>
        <w:rPr>
          <w:rFonts w:ascii="Times New Roman;serif" w:hAnsi="Times New Roman;serif"/>
          <w:b w:val="false"/>
          <w:color w:val="000000"/>
          <w:sz w:val="24"/>
        </w:rPr>
        <w:t>, including any action relating to a claim for indemnification or advancement brought by a Covered Person.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means the consummation of the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 Volume-Weighted Average Price</w:t>
      </w:r>
      <w:r>
        <w:rPr>
          <w:color w:val="000000"/>
        </w:rPr>
        <w:t xml:space="preserve">” </w:t>
      </w:r>
      <w:r>
        <w:rPr>
          <w:rFonts w:ascii="Times New Roman;serif" w:hAnsi="Times New Roman;serif"/>
          <w:b w:val="false"/>
          <w:color w:val="000000"/>
          <w:sz w:val="24"/>
        </w:rPr>
        <w:t>means the volume-weighted average price, rounded to four decimal places, of shares of Parent Common Stock on the NYSE for the period of the ten (10) consecutive trading days ending on the second full trading day prior to the Company Merger Effective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means Section 4980B of the Internal Revenue Code of 1986, as amended, Part 6 of Subtitle B of Title I of ERISA, and any similar state or local law requiring continuation of group health plan coverage.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Common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Additional Dividend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Applicable Requirements</w:t>
      </w:r>
      <w:r>
        <w:rPr>
          <w:color w:val="000000"/>
          <w:shd w:fill="FFFFFF" w:val="clear"/>
        </w:rPr>
        <w:t xml:space="preserve">” </w:t>
      </w:r>
      <w:r>
        <w:rPr>
          <w:rFonts w:ascii="Times New Roman;serif" w:hAnsi="Times New Roman;serif"/>
          <w:b w:val="false"/>
          <w:color w:val="000000"/>
          <w:sz w:val="24"/>
          <w:shd w:fill="FFFFFF" w:val="clear"/>
        </w:rPr>
        <w:t>means, as of the time of reference, (a) all of the terms of the mortgage note, security instrument and any other material loan documents relating to each Mortgage Loan owned or serviced by the Company or any of its Subsidiaries, (b) all requirements set forth in the Company Servicing Agreements,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Company Serviced Mortgage Loan or Company Subserviced Mortgage Loan.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Benefit Plan</w:t>
      </w:r>
      <w:r>
        <w:rPr>
          <w:color w:val="000000"/>
        </w:rPr>
        <w:t xml:space="preserve">” </w:t>
      </w:r>
      <w:r>
        <w:rPr>
          <w:rFonts w:ascii="Times New Roman;serif" w:hAnsi="Times New Roman;serif"/>
          <w:b w:val="false"/>
          <w:color w:val="000000"/>
          <w:sz w:val="24"/>
        </w:rPr>
        <w:t xml:space="preserve">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(a) entered into, contributed to (or required to be contributed to), sponsored by or maintained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60705"/>
                <wp:effectExtent l="0" t="0" r="0" b="0"/>
                <wp:wrapNone/>
                <wp:docPr id="16" name="Frame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Company or (b) for which the Company has any Liability (contingent or otherwise, including by way of an ERISA Affiliate), in each case, other than any PEO Benefit Plan or any plan, program or arrangement required to be contributed to by any Governmental Authority.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Board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Change of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6.5(d)</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Common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Common Unit</w:t>
      </w:r>
      <w:r>
        <w:rPr>
          <w:color w:val="000000"/>
        </w:rPr>
        <w:t xml:space="preserve">” </w:t>
      </w:r>
      <w:r>
        <w:rPr>
          <w:rFonts w:ascii="Times New Roman;serif" w:hAnsi="Times New Roman;serif"/>
          <w:b w:val="false"/>
          <w:color w:val="000000"/>
          <w:sz w:val="24"/>
        </w:rPr>
        <w:t>means a Common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Director Designee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Disclosure Letter</w:t>
      </w:r>
      <w:r>
        <w:rPr>
          <w:color w:val="000000"/>
        </w:rPr>
        <w:t xml:space="preserve">” </w:t>
      </w:r>
      <w:r>
        <w:rPr>
          <w:rFonts w:ascii="Times New Roman;serif" w:hAnsi="Times New Roman;serif"/>
          <w:b w:val="false"/>
          <w:color w:val="000000"/>
          <w:sz w:val="24"/>
        </w:rPr>
        <w:t xml:space="preserve">has the meaning set forth in the introductory language to </w:t>
      </w:r>
      <w:r>
        <w:rPr>
          <w:rFonts w:ascii="Times New Roman;serif" w:hAnsi="Times New Roman;serif"/>
          <w:b w:val="false"/>
          <w:color w:val="000000"/>
          <w:sz w:val="24"/>
          <w:u w:val="single"/>
        </w:rPr>
        <w:t>Article 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Equity Awards</w:t>
      </w:r>
      <w:r>
        <w:rPr>
          <w:color w:val="000000"/>
        </w:rPr>
        <w:t xml:space="preserve">” </w:t>
      </w:r>
      <w:r>
        <w:rPr>
          <w:rFonts w:ascii="Times New Roman;serif" w:hAnsi="Times New Roman;serif"/>
          <w:b w:val="false"/>
          <w:color w:val="000000"/>
          <w:sz w:val="24"/>
        </w:rPr>
        <w:t>means, collectively, the Company Restricted Stock Awards, the Company PSU Awards, the Company RSU Awards and the Company LTIP Units.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Equity Plans</w:t>
      </w:r>
      <w:r>
        <w:rPr>
          <w:color w:val="000000"/>
        </w:rPr>
        <w:t xml:space="preserve">” </w:t>
      </w:r>
      <w:r>
        <w:rPr>
          <w:rFonts w:ascii="Times New Roman;serif" w:hAnsi="Times New Roman;serif"/>
          <w:b w:val="false"/>
          <w:color w:val="000000"/>
          <w:sz w:val="24"/>
        </w:rPr>
        <w:t>means any of the Company’s 2023 Equity Incentive Plan and 2013 Equity Incentive Plan.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Executive Severance Plan</w:t>
      </w:r>
      <w:r>
        <w:rPr>
          <w:color w:val="000000"/>
        </w:rPr>
        <w:t xml:space="preserve">” </w:t>
      </w:r>
      <w:r>
        <w:rPr>
          <w:rFonts w:ascii="Times New Roman;serif" w:hAnsi="Times New Roman;serif"/>
          <w:b w:val="false"/>
          <w:color w:val="000000"/>
          <w:sz w:val="24"/>
        </w:rPr>
        <w:t>means the Cherry Hill Mortgage Investment Corporation Executive Severance Plan, as such plan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Facilities</w:t>
      </w:r>
      <w:r>
        <w:rPr>
          <w:color w:val="000000"/>
        </w:rPr>
        <w:t xml:space="preserve">” </w:t>
      </w:r>
      <w:r>
        <w:rPr>
          <w:rFonts w:ascii="Times New Roman;serif" w:hAnsi="Times New Roman;serif"/>
          <w:b w:val="false"/>
          <w:color w:val="000000"/>
          <w:sz w:val="24"/>
        </w:rPr>
        <w:t>means, collectively (a) that certain Credit and Security Agreement, dated as of July 31, 2018 (as amended, modified, supplemented, restated or amended and restated from time to time in accordance with its terms), by and among Aurora, the Company and Cherry Hill QRS V, LLC, as borrowers, and NEXBANK, as lender, and (b) that certain Loan and Security Agreement dated as of October 26, 2021 (as amended, modified, supplemented, restated or amended and restated from time to time in accordance with its terms), by and among Aurora and Cherry Hill QRS III, LLC, as borrowers, and Western Alliance Bank, as lender.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Intellectual Property</w:t>
      </w:r>
      <w:r>
        <w:rPr>
          <w:color w:val="000000"/>
        </w:rPr>
        <w:t xml:space="preserve">” </w:t>
      </w:r>
      <w:r>
        <w:rPr>
          <w:rFonts w:ascii="Times New Roman;serif" w:hAnsi="Times New Roman;serif"/>
          <w:b w:val="false"/>
          <w:color w:val="000000"/>
          <w:sz w:val="24"/>
        </w:rPr>
        <w:t>means all Intellectual Property used in the operation of the business of the Company and its Subsidiaries as presently conducted.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Intervening Event</w:t>
      </w:r>
      <w:r>
        <w:rPr>
          <w:color w:val="000000"/>
        </w:rPr>
        <w:t xml:space="preserve">” </w:t>
      </w:r>
      <w:r>
        <w:rPr>
          <w:rFonts w:ascii="Times New Roman;serif" w:hAnsi="Times New Roman;serif"/>
          <w:b w:val="false"/>
          <w:color w:val="000000"/>
          <w:sz w:val="24"/>
        </w:rPr>
        <w:t xml:space="preserve">means an Effect that (a) is material to the Company and its Subsidiaries, taken as a whole, that is not actually known to the Company Board as of the date of this Agreement (or if actually known, the material consequences of which were not actually known by the Company Board at such time) and (b) does not relate to or arise from (i) the receipt, existence or terms of any Company Takeover Proposal, (ii) any change in the market price or trading volume of Company or Parent securities or (iii) any failure, in and of itself, by the Company or Parent to meet, or the exceeding by the Company or Parent of, internal or published estimates or forecasts of revenues, earnings or other financial metrics;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the foregoing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the underlying cause of such change, failure or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60705"/>
                <wp:effectExtent l="0" t="0" r="0" b="0"/>
                <wp:wrapNone/>
                <wp:docPr id="17" name="Frame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exceedance may otherwise constitute or be taken into account in determining whether a “Company Intervening Event” has occurred if not otherwise excluded from consideration under this definition. For the avoidance of doubt, a Company Intervening Event shall not include any Effect relating to the public announcement, execution, delivery or performance of this Agreement, the identity of Parent or Parent Manager or the pendency or the consummation of the Transactions.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LTIP Unit</w:t>
      </w:r>
      <w:r>
        <w:rPr>
          <w:color w:val="000000"/>
        </w:rPr>
        <w:t xml:space="preserve">” </w:t>
      </w:r>
      <w:r>
        <w:rPr>
          <w:rFonts w:ascii="Times New Roman;serif" w:hAnsi="Times New Roman;serif"/>
          <w:b w:val="false"/>
          <w:color w:val="000000"/>
          <w:sz w:val="24"/>
        </w:rPr>
        <w:t>means an LTIP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Material Adverse Effect</w:t>
      </w:r>
      <w:r>
        <w:rPr>
          <w:color w:val="000000"/>
        </w:rPr>
        <w:t xml:space="preserve">” </w:t>
      </w:r>
      <w:r>
        <w:rPr>
          <w:rFonts w:ascii="Times New Roman;serif" w:hAnsi="Times New Roman;serif"/>
          <w:b w:val="false"/>
          <w:color w:val="000000"/>
          <w:sz w:val="24"/>
        </w:rPr>
        <w:t xml:space="preserve">means any Effect that, individually or in the aggregate, is materially adverse to the business or operations of the Company and its Subsidiaries,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any of the following shall constitute or be taken into account in determining whether there has been, is, or would reasonably be expected to be, a Company Material Adverse Effect: </w:t>
      </w:r>
    </w:p>
    <w:p>
      <w:pPr>
        <w:pStyle w:val="TextBody"/>
        <w:bidi w:val="0"/>
        <w:spacing w:lineRule="auto" w:line="240" w:before="0" w:after="240"/>
        <w:ind w:left="0" w:right="0" w:firstLine="720"/>
        <w:jc w:val="both"/>
        <w:rPr/>
      </w:pPr>
      <w:bookmarkStart w:id="3" w:name="ia872a42272474ab2ace2822c90307f91"/>
      <w:bookmarkEnd w:id="3"/>
      <w:r>
        <w:rPr>
          <w:rFonts w:ascii="Times New Roman;serif" w:hAnsi="Times New Roman;serif"/>
          <w:b w:val="false"/>
          <w:color w:val="000000"/>
          <w:sz w:val="24"/>
        </w:rPr>
        <w:t>(a)</w:t>
      </w:r>
      <w:r>
        <w:rPr>
          <w:rFonts w:ascii="Times New Roman;serif" w:hAnsi="Times New Roman;serif"/>
          <w:b w:val="false"/>
          <w:color w:val="000000"/>
          <w:sz w:val="24"/>
          <w:shd w:fill="FFFFFF" w:val="clear"/>
        </w:rPr>
        <w:t>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w:t>
      </w:r>
      <w:r>
        <w:rPr>
          <w:color w:val="000000"/>
        </w:rPr>
        <w:t xml:space="preserve"> </w:t>
      </w:r>
    </w:p>
    <w:p>
      <w:pPr>
        <w:pStyle w:val="TextBody"/>
        <w:bidi w:val="0"/>
        <w:spacing w:lineRule="auto" w:line="240" w:before="0" w:after="240"/>
        <w:ind w:left="0" w:right="0" w:firstLine="720"/>
        <w:jc w:val="both"/>
        <w:rPr/>
      </w:pPr>
      <w:bookmarkStart w:id="4" w:name="i8eb397ebca0b40bfb4b8a70bd7ff30f9"/>
      <w:bookmarkEnd w:id="4"/>
      <w:r>
        <w:rPr>
          <w:rFonts w:ascii="Times New Roman;serif" w:hAnsi="Times New Roman;serif"/>
          <w:b w:val="false"/>
          <w:color w:val="000000"/>
          <w:sz w:val="24"/>
        </w:rPr>
        <w:t>(b)</w:t>
      </w:r>
      <w:r>
        <w:rPr>
          <w:rFonts w:ascii="Times New Roman;serif" w:hAnsi="Times New Roman;serif"/>
          <w:b w:val="false"/>
          <w:color w:val="000000"/>
          <w:sz w:val="24"/>
          <w:shd w:fill="FFFFFF" w:val="clear"/>
        </w:rPr>
        <w:t>changes or proposed changes in GAAP or any Law or changes in the interpretation or enforcement thereof;</w:t>
      </w:r>
    </w:p>
    <w:p>
      <w:pPr>
        <w:pStyle w:val="TextBody"/>
        <w:bidi w:val="0"/>
        <w:spacing w:lineRule="auto" w:line="240" w:before="0" w:after="240"/>
        <w:ind w:left="0" w:right="0" w:firstLine="720"/>
        <w:jc w:val="both"/>
        <w:rPr/>
      </w:pPr>
      <w:bookmarkStart w:id="5" w:name="i5882486618564bfeb433b1d72908134d"/>
      <w:bookmarkEnd w:id="5"/>
      <w:r>
        <w:rPr>
          <w:rFonts w:ascii="Times New Roman;serif" w:hAnsi="Times New Roman;serif"/>
          <w:b w:val="false"/>
          <w:color w:val="000000"/>
          <w:sz w:val="24"/>
        </w:rPr>
        <w:t>(c)</w:t>
      </w:r>
      <w:r>
        <w:rPr>
          <w:rFonts w:ascii="Times New Roman;serif" w:hAnsi="Times New Roman;serif"/>
          <w:b w:val="false"/>
          <w:color w:val="000000"/>
          <w:sz w:val="24"/>
          <w:shd w:fill="FFFFFF" w:val="clear"/>
        </w:rPr>
        <w:t>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w:t>
      </w:r>
    </w:p>
    <w:p>
      <w:pPr>
        <w:pStyle w:val="TextBody"/>
        <w:bidi w:val="0"/>
        <w:spacing w:lineRule="auto" w:line="240" w:before="0" w:after="240"/>
        <w:ind w:left="0" w:right="0" w:firstLine="720"/>
        <w:jc w:val="both"/>
        <w:rPr/>
      </w:pPr>
      <w:bookmarkStart w:id="6" w:name="ida8fca45593542dbbeb7a4a84eac33fb"/>
      <w:bookmarkEnd w:id="6"/>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changes or developments in the industries in which the Company or any of its Subsidiaries operate; </w:t>
      </w:r>
    </w:p>
    <w:p>
      <w:pPr>
        <w:pStyle w:val="TextBody"/>
        <w:bidi w:val="0"/>
        <w:spacing w:lineRule="auto" w:line="240" w:before="0" w:after="240"/>
        <w:ind w:left="0" w:right="0" w:firstLine="720"/>
        <w:jc w:val="both"/>
        <w:rPr/>
      </w:pPr>
      <w:bookmarkStart w:id="7" w:name="ib1e405bb9c254a09ae54ccdf4cb60f09"/>
      <w:bookmarkEnd w:id="7"/>
      <w:r>
        <w:rPr>
          <w:rFonts w:ascii="Times New Roman;serif" w:hAnsi="Times New Roman;serif"/>
          <w:b w:val="false"/>
          <w:color w:val="000000"/>
          <w:sz w:val="24"/>
        </w:rPr>
        <w:t>(e)</w:t>
      </w:r>
      <w:r>
        <w:rPr>
          <w:rFonts w:ascii="Times New Roman;serif" w:hAnsi="Times New Roman;serif"/>
          <w:b w:val="false"/>
          <w:color w:val="000000"/>
          <w:sz w:val="24"/>
          <w:shd w:fill="FFFFFF" w:val="clear"/>
        </w:rPr>
        <w:t>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the Company or any of its Subsidiaries or any other disruption to the business of the Company or any of its Subsidiaries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clause (e)</w:t>
      </w:r>
      <w:r>
        <w:rPr>
          <w:color w:val="000000"/>
          <w:shd w:fill="FFFFFF" w:val="clear"/>
        </w:rPr>
        <w:t xml:space="preserve"> </w:t>
      </w:r>
      <w:r>
        <w:rPr>
          <w:rFonts w:ascii="Times New Roman;serif" w:hAnsi="Times New Roman;serif"/>
          <w:b w:val="false"/>
          <w:color w:val="000000"/>
          <w:sz w:val="24"/>
          <w:shd w:fill="FFFFFF" w:val="clear"/>
        </w:rPr>
        <w:t xml:space="preserve">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uto" w:line="240" w:before="0" w:after="240"/>
        <w:ind w:left="0" w:right="0" w:firstLine="720"/>
        <w:jc w:val="both"/>
        <w:rPr/>
      </w:pPr>
      <w:bookmarkStart w:id="8" w:name="ic9969b5808bb44ba8221b7479288fc18"/>
      <w:bookmarkEnd w:id="8"/>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60705"/>
                <wp:effectExtent l="0" t="0" r="0" b="0"/>
                <wp:wrapNone/>
                <wp:docPr id="18" name="Frame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9" w:name="ic29aceeb011e4953b66d818f65104d55"/>
      <w:bookmarkEnd w:id="9"/>
      <w:r>
        <w:rPr>
          <w:rFonts w:ascii="Times New Roman;serif" w:hAnsi="Times New Roman;serif"/>
          <w:b w:val="false"/>
          <w:color w:val="000000"/>
          <w:sz w:val="24"/>
        </w:rPr>
        <w:t>(g)</w:t>
      </w:r>
      <w:r>
        <w:rPr>
          <w:rFonts w:ascii="Times New Roman;serif" w:hAnsi="Times New Roman;serif"/>
          <w:b w:val="false"/>
          <w:color w:val="000000"/>
          <w:sz w:val="24"/>
          <w:shd w:fill="FFFFFF" w:val="clear"/>
        </w:rPr>
        <w:t>any change in the trading price, dividends or trading volume of the shares of Company Common Stock or any change in the credit ratings or ratings outlook for the Company or any of its Subsidiaries, or the availability or cost of equity, debt or other financing to Parent or Merger Sub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underlying causes of any such change referred to in this </w:t>
      </w:r>
      <w:r>
        <w:rPr>
          <w:rFonts w:ascii="Times New Roman;serif" w:hAnsi="Times New Roman;serif"/>
          <w:b w:val="false"/>
          <w:color w:val="000000"/>
          <w:sz w:val="24"/>
          <w:u w:val="single"/>
          <w:shd w:fill="FFFFFF" w:val="clear"/>
        </w:rPr>
        <w:t>clause (g)</w:t>
      </w:r>
      <w:r>
        <w:rPr>
          <w:color w:val="000000"/>
          <w:shd w:fill="FFFFFF" w:val="clear"/>
        </w:rPr>
        <w:t xml:space="preserve"> </w:t>
      </w:r>
      <w:r>
        <w:rPr>
          <w:rFonts w:ascii="Times New Roman;serif" w:hAnsi="Times New Roman;serif"/>
          <w:b w:val="false"/>
          <w:color w:val="000000"/>
          <w:sz w:val="24"/>
          <w:shd w:fill="FFFFFF" w:val="clear"/>
        </w:rPr>
        <w:t xml:space="preserve">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bookmarkStart w:id="10" w:name="i026b2d1bc4024bdeb1f9cffdac04bc82"/>
      <w:bookmarkEnd w:id="10"/>
      <w:r>
        <w:rPr>
          <w:rFonts w:ascii="Times New Roman;serif" w:hAnsi="Times New Roman;serif"/>
          <w:b w:val="false"/>
          <w:color w:val="000000"/>
          <w:sz w:val="24"/>
        </w:rPr>
        <w:t>(h)</w:t>
      </w:r>
      <w:r>
        <w:rPr>
          <w:rFonts w:ascii="Times New Roman;serif" w:hAnsi="Times New Roman;serif"/>
          <w:b w:val="false"/>
          <w:color w:val="000000"/>
          <w:sz w:val="24"/>
          <w:shd w:fill="FFFFFF" w:val="clear"/>
        </w:rPr>
        <w:t>the failure to meet any internal, published, analyst or other third-party’s projections, guidance, budgets, milestones, expectations, forecasts or estimates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underlying causes of any such change referred to in this </w:t>
      </w:r>
      <w:r>
        <w:rPr>
          <w:rFonts w:ascii="Times New Roman;serif" w:hAnsi="Times New Roman;serif"/>
          <w:b w:val="false"/>
          <w:color w:val="000000"/>
          <w:sz w:val="24"/>
          <w:u w:val="single"/>
          <w:shd w:fill="FFFFFF" w:val="clear"/>
        </w:rPr>
        <w:t>clause (h)</w:t>
      </w:r>
      <w:r>
        <w:rPr>
          <w:color w:val="000000"/>
          <w:shd w:fill="FFFFFF" w:val="clear"/>
        </w:rPr>
        <w:t xml:space="preserve"> </w:t>
      </w:r>
      <w:r>
        <w:rPr>
          <w:rFonts w:ascii="Times New Roman;serif" w:hAnsi="Times New Roman;serif"/>
          <w:b w:val="false"/>
          <w:color w:val="000000"/>
          <w:sz w:val="24"/>
          <w:shd w:fill="FFFFFF" w:val="clear"/>
        </w:rPr>
        <w:t xml:space="preserve">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bookmarkStart w:id="11" w:name="i92f66dbd71bc484ab0f35cc71faaff5a"/>
      <w:bookmarkEnd w:id="11"/>
      <w:r>
        <w:rPr>
          <w:rFonts w:ascii="Times New Roman;serif" w:hAnsi="Times New Roman;serif"/>
          <w:b w:val="false"/>
          <w:color w:val="000000"/>
          <w:sz w:val="24"/>
        </w:rPr>
        <w:t>(i)</w:t>
      </w:r>
      <w:r>
        <w:rPr>
          <w:rFonts w:ascii="Times New Roman;serif" w:hAnsi="Times New Roman;serif"/>
          <w:b w:val="false"/>
          <w:color w:val="000000"/>
          <w:sz w:val="24"/>
          <w:shd w:fill="FFFFFF" w:val="clear"/>
        </w:rPr>
        <w:t>any action taken or omitted by the Company or any of its Subsidiaries at the written request of Parent or consented to in writing by Parent; and</w:t>
      </w:r>
    </w:p>
    <w:p>
      <w:pPr>
        <w:pStyle w:val="TextBody"/>
        <w:bidi w:val="0"/>
        <w:spacing w:lineRule="auto" w:line="240" w:before="0" w:after="240"/>
        <w:ind w:left="0" w:right="0" w:firstLine="720"/>
        <w:jc w:val="both"/>
        <w:rPr/>
      </w:pPr>
      <w:bookmarkStart w:id="12" w:name="i66ecfdcc5d38403c8ebc2cba42cc28b2"/>
      <w:bookmarkEnd w:id="12"/>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the identity of, or facts specific to, Parent or any of its Affiliates as the acquiror of the Company or any changes arising therefrom; </w:t>
      </w:r>
    </w:p>
    <w:p>
      <w:pPr>
        <w:pStyle w:val="TextBody"/>
        <w:bidi w:val="0"/>
        <w:spacing w:lineRule="auto" w:line="288" w:before="240" w:after="240"/>
        <w:jc w:val="both"/>
        <w:rPr/>
      </w:pPr>
      <w:r>
        <w:rPr>
          <w:rFonts w:ascii="Times New Roman;serif" w:hAnsi="Times New Roman;serif"/>
          <w:b w:val="false"/>
          <w:color w:val="000000"/>
          <w:sz w:val="24"/>
          <w:shd w:fill="FFFFFF" w:val="clear"/>
        </w:rPr>
        <w:t xml:space="preserve">except, with respect to the foregoing </w:t>
      </w:r>
      <w:r>
        <w:rPr>
          <w:rFonts w:ascii="Times New Roman;serif" w:hAnsi="Times New Roman;serif"/>
          <w:b w:val="false"/>
          <w:color w:val="000000"/>
          <w:sz w:val="24"/>
          <w:u w:val="single"/>
          <w:shd w:fill="FFFFFF" w:val="clear"/>
        </w:rPr>
        <w:t>clauses (a)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(b)</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(c),</w:t>
      </w:r>
      <w:r>
        <w:rPr>
          <w:color w:val="000000"/>
        </w:rPr>
        <w:t xml:space="preserve">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(f)</w:t>
      </w:r>
      <w:r>
        <w:rPr>
          <w:rFonts w:ascii="Times New Roman;serif" w:hAnsi="Times New Roman;serif"/>
          <w:b w:val="false"/>
          <w:color w:val="000000"/>
          <w:sz w:val="24"/>
          <w:shd w:fill="FFFFFF" w:val="clear"/>
        </w:rPr>
        <w:t xml:space="preserve">, to the extent (and for the avoidance of doubt, only to the extent) that such impact is disproportionately adverse to the Company and its Subsidiaries, taken as a whole, relative to comparable companies in the industries in which the Company and its Subsidiaries operate, in which case only the incremental disproportionate adverse impact may be taken into account in determining whether a Company Material Adverse Effect has occurred, is occurring or would reasonably be expected to occur.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Material Contracts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4.8(a)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Merger 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Operating Partnership</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Operating Partnership Agreement</w:t>
      </w:r>
      <w:r>
        <w:rPr>
          <w:color w:val="000000"/>
        </w:rPr>
        <w:t xml:space="preserve">” </w:t>
      </w:r>
      <w:r>
        <w:rPr>
          <w:rFonts w:ascii="Times New Roman;serif" w:hAnsi="Times New Roman;serif"/>
          <w:b w:val="false"/>
          <w:color w:val="000000"/>
          <w:sz w:val="24"/>
        </w:rPr>
        <w:t>means the Agreement of Limited Partnership of the Company Operating Partnership, dated as of April 25, 2013, as amended by that certain First Amendment to the Agreement of Limited Partnership of the Company Operating Partnership, dated as of August 16, 2017, as further amended by that certain Second Amendment to the Agreement of Limited Partnership of the Company Operating Partnership, dated as of April 5, 2018, as further amended by that certain Third Amendment to the Agreement of Limited Partnership of the Company Operating Partnership, dated as of February 8, 2019.</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Partnership Unit</w:t>
      </w:r>
      <w:r>
        <w:rPr>
          <w:color w:val="000000"/>
        </w:rPr>
        <w:t xml:space="preserve">” </w:t>
      </w:r>
      <w:r>
        <w:rPr>
          <w:rFonts w:ascii="Times New Roman;serif" w:hAnsi="Times New Roman;serif"/>
          <w:b w:val="false"/>
          <w:color w:val="000000"/>
          <w:sz w:val="24"/>
        </w:rPr>
        <w:t xml:space="preserve">means a Company Common Unit, a Company Preferred Unit and/or a Company LTIP Unit.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Permitted Lien</w:t>
      </w:r>
      <w:r>
        <w:rPr>
          <w:color w:val="000000"/>
        </w:rPr>
        <w:t xml:space="preserve">” </w:t>
      </w:r>
      <w:r>
        <w:rPr>
          <w:rFonts w:ascii="Times New Roman;serif" w:hAnsi="Times New Roman;serif"/>
          <w:b w:val="false"/>
          <w:color w:val="000000"/>
          <w:sz w:val="24"/>
        </w:rPr>
        <w:t xml:space="preserve">means any Lien (a) for Taxes or governmental assessments, charges or claims of payment not yet delinquent or that are being contested in good faith by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60705"/>
                <wp:effectExtent l="0" t="0" r="0" b="0"/>
                <wp:wrapNone/>
                <wp:docPr id="19" name="Frame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Company and its Subsidiaries (including the Company Operating Partnership) as currently conducted; (e) which is a statutory or common law lien or encumbrance to secure landlords, lessors or renters under leases or rental agreements for amounts not yet delinquent; (f) with respect to the Leased Real Property,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the Company and its Subsidiaries (including the Company Operating Partnership) as currently conducted; (ii) all applicable zoning, entitlement, building, conservation restrictions and other land use and environmental regulations that are not violated by the Leased Real Property or the use or occupancy thereof by the Company or any of its Subsidiaries (including the Company Operating Partnership); (iii) matters that would be shown on a current survey or by a visual inspection of any applicable Leased Real Property that do not and could not reasonably be expected to, individually or in the aggregate, materially interfere with the ordinary conduct of the business of the Company and its Subsidiaries (including the Company Operating Partnership)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the Company or its Subsidiaries or any of the Leased Real Property; (g) Liens that affect the underlying fee interest of any Leased Real Property; or (h) which is identified in the Company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Portfolio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6.2(b)(iv)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Preferred Unit</w:t>
      </w:r>
      <w:r>
        <w:rPr>
          <w:color w:val="000000"/>
        </w:rPr>
        <w:t xml:space="preserve">” </w:t>
      </w:r>
      <w:r>
        <w:rPr>
          <w:rFonts w:ascii="Times New Roman;serif" w:hAnsi="Times New Roman;serif"/>
          <w:b w:val="false"/>
          <w:color w:val="000000"/>
          <w:sz w:val="24"/>
        </w:rPr>
        <w:t>means a Company Series A Preferred Unit or a Company Series B Preferred Unit.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PSU Award</w:t>
      </w:r>
      <w:r>
        <w:rPr>
          <w:color w:val="000000"/>
        </w:rPr>
        <w:t xml:space="preserve">” </w:t>
      </w:r>
      <w:r>
        <w:rPr>
          <w:rFonts w:ascii="Times New Roman;serif" w:hAnsi="Times New Roman;serif"/>
          <w:b w:val="false"/>
          <w:color w:val="000000"/>
          <w:sz w:val="24"/>
        </w:rPr>
        <w:t xml:space="preserve">means each performance-based restricted stock unit award in respect of a share of Company Common Stock granted under the Company Equity Plans.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Qualifying Income</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8.3(i)(i)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Restricted Stock Award</w:t>
      </w:r>
      <w:r>
        <w:rPr>
          <w:color w:val="000000"/>
        </w:rPr>
        <w:t xml:space="preserve">” </w:t>
      </w:r>
      <w:r>
        <w:rPr>
          <w:rFonts w:ascii="Times New Roman;serif" w:hAnsi="Times New Roman;serif"/>
          <w:b w:val="false"/>
          <w:color w:val="000000"/>
          <w:sz w:val="24"/>
        </w:rPr>
        <w:t>means shares of restricted stock and any other shares of Company Common Stock subject to vesting conditions based on continuing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60705"/>
                <wp:effectExtent l="0" t="0" r="0" b="0"/>
                <wp:wrapNone/>
                <wp:docPr id="20" name="Frame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RSU Award</w:t>
      </w:r>
      <w:r>
        <w:rPr>
          <w:color w:val="000000"/>
        </w:rPr>
        <w:t xml:space="preserve">” </w:t>
      </w:r>
      <w:r>
        <w:rPr>
          <w:rFonts w:ascii="Times New Roman;serif" w:hAnsi="Times New Roman;serif"/>
          <w:b w:val="false"/>
          <w:color w:val="000000"/>
          <w:sz w:val="24"/>
        </w:rPr>
        <w:t>means each restricted stock unit award in respect of a share of Company Common Stock granted under the Company Equity Plans (other than Company PSU Awards).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SEC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A Preferred Stock</w:t>
      </w:r>
      <w:r>
        <w:rPr>
          <w:color w:val="000000"/>
        </w:rPr>
        <w:t xml:space="preserve">” </w:t>
      </w:r>
      <w:r>
        <w:rPr>
          <w:rFonts w:ascii="Times New Roman;serif" w:hAnsi="Times New Roman;serif"/>
          <w:b w:val="false"/>
          <w:color w:val="000000"/>
          <w:sz w:val="24"/>
        </w:rPr>
        <w:t>means the Company’s 8.20% Series A Cumulative Redeemable Preferred Stock, $0.01 par value per share.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A Preferred Unit</w:t>
      </w:r>
      <w:r>
        <w:rPr>
          <w:color w:val="000000"/>
        </w:rPr>
        <w:t xml:space="preserve">” </w:t>
      </w:r>
      <w:r>
        <w:rPr>
          <w:rFonts w:ascii="Times New Roman;serif" w:hAnsi="Times New Roman;serif"/>
          <w:b w:val="false"/>
          <w:color w:val="000000"/>
          <w:sz w:val="24"/>
        </w:rPr>
        <w:t>means a Series A Preferred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B Preferred Stock</w:t>
      </w:r>
      <w:r>
        <w:rPr>
          <w:color w:val="000000"/>
        </w:rPr>
        <w:t xml:space="preserve">” </w:t>
      </w:r>
      <w:r>
        <w:rPr>
          <w:rFonts w:ascii="Times New Roman;serif" w:hAnsi="Times New Roman;serif"/>
          <w:b w:val="false"/>
          <w:color w:val="000000"/>
          <w:sz w:val="24"/>
        </w:rPr>
        <w:t>means the Company’s 8.250% Series B Fixed-to-Floating Rate Cumulative Redeemable Preferred Stock, $0.01 par value per share.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B Preferred Unit</w:t>
      </w:r>
      <w:r>
        <w:rPr>
          <w:color w:val="000000"/>
        </w:rPr>
        <w:t xml:space="preserve">” </w:t>
      </w:r>
      <w:r>
        <w:rPr>
          <w:rFonts w:ascii="Times New Roman;serif" w:hAnsi="Times New Roman;serif"/>
          <w:b w:val="false"/>
          <w:color w:val="000000"/>
          <w:sz w:val="24"/>
        </w:rPr>
        <w:t>means a Series B Preferred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Service Provider</w:t>
      </w:r>
      <w:r>
        <w:rPr>
          <w:color w:val="000000"/>
        </w:rPr>
        <w:t xml:space="preserve">” </w:t>
      </w:r>
      <w:r>
        <w:rPr>
          <w:rFonts w:ascii="Times New Roman;serif" w:hAnsi="Times New Roman;serif"/>
          <w:b w:val="false"/>
          <w:color w:val="000000"/>
          <w:sz w:val="24"/>
        </w:rPr>
        <w:t>means each current or former director, officer, employee or independent contractor or other service provider of the Company.</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serviced by the Company or any of its Subsidiaries pursuant to a Company Servicing Agreement since January 1, 2024.</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u w:val="single"/>
        </w:rPr>
        <w:t>Company Servicing Agreement</w:t>
      </w:r>
      <w:r>
        <w:rPr>
          <w:color w:val="000000"/>
        </w:rPr>
        <w:t xml:space="preserve">” </w:t>
      </w:r>
      <w:r>
        <w:rPr>
          <w:rFonts w:ascii="Times New Roman;serif" w:hAnsi="Times New Roman;serif"/>
          <w:b w:val="false"/>
          <w:color w:val="000000"/>
          <w:sz w:val="24"/>
        </w:rPr>
        <w:t>means any Contract pursuant to which the Company or any of its Subsidiaries is obligated to a Governmental Authority to service or administer Mortgage Loans.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Severance Plan</w:t>
      </w:r>
      <w:r>
        <w:rPr>
          <w:color w:val="000000"/>
        </w:rPr>
        <w:t xml:space="preserve">” </w:t>
      </w:r>
      <w:r>
        <w:rPr>
          <w:rFonts w:ascii="Times New Roman;serif" w:hAnsi="Times New Roman;serif"/>
          <w:b w:val="false"/>
          <w:color w:val="000000"/>
          <w:sz w:val="24"/>
        </w:rPr>
        <w:t>means the Cherry Hill Mortgage Investment Corporation Severance Plan, as such plan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Stockholder Approval</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Stockholders Meeting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6.8(a)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Sub-REIT</w:t>
      </w:r>
      <w:r>
        <w:rPr>
          <w:color w:val="000000"/>
        </w:rPr>
        <w:t xml:space="preserve">” </w:t>
      </w:r>
      <w:r>
        <w:rPr>
          <w:rFonts w:ascii="Times New Roman;serif" w:hAnsi="Times New Roman;serif"/>
          <w:b w:val="false"/>
          <w:color w:val="000000"/>
          <w:sz w:val="24"/>
        </w:rPr>
        <w:t>means CHMI Sub-REIT, Inc., a Maryland corporation.</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Subserviced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subserviced by the Company or any of its Subsidiaries pursuant to a Company Subservicing Agreement since January 1, 2024.</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Subservicing Agreement</w:t>
      </w:r>
      <w:r>
        <w:rPr>
          <w:color w:val="000000"/>
          <w:shd w:fill="FFFFFF" w:val="clear"/>
        </w:rPr>
        <w:t xml:space="preserve">” </w:t>
      </w:r>
      <w:r>
        <w:rPr>
          <w:rFonts w:ascii="Times New Roman;serif" w:hAnsi="Times New Roman;serif"/>
          <w:b w:val="false"/>
          <w:color w:val="000000"/>
          <w:sz w:val="24"/>
          <w:shd w:fill="FFFFFF" w:val="clear"/>
        </w:rPr>
        <w:t>means any Contract pursuant to which the Company or any of its Subsidiaries is obligated to a third party to subservice or administer Mortgage Loans.</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60705"/>
                <wp:effectExtent l="0" t="0" r="0" b="0"/>
                <wp:wrapNone/>
                <wp:docPr id="21" name="Frame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Superior Proposal</w:t>
      </w:r>
      <w:r>
        <w:rPr>
          <w:color w:val="000000"/>
        </w:rPr>
        <w:t xml:space="preserve">” </w:t>
      </w:r>
      <w:r>
        <w:rPr>
          <w:rFonts w:ascii="Times New Roman;serif" w:hAnsi="Times New Roman;serif"/>
          <w:b w:val="false"/>
          <w:color w:val="000000"/>
          <w:sz w:val="24"/>
        </w:rPr>
        <w:t xml:space="preserve">means a </w:t>
      </w:r>
      <w:r>
        <w:rPr>
          <w:rFonts w:ascii="Times New Roman;serif" w:hAnsi="Times New Roman;serif"/>
          <w:b w:val="false"/>
          <w:i/>
          <w:color w:val="000000"/>
          <w:sz w:val="24"/>
        </w:rPr>
        <w:t>bona fide</w:t>
      </w:r>
      <w:r>
        <w:rPr>
          <w:rFonts w:ascii="Times New Roman;serif" w:hAnsi="Times New Roman;serif"/>
          <w:b w:val="false"/>
          <w:color w:val="000000"/>
          <w:sz w:val="24"/>
        </w:rPr>
        <w:t xml:space="preserve">, written Company Takeover Proposal (with references to twenty percent (20%) and eighty percent (80%) being deemed to be replaced with references to fifty percent (50%), respectively) by a third-party, which the Company Board determines in good faith, after consultation with its independent financial advisor and outside legal counsel, to be more favorable to the Company and its stockholders than the Transactions.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Takeover Proposal</w:t>
      </w:r>
      <w:r>
        <w:rPr>
          <w:color w:val="000000"/>
        </w:rPr>
        <w:t xml:space="preserve">” </w:t>
      </w:r>
      <w:r>
        <w:rPr>
          <w:rFonts w:ascii="Times New Roman;serif" w:hAnsi="Times New Roman;serif"/>
          <w:b w:val="false"/>
          <w:color w:val="000000"/>
          <w:sz w:val="24"/>
        </w:rPr>
        <w:t>means any offer, proposal or indication of interest that is not withdrawn from a Person or “group” (as defined in or under Section 13(d) of the Exchange Act) of Persons (other than a proposal or offer by Parent or any Subsidiary of Parent) made after the date hereof relating to any transaction or series of related transactions involving: (a) any acquisition or purchase by any Person or “group” of Persons, directly or indirectly, of more than twenty percent (20%) of any class of outstanding voting or equity securities of the Company or any of its Subsidiaries, or any tender offer or exchange offer that, if consummated, would result in any Person or “group” of Persons beneficially owning more than twenty percent (20%) (on a non-diluted basis) of any class of outstanding voting or equity securities of the Company or any of its Subsidiaries, (b) any merger, consolidation, share exchange, business combination, joint venture, recapitalization, reorganization or other similar transaction involving the Company or any of its Subsidiaries and a Person or “group” (as defined in or under Section 13(d) of the Exchange Act) of Persons pursuant to which the stockholders of the Company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the Company and its Subsidiaries, taken as a whole (measured by the fair market value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Termination Fee</w:t>
      </w:r>
      <w:r>
        <w:rPr>
          <w:color w:val="000000"/>
        </w:rPr>
        <w:t xml:space="preserve">” </w:t>
      </w:r>
      <w:r>
        <w:rPr>
          <w:rFonts w:ascii="Times New Roman;serif" w:hAnsi="Times New Roman;serif"/>
          <w:b w:val="false"/>
          <w:color w:val="000000"/>
          <w:sz w:val="24"/>
        </w:rPr>
        <w:t>means an amount equal to $4,700,000.</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 xml:space="preserve">means that certain confidentiality agreement between Parent and the Company, dated as of May 15, 2026.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Continuing Employee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 xml:space="preserve">means any contract, note, bond, mortgage, indenture, deed of trust, security deed, deed to secure debt, license, sublicense, lease, sublease, agreement, arrangement, commitment or other instrument or obligation that is legally binding.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Copyrights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Covered Persons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D&amp;O Claim</w:t>
      </w:r>
      <w:r>
        <w:rPr>
          <w:color w:val="000000"/>
          <w:shd w:fill="FFFFFF" w:val="clear"/>
        </w:rPr>
        <w:t xml:space="preserve">” </w:t>
      </w:r>
      <w:r>
        <w:rPr>
          <w:rFonts w:ascii="Times New Roman;serif" w:hAnsi="Times New Roman;serif"/>
          <w:b w:val="false"/>
          <w:color w:val="000000"/>
          <w:sz w:val="24"/>
          <w:shd w:fill="FFFFFF" w:val="clear"/>
        </w:rPr>
        <w:t xml:space="preserve">means any threatened, asserted, pending or completed claim, action, suit, proceeding, inquiry or investigation, whether instituted by any party hereto, any Governmental Authority or any other Person, whether civil, criminal, administrative, investigative or other, including any arbitration or other alternative dispute resolution mechanism, arising out of or pertaining to matters that relate to any Covered Person’s duties or service (a) as a director or officer or employee of the Company or the applicable Subsidiary thereof at or prior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60705"/>
                <wp:effectExtent l="0" t="0" r="0" b="0"/>
                <wp:wrapNone/>
                <wp:docPr id="22" name="Frame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Merger Effective Time (including with respect to any acts, facts, events or omissions occurring in connection with the approval of this Agreement and the Transactions, including the consideration and approval thereof and the process undertaken in connection therewith and any D&amp;O Claim relating thereto) or (b) as a director, trustee or officer of any other entity or any benefit plan maintained by the Company or any of its Subsidiaries, in each case, for which a Covered Person is or was serving at the request or for the benefit of the Company or any of its Subsidiaries at or prior to the Company Merger Effective Time.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Delaware Secretary</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2.3(a)</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DLLCA</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DRULPA</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Effect</w:t>
      </w:r>
      <w:r>
        <w:rPr>
          <w:color w:val="000000"/>
        </w:rPr>
        <w:t xml:space="preserve">” </w:t>
      </w:r>
      <w:r>
        <w:rPr>
          <w:rFonts w:ascii="Times New Roman;serif" w:hAnsi="Times New Roman;serif"/>
          <w:b w:val="false"/>
          <w:color w:val="000000"/>
          <w:sz w:val="24"/>
        </w:rPr>
        <w:t>means any change, effect, development, circumstance, event or occurrence.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Enforceability Exceptions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4.2(c)</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with respect to a Person, any Person, whether or not incorporated, that together with such Person is treated as a single employer for purposes of Code Section 414 or ERISA Section 4001(b).</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Agent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Fund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Ratio</w:t>
      </w:r>
      <w:r>
        <w:rPr>
          <w:color w:val="000000"/>
        </w:rPr>
        <w:t xml:space="preserve">” </w:t>
      </w:r>
      <w:r>
        <w:rPr>
          <w:rFonts w:ascii="Times New Roman;serif" w:hAnsi="Times New Roman;serif"/>
          <w:b w:val="false"/>
          <w:color w:val="000000"/>
          <w:sz w:val="24"/>
        </w:rPr>
        <w:t xml:space="preserve">means 0.3063, as such number may be adjusted from time to time pursuant to and in accordance with </w:t>
      </w:r>
      <w:r>
        <w:rPr>
          <w:rFonts w:ascii="Times New Roman;serif" w:hAnsi="Times New Roman;serif"/>
          <w:b w:val="false"/>
          <w:color w:val="000000"/>
          <w:sz w:val="24"/>
          <w:u w:val="single"/>
        </w:rPr>
        <w:t>Section 3.1(d)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Facility Documentation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6.9(d)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Form S-4</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U.S. generally accepted accounting principles, consistently applied.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any U.S., state, local or foreign government, any governmental, regulatory or administrative body, agency, board or authority, any court or judicial authority or arbitration tribunal (public or private), or other governmental authority (including government-sponsored enterprises), whether national, federal, state, provincial or local or otherwise, including any stock exchange, or any Person lawfully empowered by any of the foregoing to enforce or seek compliance with any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60705"/>
                <wp:effectExtent l="0" t="0" r="0" b="0"/>
                <wp:wrapNone/>
                <wp:docPr id="23" name="Frame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val="false"/>
          <w:color w:val="000000"/>
          <w:sz w:val="24"/>
          <w:u w:val="single"/>
          <w:shd w:fill="FFFFFF" w:val="clear"/>
        </w:rPr>
        <w:t>Governmental Authorization</w:t>
      </w:r>
      <w:r>
        <w:rPr>
          <w:color w:val="000000"/>
          <w:shd w:fill="FFFFFF" w:val="clear"/>
        </w:rPr>
        <w:t xml:space="preserve">” </w:t>
      </w:r>
      <w:r>
        <w:rPr>
          <w:rFonts w:ascii="Times New Roman;serif" w:hAnsi="Times New Roman;serif"/>
          <w:b w:val="false"/>
          <w:color w:val="000000"/>
          <w:sz w:val="24"/>
          <w:shd w:fill="FFFFFF" w:val="clear"/>
        </w:rPr>
        <w:t>means any qualifications, permits, approvals, licenses and registrations issued by or obtained from a Governmental Authority required for the Company or any of its Subsidiaries to act as an owner or servicer of Mortgage Loans to the extent required to carry on their businesses as they are now being conducted.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any and all common law or statutory rights in: (a) patents, patent applications, statutory invention registrations, registered designs, and similar or equivalent rights in inventions and designs, and all rights therein provided by international treaties and conventions (“</w:t>
      </w:r>
      <w:r>
        <w:rPr>
          <w:rFonts w:ascii="Times New Roman;serif" w:hAnsi="Times New Roman;serif"/>
          <w:b w:val="false"/>
          <w:color w:val="000000"/>
          <w:sz w:val="24"/>
          <w:u w:val="single"/>
        </w:rPr>
        <w:t>Patents</w:t>
      </w:r>
      <w:r>
        <w:rPr>
          <w:color w:val="000000"/>
        </w:rPr>
        <w:t>”</w:t>
      </w:r>
      <w:r>
        <w:rPr>
          <w:rFonts w:ascii="Times New Roman;serif" w:hAnsi="Times New Roman;serif"/>
          <w:b w:val="false"/>
          <w:color w:val="000000"/>
          <w:sz w:val="24"/>
        </w:rPr>
        <w:t>); (b) trademarks, service marks, trade dress, trade names, logos and other designations of origin (“</w:t>
      </w:r>
      <w:r>
        <w:rPr>
          <w:rFonts w:ascii="Times New Roman;serif" w:hAnsi="Times New Roman;serif"/>
          <w:b w:val="false"/>
          <w:color w:val="000000"/>
          <w:sz w:val="24"/>
          <w:u w:val="single"/>
        </w:rPr>
        <w:t>Marks</w:t>
      </w:r>
      <w:r>
        <w:rPr>
          <w:color w:val="000000"/>
        </w:rPr>
        <w:t>”</w:t>
      </w:r>
      <w:r>
        <w:rPr>
          <w:rFonts w:ascii="Times New Roman;serif" w:hAnsi="Times New Roman;serif"/>
          <w:b w:val="false"/>
          <w:color w:val="000000"/>
          <w:sz w:val="24"/>
        </w:rPr>
        <w:t>); (c) domain names, uniform resource locators, Internet Protocol addresses, social media handles and other names, identifiers and locators associated with Internet addresses, sites and services; (d) copyrights and any other equivalent rights in works of authorship (including rights in Software as a work of authorship) and any other related rights of authors and mask work rights (“</w:t>
      </w:r>
      <w:r>
        <w:rPr>
          <w:rFonts w:ascii="Times New Roman;serif" w:hAnsi="Times New Roman;serif"/>
          <w:b w:val="false"/>
          <w:color w:val="000000"/>
          <w:sz w:val="24"/>
          <w:u w:val="single"/>
        </w:rPr>
        <w:t>Copyrights</w:t>
      </w:r>
      <w:r>
        <w:rPr>
          <w:color w:val="000000"/>
        </w:rPr>
        <w:t>”</w:t>
      </w:r>
      <w:r>
        <w:rPr>
          <w:rFonts w:ascii="Times New Roman;serif" w:hAnsi="Times New Roman;serif"/>
          <w:b w:val="false"/>
          <w:color w:val="000000"/>
          <w:sz w:val="24"/>
        </w:rPr>
        <w:t>); (e) trade secrets and industrial secret rights, and rights in know-how, data and confidential or proprietary business or technical information that derives independent economic value, whether actual or potential, from not being known to other persons (“</w:t>
      </w:r>
      <w:r>
        <w:rPr>
          <w:rFonts w:ascii="Times New Roman;serif" w:hAnsi="Times New Roman;serif"/>
          <w:b w:val="false"/>
          <w:color w:val="000000"/>
          <w:sz w:val="24"/>
          <w:u w:val="single"/>
        </w:rPr>
        <w:t>Trade Secrets</w:t>
      </w:r>
      <w:r>
        <w:rPr>
          <w:color w:val="000000"/>
        </w:rPr>
        <w:t>”</w:t>
      </w:r>
      <w:r>
        <w:rPr>
          <w:rFonts w:ascii="Times New Roman;serif" w:hAnsi="Times New Roman;serif"/>
          <w:b w:val="false"/>
          <w:color w:val="000000"/>
          <w:sz w:val="24"/>
        </w:rPr>
        <w:t>); and (f) other similar or equivalent intellectual property rights anywhere in the world.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Interim Covenant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Interim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Investment Company Act</w:t>
      </w:r>
      <w:r>
        <w:rPr>
          <w:color w:val="000000"/>
        </w:rPr>
        <w:t xml:space="preserve">” </w:t>
      </w:r>
      <w:r>
        <w:rPr>
          <w:rFonts w:ascii="Times New Roman;serif" w:hAnsi="Times New Roman;serif"/>
          <w:b w:val="false"/>
          <w:color w:val="000000"/>
          <w:sz w:val="24"/>
        </w:rPr>
        <w:t>means the Investment Company Act of 1940,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U.S. Internal Revenue Service.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Joint Proxy Statement</w:t>
      </w:r>
      <w:r>
        <w:rPr>
          <w:color w:val="000000"/>
        </w:rPr>
        <w:t xml:space="preserve">” </w:t>
      </w:r>
      <w:r>
        <w:rPr>
          <w:rFonts w:ascii="Times New Roman;serif" w:hAnsi="Times New Roman;serif"/>
          <w:b w:val="false"/>
          <w:color w:val="000000"/>
          <w:sz w:val="24"/>
        </w:rPr>
        <w:t>means a joint proxy statement in preliminary and definitive form (as amended or supplemented from time to time) relating to the Company Stockholders Meeting and the Parent Stockholders Meeting.</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Knowledge of Parent</w:t>
      </w:r>
      <w:r>
        <w:rPr>
          <w:color w:val="000000"/>
        </w:rPr>
        <w:t xml:space="preserve">” </w:t>
      </w:r>
      <w:r>
        <w:rPr>
          <w:rFonts w:ascii="Times New Roman;serif" w:hAnsi="Times New Roman;serif"/>
          <w:b w:val="false"/>
          <w:color w:val="000000"/>
          <w:sz w:val="24"/>
        </w:rPr>
        <w:t xml:space="preserve">means the actual knowledge of the individuals set forth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 xml:space="preserve">of the Parent Disclosure Letter and such knowledge that would be obtained after conducting a reasonable inquiry of the employees with primary responsibility for the relevant subject matter.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Knowledge of the Company</w:t>
      </w:r>
      <w:r>
        <w:rPr>
          <w:color w:val="000000"/>
        </w:rPr>
        <w:t xml:space="preserve">” </w:t>
      </w:r>
      <w:r>
        <w:rPr>
          <w:rFonts w:ascii="Times New Roman;serif" w:hAnsi="Times New Roman;serif"/>
          <w:b w:val="false"/>
          <w:color w:val="000000"/>
          <w:sz w:val="24"/>
        </w:rPr>
        <w:t xml:space="preserve">means the actual knowledge of the individuals set forth on </w:t>
      </w:r>
      <w:r>
        <w:rPr>
          <w:rFonts w:ascii="Times New Roman;serif" w:hAnsi="Times New Roman;serif"/>
          <w:b w:val="false"/>
          <w:color w:val="000000"/>
          <w:sz w:val="24"/>
          <w:u w:val="single"/>
        </w:rPr>
        <w:t>Section 1.1(c)</w:t>
      </w:r>
      <w:r>
        <w:rPr>
          <w:color w:val="000000"/>
        </w:rPr>
        <w:t xml:space="preserve"> </w:t>
      </w:r>
      <w:r>
        <w:rPr>
          <w:rFonts w:ascii="Times New Roman;serif" w:hAnsi="Times New Roman;serif"/>
          <w:b w:val="false"/>
          <w:color w:val="000000"/>
          <w:sz w:val="24"/>
        </w:rPr>
        <w:t>of the Company Disclosure Letter and such knowledge that would be obtained after conducting a reasonable inquiry of the employees with primary responsibility for the relevant subject matter.</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Laws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4.14(a)</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Leased Real Property</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4.16(b)</w:t>
      </w:r>
      <w:r>
        <w:rPr>
          <w:rFonts w:ascii="Times New Roman;serif" w:hAnsi="Times New Roman;serif"/>
          <w:b w:val="false"/>
          <w:color w:val="000000"/>
          <w:sz w:val="24"/>
          <w:shd w:fill="FFFFFF" w:val="clear"/>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60705"/>
                <wp:effectExtent l="0" t="0" r="0" b="0"/>
                <wp:wrapNone/>
                <wp:docPr id="24" name="Frame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Liabilities</w:t>
      </w:r>
      <w:r>
        <w:rPr>
          <w:color w:val="000000"/>
        </w:rPr>
        <w:t xml:space="preserve">” </w:t>
      </w:r>
      <w:r>
        <w:rPr>
          <w:rFonts w:ascii="Times New Roman;serif" w:hAnsi="Times New Roman;serif"/>
          <w:b w:val="false"/>
          <w:color w:val="000000"/>
          <w:sz w:val="24"/>
        </w:rPr>
        <w:t>means any and all debts, liabilities and obligations, whether fixed, contingent or absolute, matured or unmatured, accrued or not accrued, determined or determinable, secured or unsecured, disputed or undisputed, subordinated or unsubordinated, or otherwise.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Liens</w:t>
      </w:r>
      <w:r>
        <w:rPr>
          <w:color w:val="000000"/>
        </w:rPr>
        <w:t xml:space="preserve">” </w:t>
      </w:r>
      <w:r>
        <w:rPr>
          <w:rFonts w:ascii="Times New Roman;serif" w:hAnsi="Times New Roman;serif"/>
          <w:b w:val="false"/>
          <w:color w:val="000000"/>
          <w:sz w:val="24"/>
        </w:rPr>
        <w:t>means liens, encumbrances, mortgages, deeds of trust, security deeds, deeds to secure debt, charges, claims, restrictions, pledges, hypothecations, security interests, rights of first refusal, title defects, easements, rights-of-way, covenants, encroachments, options, conditional or installment sale agreements, title retention agreements, preemptive rights, leases, subleases, licenses, sublicenses, usufructs, community property interests or other adverse claims of any kind, voluntary or involuntary, arising by Contract, statute, operation of Law or otherwise, with respect to a property or asset.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Litigation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M&amp;A Qualified Beneficiary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6.21(f)</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Marks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Maryland Department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Consideration</w:t>
      </w:r>
      <w:r>
        <w:rPr>
          <w:color w:val="000000"/>
        </w:rPr>
        <w:t xml:space="preserve">” </w:t>
      </w:r>
      <w:r>
        <w:rPr>
          <w:rFonts w:ascii="Times New Roman;serif" w:hAnsi="Times New Roman;serif"/>
          <w:b w:val="false"/>
          <w:color w:val="000000"/>
          <w:sz w:val="24"/>
        </w:rPr>
        <w:t>means the Common Stock Merger Consideration and the Preferred Stock Merger Consideration.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Filings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Sub</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Sub Sole Member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MGCL</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Minimum Distribution Dividend</w:t>
      </w:r>
      <w:r>
        <w:rPr>
          <w:color w:val="000000"/>
        </w:rPr>
        <w:t xml:space="preserve">” </w:t>
      </w:r>
      <w:r>
        <w:rPr>
          <w:rFonts w:ascii="Times New Roman;serif" w:hAnsi="Times New Roman;serif"/>
          <w:b w:val="false"/>
          <w:color w:val="000000"/>
          <w:sz w:val="24"/>
        </w:rPr>
        <w:t>means such amount, if any, with respect to any taxable year of the Company, Parent or any of their Subsidiaries, as the case may be, ending on or prior to the Closing Date, which is required to be paid by the Company, Parent or any of their Subsidiaries, as the case may be,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val="false"/>
          <w:color w:val="000000"/>
          <w:sz w:val="24"/>
          <w:u w:val="single"/>
          <w:shd w:fill="FFFFFF" w:val="clear"/>
        </w:rPr>
        <w:t>Mortgage Loan</w:t>
      </w:r>
      <w:r>
        <w:rPr>
          <w:color w:val="000000"/>
          <w:shd w:fill="FFFFFF" w:val="clear"/>
        </w:rPr>
        <w:t xml:space="preserve">” </w:t>
      </w:r>
      <w:r>
        <w:rPr>
          <w:rFonts w:ascii="Times New Roman;serif" w:hAnsi="Times New Roman;serif"/>
          <w:b w:val="false"/>
          <w:color w:val="000000"/>
          <w:sz w:val="24"/>
          <w:shd w:fill="FFFFFF" w:val="clear"/>
        </w:rPr>
        <w:t>means any mortgage loan, whether in the form of a mortgage, deed of trust or other equivalent security instrument that was obtained for consumer, household or family purposes, including forward and reverse mortgage loans.</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val="false"/>
          <w:color w:val="000000"/>
          <w:sz w:val="24"/>
          <w:u w:val="single"/>
          <w:shd w:fill="FFFFFF" w:val="clear"/>
        </w:rPr>
        <w:t>Multiemployer Plan</w:t>
      </w:r>
      <w:r>
        <w:rPr>
          <w:color w:val="000000"/>
          <w:shd w:fill="FFFFFF" w:val="clear"/>
        </w:rPr>
        <w:t xml:space="preserve">” </w:t>
      </w:r>
      <w:r>
        <w:rPr>
          <w:rFonts w:ascii="Times New Roman;serif" w:hAnsi="Times New Roman;serif"/>
          <w:b w:val="false"/>
          <w:color w:val="000000"/>
          <w:sz w:val="24"/>
          <w:shd w:fill="FFFFFF" w:val="clear"/>
        </w:rPr>
        <w:t>has the meaning set forth in Section 3(37) of ERISA.</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60705"/>
                <wp:effectExtent l="0" t="0" r="0" b="0"/>
                <wp:wrapNone/>
                <wp:docPr id="25" name="Frame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NYSE</w:t>
      </w:r>
      <w:r>
        <w:rPr>
          <w:color w:val="000000"/>
        </w:rPr>
        <w:t xml:space="preserve">” </w:t>
      </w:r>
      <w:r>
        <w:rPr>
          <w:rFonts w:ascii="Times New Roman;serif" w:hAnsi="Times New Roman;serif"/>
          <w:b w:val="false"/>
          <w:color w:val="000000"/>
          <w:sz w:val="24"/>
        </w:rPr>
        <w:t>means the New York Stock Exchange.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means any award, judgment, injunction, binding ruling, decree or order (whether temporary, preliminary or permanent) issued, adopted, granted, awarded or entered by any Governmental Authority of competent jurisdiction.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Organizational Documents</w:t>
      </w:r>
      <w:r>
        <w:rPr>
          <w:color w:val="000000"/>
        </w:rPr>
        <w:t xml:space="preserve">” </w:t>
      </w:r>
      <w:r>
        <w:rPr>
          <w:rFonts w:ascii="Times New Roman;serif" w:hAnsi="Times New Roman;serif"/>
          <w:b w:val="false"/>
          <w:color w:val="000000"/>
          <w:sz w:val="24"/>
        </w:rPr>
        <w:t>means the certificate of incorporation, articles of incorporation, charter, bylaws, articles of formation, certificate of formation, regulations, operating agreement, certificate of limited partnership, partnership agreement, trust agreement and all other similar documents, instruments or certificates executed, adopted or filed in connection with the creation, formation or organization of a Person, including any amendments, restatements and supplements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Additional Dividend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6.19(b)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Applicable Requirements</w:t>
      </w:r>
      <w:r>
        <w:rPr>
          <w:color w:val="000000"/>
          <w:shd w:fill="FFFFFF" w:val="clear"/>
        </w:rPr>
        <w:t xml:space="preserve">” </w:t>
      </w:r>
      <w:r>
        <w:rPr>
          <w:rFonts w:ascii="Times New Roman;serif" w:hAnsi="Times New Roman;serif"/>
          <w:b w:val="false"/>
          <w:color w:val="000000"/>
          <w:sz w:val="24"/>
          <w:shd w:fill="FFFFFF" w:val="clear"/>
        </w:rPr>
        <w:t>means, as of the time of reference, (a) all of the terms of the mortgage note, security instrument and any other material loan documents relating to each Mortgage Loan owned or serviced by Parent or any of its Subsidiaries, (b) all requirements set forth in the Parent Servicing Agreements, as applicable,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Parent Serviced Mortgage Loan or Parent Subserviced Mortgage Loan.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Board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Capitalization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Change of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6.6(d)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Common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Common Stock Issuance</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Disclosure Letter</w:t>
      </w:r>
      <w:r>
        <w:rPr>
          <w:color w:val="000000"/>
        </w:rPr>
        <w:t xml:space="preserve">” </w:t>
      </w:r>
      <w:r>
        <w:rPr>
          <w:rFonts w:ascii="Times New Roman;serif" w:hAnsi="Times New Roman;serif"/>
          <w:b w:val="false"/>
          <w:color w:val="000000"/>
          <w:sz w:val="24"/>
        </w:rPr>
        <w:t xml:space="preserve">has the meaning set forth in the introductory language to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Interim Covenant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Intervening Event</w:t>
      </w:r>
      <w:r>
        <w:rPr>
          <w:color w:val="000000"/>
          <w:shd w:fill="FFFFFF" w:val="clear"/>
        </w:rPr>
        <w:t xml:space="preserve">” </w:t>
      </w:r>
      <w:r>
        <w:rPr>
          <w:rFonts w:ascii="Times New Roman;serif" w:hAnsi="Times New Roman;serif"/>
          <w:b w:val="false"/>
          <w:color w:val="000000"/>
          <w:sz w:val="24"/>
          <w:shd w:fill="FFFFFF" w:val="clear"/>
        </w:rPr>
        <w:t xml:space="preserve">means an Effect that (a) is material to Parent and its Subsidiaries, taken as a whole, that is not actually known to the Parent Board as of the date of this Agreement (or if actually known, the material consequences of which were not actually known by the Parent Board at such time) and (b) does not relate to or arise from (i) the receipt, existence or terms of any Parent Takeover Proposal, (ii) any change in the market price or trading volume of Company or Parent securities or (iii) any failure, in and of itself,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60705"/>
                <wp:effectExtent l="0" t="0" r="0" b="0"/>
                <wp:wrapNone/>
                <wp:docPr id="26" name="Frame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shd w:fill="FFFFFF" w:val="clear"/>
        </w:rPr>
        <w:t xml:space="preserve">Company or Parent to meet, or the exceeding by the Company or Parent of, internal or published estimates or forecasts of revenues, earnings or other financial metrics;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 xml:space="preserve">that, with respect to the foregoing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the underlying cause of such change, failure or exceedance may otherwise constitute or be taken into account in determining whether a “Parent Intervening Event” has occurred if not otherwise excluded from consideration under this definition.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Manager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Material Adverse Effect</w:t>
      </w:r>
      <w:r>
        <w:rPr>
          <w:color w:val="000000"/>
        </w:rPr>
        <w:t xml:space="preserve">” </w:t>
      </w:r>
      <w:r>
        <w:rPr>
          <w:rFonts w:ascii="Times New Roman;serif" w:hAnsi="Times New Roman;serif"/>
          <w:b w:val="false"/>
          <w:color w:val="000000"/>
          <w:sz w:val="24"/>
        </w:rPr>
        <w:t xml:space="preserve">means any Effect that, individually or in the aggregate, is materially adverse to the business or operations of Parent and its Subsidiaries,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any of the following shall constitute or be taken into account in determining whether there has been, is, or would reasonably be expected to be, a Parent Material Adverse Effect: </w:t>
      </w:r>
    </w:p>
    <w:p>
      <w:pPr>
        <w:pStyle w:val="TextBody"/>
        <w:bidi w:val="0"/>
        <w:spacing w:lineRule="auto" w:line="240" w:before="0" w:after="240"/>
        <w:ind w:left="0" w:right="0" w:firstLine="720"/>
        <w:jc w:val="both"/>
        <w:rPr/>
      </w:pPr>
      <w:bookmarkStart w:id="13" w:name="i6e8d672ce7e142a289ac3c73c504363c"/>
      <w:bookmarkEnd w:id="13"/>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p>
    <w:p>
      <w:pPr>
        <w:pStyle w:val="TextBody"/>
        <w:bidi w:val="0"/>
        <w:spacing w:lineRule="auto" w:line="240" w:before="0" w:after="240"/>
        <w:ind w:left="0" w:right="0" w:firstLine="720"/>
        <w:jc w:val="both"/>
        <w:rPr/>
      </w:pPr>
      <w:bookmarkStart w:id="14" w:name="i6cf1fec7db1741a7b7e7a2300dfb8e58"/>
      <w:bookmarkEnd w:id="14"/>
      <w:r>
        <w:rPr>
          <w:rFonts w:ascii="Times New Roman;serif" w:hAnsi="Times New Roman;serif"/>
          <w:b w:val="false"/>
          <w:color w:val="000000"/>
          <w:sz w:val="24"/>
        </w:rPr>
        <w:t>(b)</w:t>
      </w:r>
      <w:r>
        <w:rPr>
          <w:rFonts w:ascii="Times New Roman;serif" w:hAnsi="Times New Roman;serif"/>
          <w:b w:val="false"/>
          <w:color w:val="000000"/>
          <w:sz w:val="24"/>
          <w:shd w:fill="FFFFFF" w:val="clear"/>
        </w:rPr>
        <w:t>changes or proposed changes in GAAP or any Law or changes in the interpretation or enforcement thereof;</w:t>
      </w:r>
    </w:p>
    <w:p>
      <w:pPr>
        <w:pStyle w:val="TextBody"/>
        <w:bidi w:val="0"/>
        <w:spacing w:lineRule="auto" w:line="240" w:before="0" w:after="240"/>
        <w:ind w:left="0" w:right="0" w:firstLine="720"/>
        <w:jc w:val="both"/>
        <w:rPr/>
      </w:pPr>
      <w:bookmarkStart w:id="15" w:name="i90fd48b0c94e4e91b5f0266279ddbaaf"/>
      <w:bookmarkEnd w:id="15"/>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 </w:t>
      </w:r>
    </w:p>
    <w:p>
      <w:pPr>
        <w:pStyle w:val="TextBody"/>
        <w:bidi w:val="0"/>
        <w:spacing w:lineRule="auto" w:line="240" w:before="0" w:after="240"/>
        <w:ind w:left="0" w:right="0" w:firstLine="720"/>
        <w:jc w:val="both"/>
        <w:rPr/>
      </w:pPr>
      <w:bookmarkStart w:id="16" w:name="i89c6a20c023b40adbd08506bd2b6f478"/>
      <w:bookmarkEnd w:id="16"/>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changes or developments in the industries in which Parent or any of its Subsidiaries operate; </w:t>
      </w:r>
    </w:p>
    <w:p>
      <w:pPr>
        <w:pStyle w:val="TextBody"/>
        <w:bidi w:val="0"/>
        <w:spacing w:lineRule="auto" w:line="240" w:before="0" w:after="240"/>
        <w:ind w:left="0" w:right="0" w:firstLine="720"/>
        <w:jc w:val="both"/>
        <w:rPr/>
      </w:pPr>
      <w:bookmarkStart w:id="17" w:name="i098fceea731447b78500149075f4ea3d"/>
      <w:bookmarkEnd w:id="17"/>
      <w:r>
        <w:rPr>
          <w:rFonts w:ascii="Times New Roman;serif" w:hAnsi="Times New Roman;serif"/>
          <w:b w:val="false"/>
          <w:color w:val="000000"/>
          <w:sz w:val="24"/>
        </w:rPr>
        <w:t>(e)</w:t>
      </w:r>
      <w:r>
        <w:rPr>
          <w:rFonts w:ascii="Times New Roman;serif" w:hAnsi="Times New Roman;serif"/>
          <w:b w:val="false"/>
          <w:color w:val="000000"/>
          <w:sz w:val="24"/>
          <w:shd w:fill="FFFFFF" w:val="clear"/>
        </w:rPr>
        <w:t>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Parent or any of its Subsidiaries or any other disruption to the business of Parent or any of its Subsidiaries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clause (e)</w:t>
      </w:r>
      <w:r>
        <w:rPr>
          <w:color w:val="000000"/>
          <w:shd w:fill="FFFFFF" w:val="clear"/>
        </w:rPr>
        <w:t xml:space="preserve"> </w:t>
      </w:r>
      <w:r>
        <w:rPr>
          <w:rFonts w:ascii="Times New Roman;serif" w:hAnsi="Times New Roman;serif"/>
          <w:b w:val="false"/>
          <w:color w:val="000000"/>
          <w:sz w:val="24"/>
          <w:shd w:fill="FFFFFF" w:val="clear"/>
        </w:rPr>
        <w:t xml:space="preserve">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uto" w:line="240" w:before="0" w:after="240"/>
        <w:ind w:left="0" w:right="0" w:firstLine="720"/>
        <w:jc w:val="both"/>
        <w:rPr/>
      </w:pPr>
      <w:bookmarkStart w:id="18" w:name="i7ffbd619746f4b18847b1d4624189f2c"/>
      <w:bookmarkEnd w:id="18"/>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lineRule="auto" w:line="240" w:before="0" w:after="240"/>
        <w:ind w:left="0" w:right="0" w:firstLine="720"/>
        <w:jc w:val="both"/>
        <w:rPr/>
      </w:pPr>
      <w:bookmarkStart w:id="19" w:name="i028185f785ed4eddaa6d145e389a6e76"/>
      <w:bookmarkEnd w:id="19"/>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any change in the trading price, dividends or trading volume of the shares of Parent Common Stock or any change in the credit ratings or ratings outlook for Parent or any of its Subsidiaries, or the availability or cost of equity, debt or other financing to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60705"/>
                <wp:effectExtent l="0" t="0" r="0" b="0"/>
                <wp:wrapNone/>
                <wp:docPr id="27" name="Frame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underlying causes of any such change referred to in this </w:t>
      </w:r>
      <w:r>
        <w:rPr>
          <w:rFonts w:ascii="Times New Roman;serif" w:hAnsi="Times New Roman;serif"/>
          <w:b w:val="false"/>
          <w:color w:val="000000"/>
          <w:sz w:val="24"/>
          <w:u w:val="single"/>
          <w:shd w:fill="FFFFFF" w:val="clear"/>
        </w:rPr>
        <w:t>clause (g)</w:t>
      </w:r>
      <w:r>
        <w:rPr>
          <w:color w:val="000000"/>
          <w:shd w:fill="FFFFFF" w:val="clear"/>
        </w:rPr>
        <w:t xml:space="preserve"> </w:t>
      </w:r>
      <w:r>
        <w:rPr>
          <w:rFonts w:ascii="Times New Roman;serif" w:hAnsi="Times New Roman;serif"/>
          <w:b w:val="false"/>
          <w:color w:val="000000"/>
          <w:sz w:val="24"/>
          <w:shd w:fill="FFFFFF" w:val="clear"/>
        </w:rPr>
        <w:t xml:space="preserve">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bookmarkStart w:id="20" w:name="ia4f8e9c2825d4c309fd517fdccb0f7d7"/>
      <w:bookmarkEnd w:id="20"/>
      <w:r>
        <w:rPr>
          <w:rFonts w:ascii="Times New Roman;serif" w:hAnsi="Times New Roman;serif"/>
          <w:b w:val="false"/>
          <w:color w:val="000000"/>
          <w:sz w:val="24"/>
        </w:rPr>
        <w:t>(h)</w:t>
      </w:r>
      <w:r>
        <w:rPr>
          <w:rFonts w:ascii="Times New Roman;serif" w:hAnsi="Times New Roman;serif"/>
          <w:b w:val="false"/>
          <w:color w:val="000000"/>
          <w:sz w:val="24"/>
          <w:shd w:fill="FFFFFF" w:val="clear"/>
        </w:rPr>
        <w:t>the failure to meet any internal, published, analyst or other third party’s projections, guidance, budgets, milestones, expectations, forecasts or estimates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underlying causes of any such change referred to in this </w:t>
      </w:r>
      <w:r>
        <w:rPr>
          <w:rFonts w:ascii="Times New Roman;serif" w:hAnsi="Times New Roman;serif"/>
          <w:b w:val="false"/>
          <w:color w:val="000000"/>
          <w:sz w:val="24"/>
          <w:u w:val="single"/>
          <w:shd w:fill="FFFFFF" w:val="clear"/>
        </w:rPr>
        <w:t>clause (h)</w:t>
      </w:r>
      <w:r>
        <w:rPr>
          <w:color w:val="000000"/>
          <w:shd w:fill="FFFFFF" w:val="clear"/>
        </w:rPr>
        <w:t xml:space="preserve"> </w:t>
      </w:r>
      <w:r>
        <w:rPr>
          <w:rFonts w:ascii="Times New Roman;serif" w:hAnsi="Times New Roman;serif"/>
          <w:b w:val="false"/>
          <w:color w:val="000000"/>
          <w:sz w:val="24"/>
          <w:shd w:fill="FFFFFF" w:val="clear"/>
        </w:rPr>
        <w:t xml:space="preserve">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bookmarkStart w:id="21" w:name="i3945a4612f3b4352a78315597a59a0d4"/>
      <w:bookmarkEnd w:id="21"/>
      <w:r>
        <w:rPr>
          <w:rFonts w:ascii="Times New Roman;serif" w:hAnsi="Times New Roman;serif"/>
          <w:b w:val="false"/>
          <w:color w:val="000000"/>
          <w:sz w:val="24"/>
        </w:rPr>
        <w:t>(i)</w:t>
      </w:r>
      <w:r>
        <w:rPr>
          <w:rFonts w:ascii="Times New Roman;serif" w:hAnsi="Times New Roman;serif"/>
          <w:b w:val="false"/>
          <w:color w:val="000000"/>
          <w:sz w:val="24"/>
          <w:shd w:fill="FFFFFF" w:val="clear"/>
        </w:rPr>
        <w:t>any action taken or omitted by Parent or any of its Subsidiaries at the written request of the Company or consented to in writing by the Company; and</w:t>
      </w:r>
    </w:p>
    <w:p>
      <w:pPr>
        <w:pStyle w:val="TextBody"/>
        <w:bidi w:val="0"/>
        <w:spacing w:lineRule="auto" w:line="240" w:before="0" w:after="240"/>
        <w:ind w:left="0" w:right="0" w:firstLine="720"/>
        <w:jc w:val="both"/>
        <w:rPr/>
      </w:pPr>
      <w:bookmarkStart w:id="22" w:name="i961dd2e0e1e7436e97330afa08dd9faa"/>
      <w:bookmarkEnd w:id="22"/>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the identity of, or facts specific to, the Company or any of its Subsidiaries or any changes arising therefrom; </w:t>
        <w:br/>
        <w:br/>
        <w:t xml:space="preserve">except, with respect to the foregoing </w:t>
      </w:r>
      <w:r>
        <w:rPr>
          <w:rFonts w:ascii="Times New Roman;serif" w:hAnsi="Times New Roman;serif"/>
          <w:b w:val="false"/>
          <w:color w:val="000000"/>
          <w:sz w:val="24"/>
          <w:u w:val="single"/>
          <w:shd w:fill="FFFFFF" w:val="clear"/>
        </w:rPr>
        <w:t>clauses (a)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(b)</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(d)</w:t>
      </w:r>
      <w:r>
        <w:rPr>
          <w:rFonts w:ascii="Times New Roman;serif" w:hAnsi="Times New Roman;serif"/>
          <w:b w:val="false"/>
          <w:color w:val="000000"/>
          <w:sz w:val="24"/>
          <w:shd w:fill="FFFFFF" w:val="clear"/>
        </w:rPr>
        <w:t xml:space="preserve">, and </w:t>
      </w:r>
      <w:r>
        <w:rPr>
          <w:rFonts w:ascii="Times New Roman;serif" w:hAnsi="Times New Roman;serif"/>
          <w:b w:val="false"/>
          <w:color w:val="000000"/>
          <w:sz w:val="24"/>
          <w:u w:val="single"/>
          <w:shd w:fill="FFFFFF" w:val="clear"/>
        </w:rPr>
        <w:t>(f)</w:t>
      </w:r>
      <w:r>
        <w:rPr>
          <w:color w:val="000000"/>
          <w:shd w:fill="FFFFFF" w:val="clear"/>
        </w:rPr>
        <w:t xml:space="preserve"> </w:t>
      </w:r>
      <w:r>
        <w:rPr>
          <w:rFonts w:ascii="Times New Roman;serif" w:hAnsi="Times New Roman;serif"/>
          <w:b w:val="false"/>
          <w:color w:val="000000"/>
          <w:sz w:val="24"/>
          <w:shd w:fill="FFFFFF" w:val="clear"/>
        </w:rPr>
        <w:t xml:space="preserve">to the extent (and for the avoidance of doubt, only to the extent) that such impact is disproportionately adverse to Parent and its Subsidiaries, taken as a whole, relative to comparable companies in the industries in which Parent and its Subsidiaries operate, in which case only the incremental disproportionate adverse impact may be taken into account in determining whether a Parent Material Adverse Effect has occurred, is occurring or would reasonably be expected to occur.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Material Contract</w:t>
      </w:r>
      <w:r>
        <w:rPr>
          <w:color w:val="000000"/>
        </w:rPr>
        <w:t xml:space="preserve">” </w:t>
      </w:r>
      <w:r>
        <w:rPr>
          <w:rFonts w:ascii="Times New Roman;serif" w:hAnsi="Times New Roman;serif"/>
          <w:b w:val="false"/>
          <w:color w:val="000000"/>
          <w:sz w:val="24"/>
        </w:rPr>
        <w:t>means any Contract to which Parent or a Subsidiary thereof is a party that is material to Parent and its Subsidiaries, taken as a whole (it being understood and agreed that any Contract that has not expired or terminated in accordance with its terms that is filed with the SEC by Parent as a material Contract pursuant to Item 601(b)(10) of Regulation S-K of the SEC shall be deemed to be a “Parent Material Contract” 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Permitted Lien</w:t>
      </w:r>
      <w:r>
        <w:rPr>
          <w:color w:val="000000"/>
        </w:rPr>
        <w:t xml:space="preserve">” </w:t>
      </w:r>
      <w:r>
        <w:rPr>
          <w:rFonts w:ascii="Times New Roman;serif" w:hAnsi="Times New Roman;serif"/>
          <w:b w:val="false"/>
          <w:color w:val="000000"/>
          <w:sz w:val="24"/>
        </w:rPr>
        <w:t xml:space="preserve">means any Lien (a) for Taxes or governmental assessments, charges or claims of payment not yet delinquent or that are being contested in good faith by 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Parent and its Subsidiaries as currently conducted; (e) which is a statutory or common law lien or encumbrance to secure landlords, lessors or renters under leases or rental agreements for amounts not yet delinquent; (f) with respect to real property leased by the Parent or any of its Subsidiaries,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Parent and its Subsidiaries as currently conducted; (ii) all applicable zoning, entitlement, building, conservation restrictions and other land use and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60705"/>
                <wp:effectExtent l="0" t="0" r="0" b="0"/>
                <wp:wrapNone/>
                <wp:docPr id="28" name="Frame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environmental regulations that are not violated by the real property leased by, or the use or occupancy thereof by, the Parent or any of its Subsidiaries; (iii) matters that would be shown on a current survey or by a visual inspection of any applicable real property that do not and could not reasonably be expected to, individually or in the aggregate, materially interfere with the ordinary conduct of the business of Parent and its Subsidiaries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Parent or its Subsidiaries or any of their respective properties; (g) Liens that affect the underlying fee interest of any real property leased by Parent or any of its Subsidiaries; or (h) which is identified in the Parent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color w:val="000000"/>
          <w:shd w:fill="FFFFFF" w:val="clear"/>
        </w:rPr>
        <w:t>“</w:t>
      </w:r>
      <w:r>
        <w:rPr>
          <w:rFonts w:ascii="Times New Roman;serif" w:hAnsi="Times New Roman;serif"/>
          <w:b w:val="false"/>
          <w:color w:val="000000"/>
          <w:sz w:val="24"/>
          <w:u w:val="single"/>
          <w:shd w:fill="FFFFFF" w:val="clear"/>
        </w:rPr>
        <w:t>Parent Qualifying Income</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8.3(h)(i)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SEC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A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B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C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D Cumulative Redeemable Preferred Stock</w:t>
      </w:r>
      <w:r>
        <w:rPr>
          <w:color w:val="000000"/>
        </w:rPr>
        <w:t xml:space="preserve">” </w:t>
      </w:r>
      <w:r>
        <w:rPr>
          <w:rFonts w:ascii="Times New Roman;serif" w:hAnsi="Times New Roman;serif"/>
          <w:b w:val="false"/>
          <w:color w:val="000000"/>
          <w:sz w:val="24"/>
        </w:rPr>
        <w:t xml:space="preserve">means Parent’s 8.20% Series D Cumulative Redeemable Preferred Stock set forth in the articles supplementary substantially in the form attached hereto as </w:t>
      </w:r>
      <w:r>
        <w:rPr>
          <w:rFonts w:ascii="Times New Roman;serif" w:hAnsi="Times New Roman;serif"/>
          <w:b w:val="false"/>
          <w:color w:val="000000"/>
          <w:sz w:val="24"/>
          <w:u w:val="single"/>
        </w:rPr>
        <w:t>Annex A</w:t>
      </w:r>
      <w:r>
        <w:rPr>
          <w:rFonts w:ascii="Times New Roman;serif" w:hAnsi="Times New Roman;serif"/>
          <w:b w:val="false"/>
          <w:color w:val="000000"/>
          <w:sz w:val="24"/>
        </w:rPr>
        <w:t>, having the rights, preferences, privileges and voting powers substantially the same as those of the Company Series A Preferred Stock immediately prior to the Mergers.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E Cumulative Redeemable Preferred Stock</w:t>
      </w:r>
      <w:r>
        <w:rPr>
          <w:color w:val="000000"/>
        </w:rPr>
        <w:t xml:space="preserve">” </w:t>
      </w:r>
      <w:r>
        <w:rPr>
          <w:rFonts w:ascii="Times New Roman;serif" w:hAnsi="Times New Roman;serif"/>
          <w:b w:val="false"/>
          <w:color w:val="000000"/>
          <w:sz w:val="24"/>
        </w:rPr>
        <w:t xml:space="preserve">means Parent’s Series E Floating Rate Cumulative Redeemable Preferred Stock, with the terms of the Parent Series E Cumulative Redeemable Preferred Stock set forth in the articles supplementary substantially in the form attached hereto as </w:t>
      </w:r>
      <w:r>
        <w:rPr>
          <w:rFonts w:ascii="Times New Roman;serif" w:hAnsi="Times New Roman;serif"/>
          <w:b w:val="false"/>
          <w:color w:val="000000"/>
          <w:sz w:val="24"/>
          <w:u w:val="single"/>
        </w:rPr>
        <w:t>Annex B</w:t>
      </w:r>
      <w:r>
        <w:rPr>
          <w:rFonts w:ascii="Times New Roman;serif" w:hAnsi="Times New Roman;serif"/>
          <w:b w:val="false"/>
          <w:color w:val="000000"/>
          <w:sz w:val="24"/>
        </w:rPr>
        <w:t>, having the rights, preferences, privileges and voting powers substantially the same as those of the Company Series B Preferred Stock immediately prior to the Mergers.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Serviced Mortgage Loan</w:t>
      </w:r>
      <w:r>
        <w:rPr>
          <w:color w:val="000000"/>
        </w:rPr>
        <w:t xml:space="preserve">” </w:t>
      </w:r>
      <w:r>
        <w:rPr>
          <w:rFonts w:ascii="Times New Roman;serif" w:hAnsi="Times New Roman;serif"/>
          <w:b w:val="false"/>
          <w:color w:val="000000"/>
          <w:sz w:val="24"/>
        </w:rPr>
        <w:t>means any Mortgage Loan serviced by Parent or any of its Subsidiaries pursuant to a Parent Servicing Agreement since January 1, 2024.</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24"/>
          <w:u w:val="single"/>
        </w:rPr>
        <w:t>Parent Servicing Agreement</w:t>
      </w:r>
      <w:r>
        <w:rPr>
          <w:color w:val="000000"/>
        </w:rPr>
        <w:t xml:space="preserve">” </w:t>
      </w:r>
      <w:r>
        <w:rPr>
          <w:rFonts w:ascii="Times New Roman;serif" w:hAnsi="Times New Roman;serif"/>
          <w:b w:val="false"/>
          <w:color w:val="000000"/>
          <w:sz w:val="24"/>
        </w:rPr>
        <w:t>means any Contract pursuant to which Parent or any of its Subsidiaries is obligated to a Governmental Authority to service or administer Mortgage Loans.</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60705"/>
                <wp:effectExtent l="0" t="0" r="0" b="0"/>
                <wp:wrapNone/>
                <wp:docPr id="29" name="Frame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Stockholder Approval</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5.2(b)</w:t>
      </w:r>
      <w:r>
        <w:rPr>
          <w:rFonts w:ascii="Times New Roman;serif" w:hAnsi="Times New Roman;serif"/>
          <w:b w:val="false"/>
          <w:color w:val="000000"/>
          <w:sz w:val="24"/>
          <w:shd w:fill="FFFFFF" w:val="clear"/>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Stockholders Meeting</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6.8(d)</w:t>
      </w:r>
      <w:r>
        <w:rPr>
          <w:rFonts w:ascii="Times New Roman;serif" w:hAnsi="Times New Roman;serif"/>
          <w:b w:val="false"/>
          <w:color w:val="000000"/>
          <w:sz w:val="24"/>
          <w:shd w:fill="FFFFFF" w:val="clear"/>
        </w:rPr>
        <w:t xml:space="preserve">. </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Subserviced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subserviced by Parent or any of its Subsidiaries pursuant to a Parent Subservicing Agreement since January 1, 2024.</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Subservicing Agreement</w:t>
      </w:r>
      <w:r>
        <w:rPr>
          <w:color w:val="000000"/>
          <w:shd w:fill="FFFFFF" w:val="clear"/>
        </w:rPr>
        <w:t xml:space="preserve">” </w:t>
      </w:r>
      <w:r>
        <w:rPr>
          <w:rFonts w:ascii="Times New Roman;serif" w:hAnsi="Times New Roman;serif"/>
          <w:b w:val="false"/>
          <w:color w:val="000000"/>
          <w:sz w:val="24"/>
          <w:shd w:fill="FFFFFF" w:val="clear"/>
        </w:rPr>
        <w:t>means any Contract pursuant to which Parent or any of its Subsidiaries is obligated to a third party to subservice or administer Mortgage Loans.</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Superior Proposal</w:t>
      </w:r>
      <w:r>
        <w:rPr>
          <w:color w:val="000000"/>
          <w:shd w:fill="FFFFFF" w:val="clear"/>
        </w:rPr>
        <w:t xml:space="preserve">” </w:t>
      </w:r>
      <w:r>
        <w:rPr>
          <w:rFonts w:ascii="Times New Roman;serif" w:hAnsi="Times New Roman;serif"/>
          <w:b w:val="false"/>
          <w:color w:val="000000"/>
          <w:sz w:val="24"/>
          <w:shd w:fill="FFFFFF" w:val="clear"/>
        </w:rPr>
        <w:t xml:space="preserve">means a </w:t>
      </w:r>
      <w:r>
        <w:rPr>
          <w:rFonts w:ascii="Times New Roman;serif" w:hAnsi="Times New Roman;serif"/>
          <w:b w:val="false"/>
          <w:i/>
          <w:color w:val="000000"/>
          <w:sz w:val="24"/>
          <w:shd w:fill="FFFFFF" w:val="clear"/>
        </w:rPr>
        <w:t>bona fide</w:t>
      </w:r>
      <w:r>
        <w:rPr>
          <w:rFonts w:ascii="Times New Roman;serif" w:hAnsi="Times New Roman;serif"/>
          <w:b w:val="false"/>
          <w:color w:val="000000"/>
          <w:sz w:val="24"/>
          <w:shd w:fill="FFFFFF" w:val="clear"/>
        </w:rPr>
        <w:t xml:space="preserve">, written Parent Takeover Proposal (with references to twenty percent (20%) and eighty percent (80%) being deemed to be replaced with references to fifty percent (50%), respectively) by a third-party, which the Parent Board determines in good faith, after consultation with its independent financial advisor and outside legal counsel, to be more favorable to Parent and its stockholders than the Transactions.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Takeover Proposal</w:t>
      </w:r>
      <w:r>
        <w:rPr>
          <w:color w:val="000000"/>
          <w:shd w:fill="FFFFFF" w:val="clear"/>
        </w:rPr>
        <w:t xml:space="preserve">” </w:t>
      </w:r>
      <w:r>
        <w:rPr>
          <w:rFonts w:ascii="Times New Roman;serif" w:hAnsi="Times New Roman;serif"/>
          <w:b w:val="false"/>
          <w:color w:val="000000"/>
          <w:sz w:val="24"/>
          <w:shd w:fill="FFFFFF" w:val="clear"/>
        </w:rPr>
        <w:t>means any offer, proposal or indication of interest that is not withdrawn from a Person or “group” (as defined in or under Section 13(d) of the Exchange Act) of Persons (other than a proposal or offer by the Company or any Subsidiary of the Company) made after the date hereof relating to any transaction or series of related transactions involving: (a) any acquisition or purchase by any Person or “group” of Persons, directly or indirectly, of more than twenty percent (20%) of any class of outstanding voting or equity securities of Parent, or any tender offer or exchange offer that, if consummated, would result in any Person or “group” of Persons beneficially owning more than twenty percent (20%) (on a non-diluted basis) of any class of outstanding voting or equity securities of Parent, (b) any merger, consolidation, share exchange, business combination, joint venture, recapitalization, reorganization or other similar transaction involving Parent and a Person or “group” (as defined in or under Section 13(d) of the Exchange Act) of Persons pursuant to which the stockholders of Parent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Parent and its Subsidiaries, taken as a whole (measured by the fair market value thereof).</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Termination Fee</w:t>
      </w:r>
      <w:r>
        <w:rPr>
          <w:color w:val="000000"/>
          <w:shd w:fill="FFFFFF" w:val="clear"/>
        </w:rPr>
        <w:t xml:space="preserve">” </w:t>
      </w:r>
      <w:r>
        <w:rPr>
          <w:rFonts w:ascii="Times New Roman;serif" w:hAnsi="Times New Roman;serif"/>
          <w:b w:val="false"/>
          <w:color w:val="000000"/>
          <w:sz w:val="24"/>
          <w:shd w:fill="FFFFFF" w:val="clear"/>
        </w:rPr>
        <w:t>means an amount equal to $7,990,000.</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Articles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Merger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Merger 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Patents</w:t>
      </w:r>
      <w:r>
        <w:rPr>
          <w:color w:val="000000"/>
        </w:rPr>
        <w:t xml:space="preserve">” </w:t>
      </w:r>
      <w:r>
        <w:rPr>
          <w:rFonts w:ascii="Times New Roman;serif" w:hAnsi="Times New Roman;serif"/>
          <w:b w:val="false"/>
          <w:color w:val="000000"/>
          <w:sz w:val="24"/>
        </w:rPr>
        <w:t>has the meaning set forth in the definition of “Intellectual Property.”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Payroll Provider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3.1(c)(iv)</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60705"/>
                <wp:effectExtent l="0" t="0" r="0" b="0"/>
                <wp:wrapNone/>
                <wp:docPr id="30" name="Frame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PEO</w:t>
      </w:r>
      <w:r>
        <w:rPr>
          <w:color w:val="000000"/>
        </w:rPr>
        <w:t xml:space="preserve">” </w:t>
      </w:r>
      <w:r>
        <w:rPr>
          <w:rFonts w:ascii="Times New Roman;serif" w:hAnsi="Times New Roman;serif"/>
          <w:b w:val="false"/>
          <w:color w:val="000000"/>
          <w:sz w:val="24"/>
        </w:rPr>
        <w:t>means Automatic Data Processing, Inc. and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PEO Benefit Plan</w:t>
      </w:r>
      <w:r>
        <w:rPr>
          <w:color w:val="000000"/>
        </w:rPr>
        <w:t xml:space="preserve">” </w:t>
      </w:r>
      <w:r>
        <w:rPr>
          <w:rFonts w:ascii="Times New Roman;serif" w:hAnsi="Times New Roman;serif"/>
          <w:b w:val="false"/>
          <w:color w:val="000000"/>
          <w:sz w:val="24"/>
        </w:rPr>
        <w:t>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entered into, contributed to (or required to be contributed to), sponsored by or maintained by the PEO and in which employees of the Company participate.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 Share Additional Manager Consideration</w:t>
      </w:r>
      <w:r>
        <w:rPr>
          <w:color w:val="000000"/>
        </w:rPr>
        <w:t xml:space="preserve">” </w:t>
      </w:r>
      <w:r>
        <w:rPr>
          <w:rFonts w:ascii="Times New Roman;serif" w:hAnsi="Times New Roman;serif"/>
          <w:b w:val="false"/>
          <w:color w:val="000000"/>
          <w:sz w:val="24"/>
        </w:rPr>
        <w:t>means $0.52 in cash.</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Cash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Stock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Performance Payout Percentage</w:t>
      </w:r>
      <w:r>
        <w:rPr>
          <w:color w:val="000000"/>
        </w:rPr>
        <w:t xml:space="preserve">” </w:t>
      </w:r>
      <w:r>
        <w:rPr>
          <w:rFonts w:ascii="Times New Roman;serif" w:hAnsi="Times New Roman;serif"/>
          <w:b w:val="false"/>
          <w:color w:val="000000"/>
          <w:sz w:val="24"/>
        </w:rPr>
        <w:t>has the meaning set forth in the applicable grant agreement for the Company PSU Awards.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Permit</w:t>
      </w:r>
      <w:r>
        <w:rPr>
          <w:color w:val="000000"/>
        </w:rPr>
        <w:t xml:space="preserve">” </w:t>
      </w:r>
      <w:r>
        <w:rPr>
          <w:rFonts w:ascii="Times New Roman;serif" w:hAnsi="Times New Roman;serif"/>
          <w:b w:val="false"/>
          <w:color w:val="000000"/>
          <w:sz w:val="24"/>
        </w:rPr>
        <w:t>means any permit (including any special or conditional use permit), certificate, franchise, registration, approval, identification number, license, sublicense, variance or other authorization required under any applicable Law or by any government-sponsored enterprise.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corporation, partnership, joint venture, trust, association, estate, joint stock company, limited liability company, Governmental Authority or any other organization or entity of any kind.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Preferred Stock Merger Consideration</w:t>
      </w:r>
      <w:r>
        <w:rPr>
          <w:color w:val="000000"/>
        </w:rPr>
        <w:t xml:space="preserve">” </w:t>
      </w:r>
      <w:r>
        <w:rPr>
          <w:rFonts w:ascii="Times New Roman;serif" w:hAnsi="Times New Roman;serif"/>
          <w:b w:val="false"/>
          <w:color w:val="000000"/>
          <w:sz w:val="24"/>
        </w:rPr>
        <w:t>means the Series A Preferred Stock Merger Consideration and the Series B Preferred Stock Merger Consideration, as applicable.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Proxy Statement/Prospectus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Qualified REIT Subsidiary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Real Property Lease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4.16(b)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REIT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means, with respect to a Person, such Person’s directors, officers, employees, investment bankers, attorneys, accountants and other advisors or representatives.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Required Regulatory Approvals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7.1(e)</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60705"/>
                <wp:effectExtent l="0" t="0" r="0" b="0"/>
                <wp:wrapNone/>
                <wp:docPr id="31" name="Frame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Required Regulatory Notifications</w:t>
      </w:r>
      <w:r>
        <w:rPr>
          <w:color w:val="000000"/>
        </w:rPr>
        <w:t xml:space="preserve">” </w:t>
      </w:r>
      <w:r>
        <w:rPr>
          <w:rFonts w:ascii="Times New Roman;serif" w:hAnsi="Times New Roman;serif"/>
          <w:b w:val="false"/>
          <w:color w:val="000000"/>
          <w:sz w:val="24"/>
        </w:rPr>
        <w:t xml:space="preserve">means the pre-Closing notification filings to be made with any Governmental Authority under applicable Law in connection with the consummation of the Transactions set forth on </w:t>
      </w:r>
      <w:r>
        <w:rPr>
          <w:rFonts w:ascii="Times New Roman;serif" w:hAnsi="Times New Roman;serif"/>
          <w:b w:val="false"/>
          <w:color w:val="000000"/>
          <w:sz w:val="24"/>
          <w:u w:val="single"/>
        </w:rPr>
        <w:t>Section 1.1(d)</w:t>
      </w:r>
      <w:r>
        <w:rPr>
          <w:color w:val="000000"/>
        </w:rPr>
        <w:t xml:space="preserve"> </w:t>
      </w:r>
      <w:r>
        <w:rPr>
          <w:rFonts w:ascii="Times New Roman;serif" w:hAnsi="Times New Roman;serif"/>
          <w:b w:val="false"/>
          <w:color w:val="000000"/>
          <w:sz w:val="24"/>
        </w:rPr>
        <w:t>of the Company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A Articles Supplementary</w:t>
      </w:r>
      <w:r>
        <w:rPr>
          <w:color w:val="000000"/>
        </w:rPr>
        <w:t xml:space="preserve">” </w:t>
      </w:r>
      <w:r>
        <w:rPr>
          <w:rFonts w:ascii="Times New Roman;serif" w:hAnsi="Times New Roman;serif"/>
          <w:b w:val="false"/>
          <w:color w:val="000000"/>
          <w:sz w:val="24"/>
        </w:rPr>
        <w:t>means the Articles Supplementary designating the Series A Preferred Stock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A Preferred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B Articles Supplementary</w:t>
      </w:r>
      <w:r>
        <w:rPr>
          <w:color w:val="000000"/>
        </w:rPr>
        <w:t xml:space="preserve">” </w:t>
      </w:r>
      <w:r>
        <w:rPr>
          <w:rFonts w:ascii="Times New Roman;serif" w:hAnsi="Times New Roman;serif"/>
          <w:b w:val="false"/>
          <w:color w:val="000000"/>
          <w:sz w:val="24"/>
        </w:rPr>
        <w:t>means the Articles Supplementary designating the Series B Preferred Stock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B Preferred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 xml:space="preserve">means computer software programs in both source code and object code format, including databases, data files, application programming interfaces, user interfaces, and documentation relating thereto, as the context requires.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Specified Acquisition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Support Agreement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Surviving Corporation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Surviving Entity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Takeover Law</w:t>
      </w:r>
      <w:r>
        <w:rPr>
          <w:color w:val="000000"/>
        </w:rPr>
        <w:t xml:space="preserve">” </w:t>
      </w:r>
      <w:r>
        <w:rPr>
          <w:rFonts w:ascii="Times New Roman;serif" w:hAnsi="Times New Roman;serif"/>
          <w:b w:val="false"/>
          <w:color w:val="000000"/>
          <w:sz w:val="24"/>
        </w:rPr>
        <w:t>means any “moratorium,” “control share acquisition,” “business combination,” “fair price” or other form of takeover or anti-takeover Laws of any jurisdiction or other applicable Laws that purport to limit or restrict business combinations or the ability to limit or restrict business combinations or the ability to acquire or to vote shares.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 xml:space="preserve">means all U.S. federal, state, local or foreign taxes, imposts, levies or other similar assessments, including any net income, capital gains, gross income, gross receipts, sales, use,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60705"/>
                <wp:effectExtent l="0" t="0" r="0" b="0"/>
                <wp:wrapNone/>
                <wp:docPr id="32" name="Frame3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transfer, </w:t>
      </w:r>
      <w:r>
        <w:rPr>
          <w:rFonts w:ascii="Times New Roman;serif" w:hAnsi="Times New Roman;serif"/>
          <w:b w:val="false"/>
          <w:i/>
          <w:color w:val="000000"/>
          <w:sz w:val="24"/>
        </w:rPr>
        <w:t>ad valorem</w:t>
      </w:r>
      <w:r>
        <w:rPr>
          <w:rFonts w:ascii="Times New Roman;serif" w:hAnsi="Times New Roman;serif"/>
          <w:b w:val="false"/>
          <w:color w:val="000000"/>
          <w:sz w:val="24"/>
        </w:rPr>
        <w:t>, franchise, profits, license, capital, withholding, payroll, estimated, employment, excise, goods and services, severance, stamp, occupation, premium, property (including real property), social security, environmental, alternative or add-on, value added, registration, occupancy, capital stock, unincorporated business, unemployment, disability, workers’ compensation, accumulated earnings, personal holding company, annual reports, windfall profits or other taxes or assessments, imposed by any Governmental Authority, together with all interest, penalties or additions to tax imposed with respect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 Returns</w:t>
      </w:r>
      <w:r>
        <w:rPr>
          <w:color w:val="000000"/>
        </w:rPr>
        <w:t xml:space="preserve">” </w:t>
      </w:r>
      <w:r>
        <w:rPr>
          <w:rFonts w:ascii="Times New Roman;serif" w:hAnsi="Times New Roman;serif"/>
          <w:b w:val="false"/>
          <w:color w:val="000000"/>
          <w:sz w:val="24"/>
        </w:rPr>
        <w:t>means any report, return (including any information return), declaration, claim for refund or other document filed or required to be filed with any Taxing Authority with respect to Taxes, including any attachment thereto and any amendment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Taxable REIT Subsidiary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Taxing Authority</w:t>
      </w:r>
      <w:r>
        <w:rPr>
          <w:color w:val="000000"/>
        </w:rPr>
        <w:t xml:space="preserve">” </w:t>
      </w:r>
      <w:r>
        <w:rPr>
          <w:rFonts w:ascii="Times New Roman;serif" w:hAnsi="Times New Roman;serif"/>
          <w:b w:val="false"/>
          <w:color w:val="000000"/>
          <w:sz w:val="24"/>
        </w:rPr>
        <w:t>means any Governmental Authority responsible for the administration or the imposition of any Tax.</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Termination Expenses and Interest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8.3(e)</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Trade Secrets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Transactions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the Recitals.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Transfer Taxes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8.2(b)</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Treasury Regulations</w:t>
      </w:r>
      <w:r>
        <w:rPr>
          <w:color w:val="000000"/>
        </w:rPr>
        <w:t xml:space="preserve">” </w:t>
      </w:r>
      <w:r>
        <w:rPr>
          <w:rFonts w:ascii="Times New Roman;serif" w:hAnsi="Times New Roman;serif"/>
          <w:b w:val="false"/>
          <w:color w:val="000000"/>
          <w:sz w:val="24"/>
        </w:rPr>
        <w:t>means the regulations promulgated under the Code, as such regulations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23" w:name="ic8fe0adb0e754cc8b3ab2c97a5a32304"/>
      <w:bookmarkEnd w:id="23"/>
      <w:r>
        <w:rPr>
          <w:rFonts w:ascii="Times New Roman;serif" w:hAnsi="Times New Roman;serif"/>
          <w:b w:val="false"/>
          <w:color w:val="000000"/>
          <w:sz w:val="24"/>
        </w:rPr>
        <w:t>Article II</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 w:name="ibeb81df00f6e4bc09a3f8db5f8334542"/>
      <w:bookmarkEnd w:id="24"/>
      <w:r>
        <w:rPr>
          <w:rFonts w:ascii="Times New Roman;serif" w:hAnsi="Times New Roman;serif"/>
          <w:b w:val="false"/>
          <w:color w:val="000000"/>
          <w:sz w:val="24"/>
        </w:rPr>
        <w:t>2.1.</w:t>
      </w:r>
      <w:r>
        <w:rPr>
          <w:rFonts w:ascii="Times New Roman;serif" w:hAnsi="Times New Roman;serif"/>
          <w:b w:val="false"/>
          <w:color w:val="000000"/>
          <w:sz w:val="24"/>
          <w:u w:val="single"/>
          <w:shd w:fill="FFFFFF" w:val="clear"/>
        </w:rPr>
        <w:t>Mergers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25" w:name="id7c3ab3fe2f64733afb50e11dd3bf567"/>
      <w:bookmarkEnd w:id="25"/>
      <w:r>
        <w:rPr>
          <w:rFonts w:ascii="Times New Roman;serif" w:hAnsi="Times New Roman;serif"/>
          <w:b w:val="false"/>
          <w:color w:val="000000"/>
          <w:sz w:val="24"/>
        </w:rPr>
        <w:t>(a)</w:t>
      </w:r>
      <w:r>
        <w:rPr>
          <w:rFonts w:ascii="Times New Roman;serif" w:hAnsi="Times New Roman;serif"/>
          <w:b w:val="false"/>
          <w:color w:val="000000"/>
          <w:sz w:val="24"/>
          <w:shd w:fill="FFFFFF" w:val="clear"/>
        </w:rPr>
        <w:t>Upon the terms and subject to the conditions set forth in this Agreement and in accordance with the DRULPA and the MGCL, at the Partnership Merger Effective Time, the Company Operating Partnership shall be merged with and into the Company. Following the Partnership Merger, the Company shall continue as the surviving corporation and the separate existence of Company Operating Partnership shall cease (the Company, as the surviving corporation in the Partnership Merger, the “</w:t>
      </w:r>
      <w:r>
        <w:rPr>
          <w:rFonts w:ascii="Times New Roman;serif" w:hAnsi="Times New Roman;serif"/>
          <w:b w:val="false"/>
          <w:color w:val="000000"/>
          <w:sz w:val="24"/>
          <w:u w:val="single"/>
          <w:shd w:fill="FFFFFF" w:val="clear"/>
        </w:rPr>
        <w:t>Surviving Corporation</w:t>
      </w:r>
      <w:r>
        <w:rPr>
          <w:color w:val="000000"/>
          <w:shd w:fill="FFFFFF" w:val="clear"/>
        </w:rPr>
        <w:t>”</w:t>
      </w:r>
      <w:r>
        <w:rPr>
          <w:rFonts w:ascii="Times New Roman;serif" w:hAnsi="Times New Roman;serif"/>
          <w:b w:val="false"/>
          <w:color w:val="000000"/>
          <w:sz w:val="24"/>
          <w:shd w:fill="FFFFFF" w:val="clear"/>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60705"/>
                <wp:effectExtent l="0" t="0" r="0" b="0"/>
                <wp:wrapNone/>
                <wp:docPr id="33" name="Frame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6" w:name="i509aeaa5252e4124819782ad4a872b16"/>
      <w:bookmarkEnd w:id="26"/>
      <w:r>
        <w:rPr>
          <w:rFonts w:ascii="Times New Roman;serif" w:hAnsi="Times New Roman;serif"/>
          <w:b w:val="false"/>
          <w:color w:val="000000"/>
          <w:sz w:val="24"/>
        </w:rPr>
        <w:t>(b)</w:t>
      </w:r>
      <w:r>
        <w:rPr>
          <w:rFonts w:ascii="Times New Roman;serif" w:hAnsi="Times New Roman;serif"/>
          <w:b w:val="false"/>
          <w:color w:val="000000"/>
          <w:sz w:val="24"/>
          <w:shd w:fill="FFFFFF" w:val="clear"/>
        </w:rPr>
        <w:t>Upon the terms and subject to the conditions set forth in this Agreement and in accordance with the DLLCA and the MGCL, following the Partnership Merger and at the Company Merger Effective Time, the Surviving Corporation shall be merged with and into Merger Sub. Following the Company Merger, Merger Sub shall continue as the surviving entity and the separate existence of the Surviving Corporation shall cease (Merger Sub, as the surviving entity in the Company Merger, the “</w:t>
      </w:r>
      <w:r>
        <w:rPr>
          <w:rFonts w:ascii="Times New Roman;serif" w:hAnsi="Times New Roman;serif"/>
          <w:b w:val="false"/>
          <w:color w:val="000000"/>
          <w:sz w:val="24"/>
          <w:u w:val="single"/>
          <w:shd w:fill="FFFFFF" w:val="clear"/>
        </w:rPr>
        <w:t>Surviving Entity</w:t>
      </w:r>
      <w:r>
        <w:rPr>
          <w:color w:val="000000"/>
          <w:shd w:fill="FFFFFF" w:val="clear"/>
        </w:rPr>
        <w:t>”</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7" w:name="ifb5a4c1067424d298a41387609fd470f"/>
      <w:bookmarkEnd w:id="27"/>
      <w:r>
        <w:rPr>
          <w:rFonts w:ascii="Times New Roman;serif" w:hAnsi="Times New Roman;serif"/>
          <w:b w:val="false"/>
          <w:color w:val="000000"/>
          <w:sz w:val="24"/>
        </w:rPr>
        <w:t>2.2.</w:t>
      </w:r>
      <w:r>
        <w:rPr>
          <w:rFonts w:ascii="Times New Roman;serif" w:hAnsi="Times New Roman;serif"/>
          <w:b w:val="false"/>
          <w:color w:val="000000"/>
          <w:sz w:val="24"/>
          <w:u w:val="single"/>
          <w:shd w:fill="FFFFFF" w:val="clear"/>
        </w:rPr>
        <w:t>Closing</w:t>
      </w:r>
      <w:r>
        <w:rPr>
          <w:rFonts w:ascii="Times New Roman;serif" w:hAnsi="Times New Roman;serif"/>
          <w:b w:val="false"/>
          <w:color w:val="000000"/>
          <w:sz w:val="24"/>
          <w:shd w:fill="FFFFFF" w:val="clear"/>
        </w:rPr>
        <w:t xml:space="preserve">. The Closing shall take place via the exchange of electronic documents and executed signature pages and the electronic transfer of funds on the date that is two Business Days after the date on which the last of the conditions precedent set forth in </w:t>
      </w:r>
      <w:r>
        <w:rPr>
          <w:rFonts w:ascii="Times New Roman;serif" w:hAnsi="Times New Roman;serif"/>
          <w:b w:val="false"/>
          <w:color w:val="000000"/>
          <w:sz w:val="24"/>
          <w:u w:val="single"/>
          <w:shd w:fill="FFFFFF" w:val="clear"/>
        </w:rPr>
        <w:t>Article VII</w:t>
      </w:r>
      <w:r>
        <w:rPr>
          <w:color w:val="000000"/>
          <w:shd w:fill="FFFFFF" w:val="clear"/>
        </w:rPr>
        <w:t xml:space="preserve"> </w:t>
      </w:r>
      <w:r>
        <w:rPr>
          <w:rFonts w:ascii="Times New Roman;serif" w:hAnsi="Times New Roman;serif"/>
          <w:b w:val="false"/>
          <w:color w:val="000000"/>
          <w:sz w:val="24"/>
          <w:shd w:fill="FFFFFF" w:val="clear"/>
        </w:rPr>
        <w:t>is satisfied or, to the extent permitted by applicable Law, waived (other than those conditions that by their terms are to be satisfied at the Closing, but subject to the satisfaction or waiver of those conditions at such time). The date on which the Closing occurs in accordance with the preceding sentence is referred to in this Agreement as the “</w:t>
      </w:r>
      <w:r>
        <w:rPr>
          <w:rFonts w:ascii="Times New Roman;serif" w:hAnsi="Times New Roman;serif"/>
          <w:b w:val="false"/>
          <w:color w:val="000000"/>
          <w:sz w:val="24"/>
          <w:u w:val="single"/>
          <w:shd w:fill="FFFFFF" w:val="clear"/>
        </w:rPr>
        <w:t>Closing Date</w:t>
      </w:r>
      <w:r>
        <w:rPr>
          <w:rFonts w:ascii="Times New Roman;serif" w:hAnsi="Times New Roman;serif"/>
          <w:b w:val="false"/>
          <w:color w:val="000000"/>
          <w:sz w:val="24"/>
          <w:shd w:fill="FFFFFF" w:val="clear"/>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8" w:name="i43a42c7a690b40f18593aa7c576f9d45"/>
      <w:bookmarkEnd w:id="28"/>
      <w:r>
        <w:rPr>
          <w:rFonts w:ascii="Times New Roman;serif" w:hAnsi="Times New Roman;serif"/>
          <w:b w:val="false"/>
          <w:color w:val="000000"/>
          <w:sz w:val="24"/>
        </w:rPr>
        <w:t>2.3.</w:t>
      </w:r>
      <w:r>
        <w:rPr>
          <w:rFonts w:ascii="Times New Roman;serif" w:hAnsi="Times New Roman;serif"/>
          <w:b w:val="false"/>
          <w:color w:val="000000"/>
          <w:sz w:val="24"/>
          <w:u w:val="single"/>
          <w:shd w:fill="FFFFFF" w:val="clear"/>
        </w:rPr>
        <w:t>Effective Times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29" w:name="ie2296601866f4312bcc1c6fd8ab4814d"/>
      <w:bookmarkEnd w:id="29"/>
      <w:r>
        <w:rPr>
          <w:rFonts w:ascii="Times New Roman;serif" w:hAnsi="Times New Roman;serif"/>
          <w:b w:val="false"/>
          <w:color w:val="000000"/>
          <w:sz w:val="24"/>
        </w:rPr>
        <w:t>(a)</w:t>
      </w:r>
      <w:r>
        <w:rPr>
          <w:rFonts w:ascii="Times New Roman;serif" w:hAnsi="Times New Roman;serif"/>
          <w:b w:val="false"/>
          <w:color w:val="000000"/>
          <w:sz w:val="24"/>
          <w:shd w:fill="FFFFFF" w:val="clear"/>
        </w:rPr>
        <w:t>As soon as practicable on the Closing Date, Parent, the Company and the Company Operating Partnership shall (i) cause the Partnership Merger to be consummated by filing with the Secretary of State of the State of Delaware (the “</w:t>
      </w:r>
      <w:r>
        <w:rPr>
          <w:rFonts w:ascii="Times New Roman;serif" w:hAnsi="Times New Roman;serif"/>
          <w:b w:val="false"/>
          <w:color w:val="000000"/>
          <w:sz w:val="24"/>
          <w:u w:val="single"/>
          <w:shd w:fill="FFFFFF" w:val="clear"/>
        </w:rPr>
        <w:t>Delaware Secretary</w:t>
      </w:r>
      <w:r>
        <w:rPr>
          <w:color w:val="000000"/>
          <w:shd w:fill="FFFFFF" w:val="clear"/>
        </w:rPr>
        <w:t>”</w:t>
      </w:r>
      <w:r>
        <w:rPr>
          <w:rFonts w:ascii="Times New Roman;serif" w:hAnsi="Times New Roman;serif"/>
          <w:b w:val="false"/>
          <w:color w:val="000000"/>
          <w:sz w:val="24"/>
          <w:shd w:fill="FFFFFF" w:val="clear"/>
        </w:rPr>
        <w:t>) of a certificate of merger (the “</w:t>
      </w:r>
      <w:r>
        <w:rPr>
          <w:rFonts w:ascii="Times New Roman;serif" w:hAnsi="Times New Roman;serif"/>
          <w:b w:val="false"/>
          <w:color w:val="000000"/>
          <w:sz w:val="24"/>
          <w:u w:val="single"/>
          <w:shd w:fill="FFFFFF" w:val="clear"/>
        </w:rPr>
        <w:t>Partnership Certificate of Merger</w:t>
      </w:r>
      <w:r>
        <w:rPr>
          <w:color w:val="000000"/>
          <w:shd w:fill="FFFFFF" w:val="clear"/>
        </w:rPr>
        <w:t>”</w:t>
      </w:r>
      <w:r>
        <w:rPr>
          <w:rFonts w:ascii="Times New Roman;serif" w:hAnsi="Times New Roman;serif"/>
          <w:b w:val="false"/>
          <w:color w:val="000000"/>
          <w:sz w:val="24"/>
          <w:shd w:fill="FFFFFF" w:val="clear"/>
        </w:rPr>
        <w:t>) and by filing with the State Department of Assessments and Taxation of Maryland (the “</w:t>
      </w:r>
      <w:r>
        <w:rPr>
          <w:rFonts w:ascii="Times New Roman;serif" w:hAnsi="Times New Roman;serif"/>
          <w:b w:val="false"/>
          <w:color w:val="000000"/>
          <w:sz w:val="24"/>
          <w:u w:val="single"/>
          <w:shd w:fill="FFFFFF" w:val="clear"/>
        </w:rPr>
        <w:t>Maryland Department</w:t>
      </w:r>
      <w:r>
        <w:rPr>
          <w:color w:val="000000"/>
          <w:shd w:fill="FFFFFF" w:val="clear"/>
        </w:rPr>
        <w:t>”</w:t>
      </w:r>
      <w:r>
        <w:rPr>
          <w:rFonts w:ascii="Times New Roman;serif" w:hAnsi="Times New Roman;serif"/>
          <w:b w:val="false"/>
          <w:color w:val="000000"/>
          <w:sz w:val="24"/>
          <w:shd w:fill="FFFFFF" w:val="clear"/>
        </w:rPr>
        <w:t>) articles of merger (the “</w:t>
      </w:r>
      <w:r>
        <w:rPr>
          <w:rFonts w:ascii="Times New Roman;serif" w:hAnsi="Times New Roman;serif"/>
          <w:b w:val="false"/>
          <w:color w:val="000000"/>
          <w:sz w:val="24"/>
          <w:u w:val="single"/>
          <w:shd w:fill="FFFFFF" w:val="clear"/>
        </w:rPr>
        <w:t>Partnership Articles of Merger</w:t>
      </w:r>
      <w:r>
        <w:rPr>
          <w:color w:val="000000"/>
          <w:shd w:fill="FFFFFF" w:val="clear"/>
        </w:rPr>
        <w:t>”</w:t>
      </w:r>
      <w:r>
        <w:rPr>
          <w:rFonts w:ascii="Times New Roman;serif" w:hAnsi="Times New Roman;serif"/>
          <w:b w:val="false"/>
          <w:color w:val="000000"/>
          <w:sz w:val="24"/>
          <w:shd w:fill="FFFFFF" w:val="clear"/>
        </w:rPr>
        <w:t>), in each case with respect to the Partnership Merger and in such form as is required by, and executed in accordance with, the DRULPA and the MGCL, respectively; and (ii) make all other filings, recordings or publications required to be made by Parent, the Company Operating Partnership or the Company under the DRULPA and the MGCL in connection with the Partnership Merger. The Partnership Merger shall become effective at the time the Partnership Certificate of Merger is filed with the Delaware Secretary and the Partnership Articles of Merger are accepted for record by the Maryland Department, or at such later time as Parent and the Company shall agree upon in writing and shall specify in the Partnership Certificate of Merger and Partnership Articles of Merger (such date and time the Partnership Merger becomes effective, the “</w:t>
      </w:r>
      <w:r>
        <w:rPr>
          <w:rFonts w:ascii="Times New Roman;serif" w:hAnsi="Times New Roman;serif"/>
          <w:b w:val="false"/>
          <w:color w:val="000000"/>
          <w:sz w:val="24"/>
          <w:u w:val="single"/>
          <w:shd w:fill="FFFFFF" w:val="clear"/>
        </w:rPr>
        <w:t>Partnership Merger Effective Time</w:t>
      </w:r>
      <w:r>
        <w:rPr>
          <w:color w:val="000000"/>
          <w:shd w:fill="FFFFFF" w:val="clear"/>
        </w:rPr>
        <w:t>”</w:t>
      </w:r>
      <w:r>
        <w:rPr>
          <w:rFonts w:ascii="Times New Roman;serif" w:hAnsi="Times New Roman;serif"/>
          <w:b w:val="false"/>
          <w:color w:val="000000"/>
          <w:sz w:val="24"/>
          <w:shd w:fill="FFFFFF" w:val="clear"/>
        </w:rPr>
        <w:t>), it being understood and agreed that the parties hereto shall cause the Partnership Merger Effective Time to occur immediately prior to the Company Merger Effective Time.</w:t>
      </w:r>
    </w:p>
    <w:p>
      <w:pPr>
        <w:pStyle w:val="TextBody"/>
        <w:bidi w:val="0"/>
        <w:spacing w:lineRule="auto" w:line="240" w:before="0" w:after="240"/>
        <w:ind w:left="0" w:right="0" w:firstLine="720"/>
        <w:jc w:val="both"/>
        <w:rPr/>
      </w:pPr>
      <w:bookmarkStart w:id="30" w:name="i1628f3545f9e43bbaad3935260159e80"/>
      <w:bookmarkEnd w:id="30"/>
      <w:r>
        <w:rPr>
          <w:rFonts w:ascii="Times New Roman;serif" w:hAnsi="Times New Roman;serif"/>
          <w:b w:val="false"/>
          <w:color w:val="000000"/>
          <w:sz w:val="24"/>
        </w:rPr>
        <w:t>(b)</w:t>
      </w:r>
      <w:r>
        <w:rPr>
          <w:rFonts w:ascii="Times New Roman;serif" w:hAnsi="Times New Roman;serif"/>
          <w:b w:val="false"/>
          <w:color w:val="000000"/>
          <w:sz w:val="24"/>
          <w:shd w:fill="FFFFFF" w:val="clear"/>
        </w:rPr>
        <w:t>On the Closing Date, Parent, the Company and Merger Sub shall (i) cause the Company Merger to be consummated by filing with the Delaware Secretary of a certificate of merger (the “</w:t>
      </w:r>
      <w:r>
        <w:rPr>
          <w:rFonts w:ascii="Times New Roman;serif" w:hAnsi="Times New Roman;serif"/>
          <w:b w:val="false"/>
          <w:color w:val="000000"/>
          <w:sz w:val="24"/>
          <w:u w:val="single"/>
          <w:shd w:fill="FFFFFF" w:val="clear"/>
        </w:rPr>
        <w:t>Certificate of Merger</w:t>
      </w:r>
      <w:r>
        <w:rPr>
          <w:color w:val="000000"/>
          <w:shd w:fill="FFFFFF" w:val="clear"/>
        </w:rPr>
        <w:t>”</w:t>
      </w:r>
      <w:r>
        <w:rPr>
          <w:rFonts w:ascii="Times New Roman;serif" w:hAnsi="Times New Roman;serif"/>
          <w:b w:val="false"/>
          <w:color w:val="000000"/>
          <w:sz w:val="24"/>
          <w:shd w:fill="FFFFFF" w:val="clear"/>
        </w:rPr>
        <w:t>) and by filing with the Maryland Department articles of merger (the “</w:t>
      </w:r>
      <w:r>
        <w:rPr>
          <w:rFonts w:ascii="Times New Roman;serif" w:hAnsi="Times New Roman;serif"/>
          <w:b w:val="false"/>
          <w:color w:val="000000"/>
          <w:sz w:val="24"/>
          <w:u w:val="single"/>
          <w:shd w:fill="FFFFFF" w:val="clear"/>
        </w:rPr>
        <w:t>Articles of Merger</w:t>
      </w:r>
      <w:r>
        <w:rPr>
          <w:color w:val="000000"/>
          <w:shd w:fill="FFFFFF" w:val="clear"/>
        </w:rPr>
        <w:t xml:space="preserve">” </w:t>
      </w:r>
      <w:r>
        <w:rPr>
          <w:rFonts w:ascii="Times New Roman;serif" w:hAnsi="Times New Roman;serif"/>
          <w:b w:val="false"/>
          <w:color w:val="000000"/>
          <w:sz w:val="24"/>
          <w:shd w:fill="FFFFFF" w:val="clear"/>
        </w:rPr>
        <w:t>and, together with the Partnership Certificate of Merger, the Partnership Articles of Merger and the Certificate of Merger, the “</w:t>
      </w:r>
      <w:r>
        <w:rPr>
          <w:rFonts w:ascii="Times New Roman;serif" w:hAnsi="Times New Roman;serif"/>
          <w:b w:val="false"/>
          <w:color w:val="000000"/>
          <w:sz w:val="24"/>
          <w:u w:val="single"/>
          <w:shd w:fill="FFFFFF" w:val="clear"/>
        </w:rPr>
        <w:t>Merger Filings</w:t>
      </w:r>
      <w:r>
        <w:rPr>
          <w:color w:val="000000"/>
          <w:shd w:fill="FFFFFF" w:val="clear"/>
        </w:rPr>
        <w:t>”</w:t>
      </w:r>
      <w:r>
        <w:rPr>
          <w:rFonts w:ascii="Times New Roman;serif" w:hAnsi="Times New Roman;serif"/>
          <w:b w:val="false"/>
          <w:color w:val="000000"/>
          <w:sz w:val="24"/>
          <w:shd w:fill="FFFFFF" w:val="clear"/>
        </w:rPr>
        <w:t>), in each case with respect to the Company Merger and in such form as is required by, and executed in accordance with, the DLLCA and the MGCL; and (ii) make all other filings, recordings or publications required to be made by Parent, Merger Sub or the Company under the DLLCA and the MGCL in connection with the Company Merger. The Company Merger shall become effective at the time the Certificate of Merger is filed with the Delaware Secretary and the Articles of Merger are accepted for record by the Maryland Department, or at such later time as Parent and the Company shall agree upon in writing and shall specify in the Certificate of Merger and the Articles of Merger (such date and time the Company Merger becomes effective, the “</w:t>
      </w:r>
      <w:r>
        <w:rPr>
          <w:rFonts w:ascii="Times New Roman;serif" w:hAnsi="Times New Roman;serif"/>
          <w:b w:val="false"/>
          <w:color w:val="000000"/>
          <w:sz w:val="24"/>
          <w:u w:val="single"/>
          <w:shd w:fill="FFFFFF" w:val="clear"/>
        </w:rPr>
        <w:t>Company Merger Effective Time</w:t>
      </w:r>
      <w:r>
        <w:rPr>
          <w:color w:val="000000"/>
          <w:shd w:fill="FFFFFF" w:val="clear"/>
        </w:rPr>
        <w:t>”</w:t>
      </w:r>
      <w:r>
        <w:rPr>
          <w:rFonts w:ascii="Times New Roman;serif" w:hAnsi="Times New Roman;serif"/>
          <w:b w:val="false"/>
          <w:color w:val="000000"/>
          <w:sz w:val="24"/>
          <w:shd w:fill="FFFFFF" w:val="clear"/>
        </w:rPr>
        <w:t>), it being understood and agreed that the parties hereto shall cause the Company Merger Effective Time to occur immediately after the Partnership Merger Effective Time.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1" w:name="i557cf9b831b148beb86c80a9eb70bee5"/>
      <w:bookmarkEnd w:id="31"/>
      <w:r>
        <w:rPr>
          <w:rFonts w:ascii="Times New Roman;serif" w:hAnsi="Times New Roman;serif"/>
          <w:b w:val="false"/>
          <w:color w:val="000000"/>
          <w:sz w:val="24"/>
        </w:rPr>
        <w:t>2.4.</w:t>
      </w:r>
      <w:r>
        <w:rPr>
          <w:rFonts w:ascii="Times New Roman;serif" w:hAnsi="Times New Roman;serif"/>
          <w:b w:val="false"/>
          <w:color w:val="000000"/>
          <w:sz w:val="24"/>
          <w:u w:val="single"/>
          <w:shd w:fill="FFFFFF" w:val="clear"/>
        </w:rPr>
        <w:t>Effects of the Mergers</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60705"/>
                <wp:effectExtent l="0" t="0" r="0" b="0"/>
                <wp:wrapNone/>
                <wp:docPr id="34" name="Frame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2" w:name="i47e101d7591147d4abdb092ff4f61ca3"/>
      <w:bookmarkEnd w:id="32"/>
      <w:r>
        <w:rPr>
          <w:rFonts w:ascii="Times New Roman;serif" w:hAnsi="Times New Roman;serif"/>
          <w:b w:val="false"/>
          <w:color w:val="000000"/>
          <w:sz w:val="24"/>
        </w:rPr>
        <w:t>(a)</w:t>
      </w:r>
      <w:r>
        <w:rPr>
          <w:rFonts w:ascii="Times New Roman;serif" w:hAnsi="Times New Roman;serif"/>
          <w:b w:val="false"/>
          <w:color w:val="000000"/>
          <w:sz w:val="24"/>
          <w:shd w:fill="FFFFFF" w:val="clear"/>
        </w:rPr>
        <w:t>At the Partnership Merger Effective Time, the Partnership Merger shall have the effects set forth in this Agreement and the applicable provisions of the DRULPA and the MGCL, including Section 3-114 thereof. Without limiting the generality of the foregoing, and subject thereto, at the Partnership Merger Effective Time, all property owned by, and every contract right possessed by, the Company Operating Partnership and the Company shall vest in the Surviving Corporation without transfer, reversion or impairment and all debts, obligations and liabilities of the Company Operating Partnership and the Company shall become the debts, obligations and liabilities of the Surviving Corporation.</w:t>
      </w:r>
    </w:p>
    <w:p>
      <w:pPr>
        <w:pStyle w:val="TextBody"/>
        <w:bidi w:val="0"/>
        <w:spacing w:lineRule="auto" w:line="240" w:before="0" w:after="240"/>
        <w:ind w:left="0" w:right="0" w:firstLine="720"/>
        <w:jc w:val="both"/>
        <w:rPr/>
      </w:pPr>
      <w:bookmarkStart w:id="33" w:name="i1048ba7985824188a9d1df76f09ab4b5"/>
      <w:bookmarkEnd w:id="33"/>
      <w:r>
        <w:rPr>
          <w:rFonts w:ascii="Times New Roman;serif" w:hAnsi="Times New Roman;serif"/>
          <w:b w:val="false"/>
          <w:color w:val="000000"/>
          <w:sz w:val="24"/>
        </w:rPr>
        <w:t>(b)</w:t>
      </w:r>
      <w:r>
        <w:rPr>
          <w:rFonts w:ascii="Times New Roman;serif" w:hAnsi="Times New Roman;serif"/>
          <w:b w:val="false"/>
          <w:color w:val="000000"/>
          <w:sz w:val="24"/>
          <w:shd w:fill="FFFFFF" w:val="clear"/>
        </w:rPr>
        <w:t>At the Company Merger Effective Time, the Company Merger shall have the effects set forth in this Agreement and the applicable provisions of the DLLCA and the MGCL, including Section 3-114 thereof. Without limiting the generality of the foregoing, and subject thereto, at the Company Merger Effective Time, all property owned by, and every contract right possessed by, the Surviving Corporation and Merger Sub shall vest in the Surviving Entity without transfer, reversion or impairment and all debts, obligations and liabilities of the Surviving Corporation and Merger Sub shall become the debts, obligations and liabilities of the Surviving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 w:name="ie0f14ddf719944269908dce82b3a1cac"/>
      <w:bookmarkEnd w:id="34"/>
      <w:r>
        <w:rPr>
          <w:rFonts w:ascii="Times New Roman;serif" w:hAnsi="Times New Roman;serif"/>
          <w:b w:val="false"/>
          <w:color w:val="000000"/>
          <w:sz w:val="24"/>
        </w:rPr>
        <w:t>2.5.</w:t>
      </w:r>
      <w:r>
        <w:rPr>
          <w:rFonts w:ascii="Times New Roman;serif" w:hAnsi="Times New Roman;serif"/>
          <w:b w:val="false"/>
          <w:color w:val="000000"/>
          <w:sz w:val="24"/>
          <w:u w:val="single"/>
          <w:shd w:fill="FFFFFF" w:val="clear"/>
        </w:rPr>
        <w:t>Organizational Documents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5" w:name="i3232088825384eabadd63e1c7dc72011"/>
      <w:bookmarkEnd w:id="35"/>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certificate of formation of Merger Sub in effect immediately prior to the Company Merger Effective Time shall be the certificate of formation of the Surviving Entity as of the Company Merger Effective Time, except that the name of the Surviving Entity may be changed as determined by Parent, and the limited liability company agreement of Merger Sub in effect immediately prior to the Company Merger Effective Time shall be the limited liability company agreement of the Surviving Entity as of the Company Merger Effective Time, except that the references to Merger Sub’s name may be changed as determined by Parent, each until amended in accordance with applicable Law and consistent with the obligations set forth in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36" w:name="i03815ad38b6d4186b5b250bf3824ecef"/>
      <w:bookmarkEnd w:id="36"/>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charter of the Company in effect immediately prior to the Partnership Merger Effective Time shall be the charter of the Surviving Corporation as of the Partnership Merger Effective Time, and the bylaws of the Company in effect immediately prior to the Partnership Merger Effective Time shall be the bylaws of the Surviving Corporation, each until amended in accordance with applicable Law and consistent with the obligations set forth in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7" w:name="ib6c7d6288db24cbb81e0d7569b9555ae"/>
      <w:bookmarkEnd w:id="37"/>
      <w:r>
        <w:rPr>
          <w:rFonts w:ascii="Times New Roman;serif" w:hAnsi="Times New Roman;serif"/>
          <w:b w:val="false"/>
          <w:color w:val="000000"/>
          <w:sz w:val="24"/>
        </w:rPr>
        <w:t>2.6.</w:t>
      </w:r>
      <w:r>
        <w:rPr>
          <w:rFonts w:ascii="Times New Roman;serif" w:hAnsi="Times New Roman;serif"/>
          <w:b w:val="false"/>
          <w:color w:val="000000"/>
          <w:sz w:val="24"/>
          <w:u w:val="single"/>
          <w:shd w:fill="FFFFFF" w:val="clear"/>
        </w:rPr>
        <w:t>Directors and Officers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8" w:name="i0920fe6ac1c24b7f80c557b0968e2810"/>
      <w:bookmarkEnd w:id="38"/>
      <w:r>
        <w:rPr>
          <w:rFonts w:ascii="Times New Roman;serif" w:hAnsi="Times New Roman;serif"/>
          <w:b w:val="false"/>
          <w:color w:val="000000"/>
          <w:sz w:val="24"/>
        </w:rPr>
        <w:t>(a)</w:t>
      </w:r>
      <w:r>
        <w:rPr>
          <w:rFonts w:ascii="Times New Roman;serif" w:hAnsi="Times New Roman;serif"/>
          <w:b w:val="false"/>
          <w:color w:val="000000"/>
          <w:sz w:val="24"/>
          <w:shd w:fill="FFFFFF" w:val="clear"/>
        </w:rPr>
        <w:t>From and after the Company Merger Effective Time, the managing member and officers of Merger Sub immediately prior to the Company Merger Effective Time shall be the managing member and officers of the Surviving Entity, and such managing member and officers shall serve until their successors have been duly elected or appointed and qualified or until their death, resignation or removal in accordance with the Organizational Documents of the Surviving Entity.</w:t>
      </w:r>
    </w:p>
    <w:p>
      <w:pPr>
        <w:pStyle w:val="TextBody"/>
        <w:bidi w:val="0"/>
        <w:spacing w:lineRule="auto" w:line="240" w:before="0" w:after="240"/>
        <w:ind w:left="0" w:right="0" w:firstLine="720"/>
        <w:jc w:val="both"/>
        <w:rPr/>
      </w:pPr>
      <w:bookmarkStart w:id="39" w:name="i95f9c6ca9b5b4fd5b437d1ed9bdb1b27"/>
      <w:bookmarkEnd w:id="39"/>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directors and officers of the Company shall be the directors and officers of the Surviving Corporation following the Partnership Merger Effective Time and prior to the Company Merger Effective Time, and such directors and officers shall serve until their successors have been duly elected or appointed and qualified or until their death, resignation or removal in accordance with the Organizational Documents of the Surviving 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0" w:name="i93b8130574dc439caece0da565e29cc4"/>
      <w:bookmarkEnd w:id="40"/>
      <w:r>
        <w:rPr>
          <w:rFonts w:ascii="Times New Roman;serif" w:hAnsi="Times New Roman;serif"/>
          <w:b w:val="false"/>
          <w:color w:val="000000"/>
          <w:sz w:val="24"/>
        </w:rPr>
        <w:t>2.7.</w:t>
      </w:r>
      <w:r>
        <w:rPr>
          <w:rFonts w:ascii="Times New Roman;serif" w:hAnsi="Times New Roman;serif"/>
          <w:b w:val="false"/>
          <w:color w:val="000000"/>
          <w:sz w:val="24"/>
          <w:u w:val="single"/>
          <w:shd w:fill="FFFFFF" w:val="clear"/>
        </w:rPr>
        <w:t>Directors of Parent</w:t>
      </w:r>
      <w:r>
        <w:rPr>
          <w:rFonts w:ascii="Times New Roman;serif" w:hAnsi="Times New Roman;serif"/>
          <w:b w:val="false"/>
          <w:color w:val="000000"/>
          <w:sz w:val="24"/>
          <w:shd w:fill="FFFFFF" w:val="clear"/>
        </w:rPr>
        <w:t xml:space="preserve">. Prior to the Company Merger Effective Time, Parent shall take all necessary corporate action so that upon and immediately after the Company Merger Effective Time, (a) the size of the Parent Board is increased by two (2) members and (b) two (2)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60705"/>
                <wp:effectExtent l="0" t="0" r="0" b="0"/>
                <wp:wrapNone/>
                <wp:docPr id="35" name="Frame3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members of the Company Board designated by the Company no later than twenty (20) Business Days prior to the Closing Date shall be appointed to the Parent Board (each, a “</w:t>
      </w:r>
      <w:r>
        <w:rPr>
          <w:rFonts w:ascii="Times New Roman;serif" w:hAnsi="Times New Roman;serif"/>
          <w:b w:val="false"/>
          <w:color w:val="000000"/>
          <w:sz w:val="24"/>
          <w:u w:val="single"/>
          <w:shd w:fill="FFFFFF" w:val="clear"/>
        </w:rPr>
        <w:t>Company Director Designee</w:t>
      </w:r>
      <w:r>
        <w:rPr>
          <w:color w:val="000000"/>
          <w:shd w:fill="FFFFFF" w:val="clear"/>
        </w:rPr>
        <w:t>”</w:t>
      </w:r>
      <w:r>
        <w:rPr>
          <w:rFonts w:ascii="Times New Roman;serif" w:hAnsi="Times New Roman;serif"/>
          <w:b w:val="false"/>
          <w:color w:val="000000"/>
          <w:sz w:val="24"/>
          <w:shd w:fill="FFFFFF" w:val="clear"/>
        </w:rPr>
        <w:t xml:space="preserve">). Each Company Director Designee must (i) at the time of such designation be a member of the Company Board, (ii) have provided a fully completed directors’ questionnaire to Parent and completed a background check prior to such appointment, which shall be reasonably satisfactory to Parent, and (iii) meet the qualifications of an “independent director” of the Company and Parent under the rules of the NYSE;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in the event that (A) Parent determines in accordance with the foregoing that a Company Director Designee’s directors’ questionnaire or background check is not reasonably satisfactory or (B) a Company Director Designee is unable or unwilling to serve on the Parent Board prior to the Company Merger Effective Time, (x) in the case of the foregoing clause (A), Parent shall promptly notify the Company of such determination and (y) in the case of the foregoing clauses (A) and (B), the Company shall have the right to designate an alternative member of the Company Board as a Company Director Designee by notice to Parent no later than five (5) Business Days of, in the case of the foregoing clause (A), the Company’s receipt of the notice contemplated by the foregoing clause (x), and, in the case of the foregoing clause (B), the Company’s discovery of such matter. Parent shall take all action necessary to nominate the Company Director Designees to the Parent Board at the Parent Board’s next annual meeting following the Company Merger Effective Time, including, but not limited to, including the individuals as Persons nominated as members of the Parent Board in the Parent Board’s proxy statement for such annual meeting and recommending to its stockholders to elect the Company Director Designees to the Parent Board;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Parent Board shall not be required to make such recommendation with respect to any Company Director Designee if, and only if, the Parent Board determines making such recommendation with respect to such Company Director Designee would reasonably be expected to be inconsistent with its fiduciary duties under applicable Law. The provisions of this </w:t>
      </w:r>
      <w:r>
        <w:rPr>
          <w:rFonts w:ascii="Times New Roman;serif" w:hAnsi="Times New Roman;serif"/>
          <w:b w:val="false"/>
          <w:color w:val="000000"/>
          <w:sz w:val="24"/>
          <w:u w:val="single"/>
          <w:shd w:fill="FFFFFF" w:val="clear"/>
        </w:rPr>
        <w:t>Section 2.7</w:t>
      </w:r>
      <w:r>
        <w:rPr>
          <w:color w:val="000000"/>
          <w:shd w:fill="FFFFFF" w:val="clear"/>
        </w:rPr>
        <w:t xml:space="preserve"> </w:t>
      </w:r>
      <w:r>
        <w:rPr>
          <w:rFonts w:ascii="Times New Roman;serif" w:hAnsi="Times New Roman;serif"/>
          <w:b w:val="false"/>
          <w:color w:val="000000"/>
          <w:sz w:val="24"/>
          <w:shd w:fill="FFFFFF" w:val="clear"/>
        </w:rPr>
        <w:t xml:space="preserve">are intended to be for the benefit of, and shall be enforceable by, the Company Director Designees.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1" w:name="ic8d21ac1563947829567903428c46bc9"/>
      <w:bookmarkEnd w:id="41"/>
      <w:r>
        <w:rPr>
          <w:rFonts w:ascii="Times New Roman;serif" w:hAnsi="Times New Roman;serif"/>
          <w:b w:val="false"/>
          <w:color w:val="000000"/>
          <w:sz w:val="24"/>
        </w:rPr>
        <w:t>2.8.</w:t>
      </w:r>
      <w:r>
        <w:rPr>
          <w:rFonts w:ascii="Times New Roman;serif" w:hAnsi="Times New Roman;serif"/>
          <w:b w:val="false"/>
          <w:color w:val="000000"/>
          <w:sz w:val="24"/>
          <w:u w:val="single"/>
          <w:shd w:fill="FFFFFF" w:val="clear"/>
        </w:rPr>
        <w:t>Tax Consequences</w:t>
      </w:r>
      <w:r>
        <w:rPr>
          <w:rFonts w:ascii="Times New Roman;serif" w:hAnsi="Times New Roman;serif"/>
          <w:b w:val="false"/>
          <w:color w:val="000000"/>
          <w:sz w:val="24"/>
          <w:shd w:fill="FFFFFF" w:val="clear"/>
        </w:rPr>
        <w:t>. The parties hereto intend that (a) the Company Merger shall qualify, for U.S. federal income tax purposes, as a “reorganization” under, and within the meaning of, Section 368(a) of the Code, and (b) this Agreement be, and hereby is adopted as, a “plan of reorganization” for the Company Merger for purposes of Section 354 and Section 361 of the Code. Each party shall, unless otherwise required by a change in applicable Law after the date hereof, a “determination” within the meaning of Section 1313(a) of the Code, or based on a change in the facts and circumstances underlying the Company Merger from the terms described in this Agreement that are necessary for the qualification of the Company Merger for the treatment set forth above, cause all Tax Returns to be filed in a manner consistent therewith and no party shall take a position inconsistent with such treatment. Each of the parties agrees to use reasonable best efforts to promptly notify all other parties of any challenge to the intended tax treatment of the Company Merger by any Governmental Authority.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42" w:name="iecaf269306154d79a58bdabae395df13"/>
      <w:bookmarkEnd w:id="42"/>
      <w:r>
        <w:rPr>
          <w:rFonts w:ascii="Times New Roman;serif" w:hAnsi="Times New Roman;serif"/>
          <w:b w:val="false"/>
          <w:color w:val="000000"/>
          <w:sz w:val="24"/>
        </w:rPr>
        <w:t>Article III</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CONVERSION OF SHARES, UNITS AND AWARDS;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3" w:name="i5e0bbf658a484b4dacc1220e5fbe3508"/>
      <w:bookmarkEnd w:id="43"/>
      <w:r>
        <w:rPr>
          <w:rFonts w:ascii="Times New Roman;serif" w:hAnsi="Times New Roman;serif"/>
          <w:b w:val="false"/>
          <w:color w:val="000000"/>
          <w:sz w:val="24"/>
        </w:rPr>
        <w:t>3.1.</w:t>
      </w:r>
      <w:r>
        <w:rPr>
          <w:rFonts w:ascii="Times New Roman;serif" w:hAnsi="Times New Roman;serif"/>
          <w:b w:val="false"/>
          <w:color w:val="000000"/>
          <w:sz w:val="24"/>
          <w:u w:val="single"/>
          <w:shd w:fill="FFFFFF" w:val="clear"/>
        </w:rPr>
        <w:t>Treatment of Merger Sub Units, Company Common Stock, Company Preferred Stock and Company Equity Awards</w:t>
      </w:r>
      <w:r>
        <w:rPr>
          <w:rFonts w:ascii="Times New Roman;serif" w:hAnsi="Times New Roman;serif"/>
          <w:b w:val="false"/>
          <w:color w:val="000000"/>
          <w:sz w:val="24"/>
        </w:rPr>
        <w:t>. At the Company Merger Effective Time, by virtue of the Company Merger and without any action on the part of any party hereto or holder of any shares of Company Common Stock, holder of any shares of Company Preferred Stock, holder of any Merger Sub units, holder of any Company Equity Awards or any other securities of the Company, of Merger Sub or of Parent:</w:t>
      </w:r>
    </w:p>
    <w:p>
      <w:pPr>
        <w:pStyle w:val="TextBody"/>
        <w:bidi w:val="0"/>
        <w:spacing w:lineRule="auto" w:line="240" w:before="0" w:after="240"/>
        <w:ind w:left="0" w:right="0" w:firstLine="720"/>
        <w:jc w:val="both"/>
        <w:rPr/>
      </w:pPr>
      <w:bookmarkStart w:id="44" w:name="i4c9122d83b7344fcbedd162e5721b532"/>
      <w:bookmarkEnd w:id="44"/>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Conversion of Merger Sub Units</w:t>
      </w:r>
      <w:r>
        <w:rPr>
          <w:rFonts w:ascii="Times New Roman;serif" w:hAnsi="Times New Roman;serif"/>
          <w:b w:val="false"/>
          <w:color w:val="000000"/>
          <w:sz w:val="24"/>
          <w:shd w:fill="FFFFFF" w:val="clear"/>
        </w:rPr>
        <w:t xml:space="preserve">. Each unit of Merger Sub issued and outstanding immediately prior to the Company Merger Effective Time shall remain outstanding as one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60705"/>
                <wp:effectExtent l="0" t="0" r="0" b="0"/>
                <wp:wrapNone/>
                <wp:docPr id="36" name="Frame3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validly issued, fully paid and non-assessable unit of the Surviving Entity, and shall constitute the only issued or outstanding shares of equity securities of the Surviving Entity.</w:t>
      </w:r>
    </w:p>
    <w:p>
      <w:pPr>
        <w:pStyle w:val="TextBody"/>
        <w:bidi w:val="0"/>
        <w:spacing w:lineRule="auto" w:line="240" w:before="0" w:after="240"/>
        <w:ind w:left="0" w:right="0" w:firstLine="720"/>
        <w:jc w:val="both"/>
        <w:rPr/>
      </w:pPr>
      <w:bookmarkStart w:id="45" w:name="iecfa213e959a42989a1ed82e7c08b76a"/>
      <w:bookmarkEnd w:id="45"/>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Treatment of Company Common Stock and Company Preferred Stock</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46" w:name="i15a00d7c600b492a8bb8287364254fe9"/>
      <w:bookmarkEnd w:id="46"/>
      <w:r>
        <w:rPr>
          <w:rFonts w:ascii="Times New Roman;serif" w:hAnsi="Times New Roman;serif"/>
          <w:b w:val="false"/>
          <w:color w:val="000000"/>
          <w:sz w:val="24"/>
        </w:rPr>
        <w:t>(i)Each share of Company Common Stock issued and outstanding immediately prior to the Company Merger Effective Time (excluding the Canceled Shares) shall be canceled and extinguished and automatically converted into and shall thereafter represent only the right to receive, without interest thereon, (1) from Parent (A) that number of validly issued, fully-paid and nonassessable shares of Parent Common Stock equal to the Exchange Ratio (the “</w:t>
      </w:r>
      <w:r>
        <w:rPr>
          <w:rFonts w:ascii="Times New Roman;serif" w:hAnsi="Times New Roman;serif"/>
          <w:b w:val="false"/>
          <w:color w:val="000000"/>
          <w:sz w:val="24"/>
          <w:u w:val="single"/>
        </w:rPr>
        <w:t>Per Share Parent Stock Consideration</w:t>
      </w:r>
      <w:r>
        <w:rPr>
          <w:color w:val="000000"/>
        </w:rPr>
        <w:t>”</w:t>
      </w:r>
      <w:r>
        <w:rPr>
          <w:rFonts w:ascii="Times New Roman;serif" w:hAnsi="Times New Roman;serif"/>
          <w:b w:val="false"/>
          <w:color w:val="000000"/>
          <w:sz w:val="24"/>
        </w:rPr>
        <w:t>), and (B) $0.41 per share in cash, without interest (the “</w:t>
      </w:r>
      <w:r>
        <w:rPr>
          <w:rFonts w:ascii="Times New Roman;serif" w:hAnsi="Times New Roman;serif"/>
          <w:b w:val="false"/>
          <w:color w:val="000000"/>
          <w:sz w:val="24"/>
          <w:u w:val="single"/>
        </w:rPr>
        <w:t>Per Share Parent Cash Consideration</w:t>
      </w:r>
      <w:r>
        <w:rPr>
          <w:color w:val="000000"/>
        </w:rPr>
        <w:t xml:space="preserve">” </w:t>
      </w:r>
      <w:r>
        <w:rPr>
          <w:rFonts w:ascii="Times New Roman;serif" w:hAnsi="Times New Roman;serif"/>
          <w:b w:val="false"/>
          <w:color w:val="000000"/>
          <w:sz w:val="24"/>
        </w:rPr>
        <w:t>and, together with the Per Share Parent Stock Consideration, the “</w:t>
      </w:r>
      <w:r>
        <w:rPr>
          <w:rFonts w:ascii="Times New Roman;serif" w:hAnsi="Times New Roman;serif"/>
          <w:b w:val="false"/>
          <w:color w:val="000000"/>
          <w:sz w:val="24"/>
          <w:u w:val="single"/>
        </w:rPr>
        <w:t>Per Share Parent Consideration</w:t>
      </w:r>
      <w:r>
        <w:rPr>
          <w:color w:val="000000"/>
        </w:rPr>
        <w:t>”</w:t>
      </w:r>
      <w:r>
        <w:rPr>
          <w:rFonts w:ascii="Times New Roman;serif" w:hAnsi="Times New Roman;serif"/>
          <w:b w:val="false"/>
          <w:color w:val="000000"/>
          <w:sz w:val="24"/>
        </w:rPr>
        <w:t>), and (2) from Parent Manager (acting solely on its own behalf), as additional consideration, the Per Share Additional Manager Consideration (as used in this Agreement, the “</w:t>
      </w:r>
      <w:r>
        <w:rPr>
          <w:rFonts w:ascii="Times New Roman;serif" w:hAnsi="Times New Roman;serif"/>
          <w:b w:val="false"/>
          <w:color w:val="000000"/>
          <w:sz w:val="24"/>
          <w:u w:val="single"/>
        </w:rPr>
        <w:t>Common Stock Merger Consideration</w:t>
      </w:r>
      <w:r>
        <w:rPr>
          <w:color w:val="000000"/>
        </w:rPr>
        <w:t xml:space="preserve">” </w:t>
      </w:r>
      <w:r>
        <w:rPr>
          <w:rFonts w:ascii="Times New Roman;serif" w:hAnsi="Times New Roman;serif"/>
          <w:b w:val="false"/>
          <w:color w:val="000000"/>
          <w:sz w:val="24"/>
        </w:rPr>
        <w:t xml:space="preserve">means the Per Share Parent Consideration and the Per Share Additional Manager Consideration). All such shares of Company Common Stock, when so converted pursuant to this </w:t>
      </w:r>
      <w:r>
        <w:rPr>
          <w:rFonts w:ascii="Times New Roman;serif" w:hAnsi="Times New Roman;serif"/>
          <w:b w:val="false"/>
          <w:color w:val="000000"/>
          <w:sz w:val="24"/>
          <w:u w:val="single"/>
        </w:rPr>
        <w:t>Section 3.1(b)(i)</w:t>
      </w:r>
      <w:r>
        <w:rPr>
          <w:rFonts w:ascii="Times New Roman;serif" w:hAnsi="Times New Roman;serif"/>
          <w:b w:val="false"/>
          <w:color w:val="000000"/>
          <w:sz w:val="24"/>
        </w:rPr>
        <w:t xml:space="preserve">, shall automatically be cancelled and cease to exist. Each holder of a share of Company Common Stock that was outstanding immediately prior to the Company Merger Effective Time shall cease to have any rights with respect thereto, except the right to receive (x) the Common Stock Merger Consideration, (y) any dividends or other distributions in accordance with </w:t>
      </w:r>
      <w:r>
        <w:rPr>
          <w:rFonts w:ascii="Times New Roman;serif" w:hAnsi="Times New Roman;serif"/>
          <w:b w:val="false"/>
          <w:color w:val="000000"/>
          <w:sz w:val="24"/>
          <w:u w:val="single"/>
        </w:rPr>
        <w:t>Section 3.4(g)</w:t>
      </w:r>
      <w:r>
        <w:rPr>
          <w:color w:val="000000"/>
        </w:rPr>
        <w:t xml:space="preserve"> </w:t>
      </w:r>
      <w:r>
        <w:rPr>
          <w:rFonts w:ascii="Times New Roman;serif" w:hAnsi="Times New Roman;serif"/>
          <w:b w:val="false"/>
          <w:color w:val="000000"/>
          <w:sz w:val="24"/>
        </w:rPr>
        <w:t xml:space="preserve">and (z) any cash to be paid in lieu of any fractional shares of Parent Common Stock in accordance with </w:t>
      </w:r>
      <w:r>
        <w:rPr>
          <w:rFonts w:ascii="Times New Roman;serif" w:hAnsi="Times New Roman;serif"/>
          <w:b w:val="false"/>
          <w:color w:val="000000"/>
          <w:sz w:val="24"/>
          <w:u w:val="single"/>
        </w:rPr>
        <w:t>Section 3.4(h)</w:t>
      </w:r>
      <w:r>
        <w:rPr>
          <w:rFonts w:ascii="Times New Roman;serif" w:hAnsi="Times New Roman;serif"/>
          <w:b w:val="false"/>
          <w:color w:val="000000"/>
          <w:sz w:val="24"/>
        </w:rPr>
        <w:t xml:space="preserve">, in each case, to be issued or paid in consideration therefor upon the surrender of any Book-Entry Shares or certificates, as applicable, in accordance with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47" w:name="ia7707160d3a14a4fbe43d6c89eb5b950"/>
      <w:bookmarkEnd w:id="47"/>
      <w:r>
        <w:rPr>
          <w:rFonts w:ascii="Times New Roman;serif" w:hAnsi="Times New Roman;serif"/>
          <w:b w:val="false"/>
          <w:color w:val="000000"/>
          <w:sz w:val="24"/>
        </w:rPr>
        <w:t>(ii)</w:t>
      </w:r>
      <w:r>
        <w:rPr>
          <w:rFonts w:ascii="Times New Roman;serif" w:hAnsi="Times New Roman;serif"/>
          <w:b w:val="false"/>
          <w:color w:val="000000"/>
          <w:sz w:val="24"/>
          <w:shd w:fill="FFFFFF" w:val="clear"/>
        </w:rPr>
        <w:t>Each share of Company Common Stock and Company Preferred Stock held by the Company, Parent or any direct or indirect Subsidiary of Parent or the Company, in each case, immediately prior to the Company Merger Effective Time (the “</w:t>
      </w:r>
      <w:r>
        <w:rPr>
          <w:rFonts w:ascii="Times New Roman;serif" w:hAnsi="Times New Roman;serif"/>
          <w:b w:val="false"/>
          <w:color w:val="000000"/>
          <w:sz w:val="24"/>
          <w:u w:val="single"/>
          <w:shd w:fill="FFFFFF" w:val="clear"/>
        </w:rPr>
        <w:t>Cancel</w:t>
      </w:r>
      <w:r>
        <w:rPr>
          <w:rFonts w:ascii="Times New Roman;serif" w:hAnsi="Times New Roman;serif"/>
          <w:b w:val="false"/>
          <w:color w:val="000000"/>
          <w:sz w:val="24"/>
          <w:u w:val="single"/>
        </w:rPr>
        <w:t>ed Shares</w:t>
      </w:r>
      <w:r>
        <w:rPr>
          <w:color w:val="000000"/>
          <w:shd w:fill="FFFFFF" w:val="clear"/>
        </w:rPr>
        <w:t>”</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shall automatically be cancelled and retired and shall cease to exist as of the Company Merger Effective Time, and no consideration shall be delivered or deliverable in exchange therefor.</w:t>
      </w:r>
    </w:p>
    <w:p>
      <w:pPr>
        <w:pStyle w:val="TextBody"/>
        <w:bidi w:val="0"/>
        <w:spacing w:lineRule="auto" w:line="240" w:before="0" w:after="240"/>
        <w:ind w:left="0" w:right="0" w:firstLine="720"/>
        <w:jc w:val="both"/>
        <w:rPr/>
      </w:pPr>
      <w:bookmarkStart w:id="48" w:name="i3efcfbaef4bf48ad9a9b16585c7aaeab"/>
      <w:bookmarkEnd w:id="48"/>
      <w:r>
        <w:rPr>
          <w:rFonts w:ascii="Times New Roman;serif" w:hAnsi="Times New Roman;serif"/>
          <w:b w:val="false"/>
          <w:color w:val="000000"/>
          <w:sz w:val="24"/>
        </w:rPr>
        <w:t>(iii)Each share of the Company Series A Preferred Stock issued and outstanding immediately prior to the Company Merger Effective Time (excluding the Canceled Shares) shall automatically be converted into the right to receive one newly issued share of Parent Series D Cumulative Redeemable Preferred Stock (the “</w:t>
      </w:r>
      <w:r>
        <w:rPr>
          <w:rFonts w:ascii="Times New Roman;serif" w:hAnsi="Times New Roman;serif"/>
          <w:b w:val="false"/>
          <w:color w:val="000000"/>
          <w:sz w:val="24"/>
          <w:u w:val="single"/>
        </w:rPr>
        <w:t>Series A Preferred Stock 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49" w:name="i3c711a4f868c41f19f026b9317afe4ce"/>
      <w:bookmarkEnd w:id="49"/>
      <w:r>
        <w:rPr>
          <w:rFonts w:ascii="Times New Roman;serif" w:hAnsi="Times New Roman;serif"/>
          <w:b w:val="false"/>
          <w:color w:val="000000"/>
          <w:sz w:val="24"/>
        </w:rPr>
        <w:t>(iv)Each share of the Company Series B Preferred Stock, issued and outstanding immediately prior to the Company Merger Effective Time (excluding the Canceled Shares) shall automatically be converted into the right to receive one newly issued share of Parent Series E Cumulative Redeemable Preferred Stock (the “</w:t>
      </w:r>
      <w:r>
        <w:rPr>
          <w:rFonts w:ascii="Times New Roman;serif" w:hAnsi="Times New Roman;serif"/>
          <w:b w:val="false"/>
          <w:color w:val="000000"/>
          <w:sz w:val="24"/>
          <w:u w:val="single"/>
        </w:rPr>
        <w:t>Series B Preferred Stock 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50" w:name="i9e4c3c19a1bf4ed794a737ffbeaadd97"/>
      <w:bookmarkEnd w:id="50"/>
      <w:r>
        <w:rPr>
          <w:rFonts w:ascii="Times New Roman;serif" w:hAnsi="Times New Roman;serif"/>
          <w:b w:val="false"/>
          <w:color w:val="000000"/>
          <w:sz w:val="24"/>
        </w:rPr>
        <w:t xml:space="preserve">(v)All shares of Company Preferred Stock, when so converted pursuant to </w:t>
      </w:r>
      <w:r>
        <w:rPr>
          <w:rFonts w:ascii="Times New Roman;serif" w:hAnsi="Times New Roman;serif"/>
          <w:b w:val="false"/>
          <w:color w:val="000000"/>
          <w:sz w:val="24"/>
          <w:u w:val="single"/>
        </w:rPr>
        <w:t>Section 3.1(b)(iii)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3.1(b)(iv)</w:t>
      </w:r>
      <w:r>
        <w:rPr>
          <w:rFonts w:ascii="Times New Roman;serif" w:hAnsi="Times New Roman;serif"/>
          <w:b w:val="false"/>
          <w:color w:val="000000"/>
          <w:sz w:val="24"/>
        </w:rPr>
        <w:t xml:space="preserve">, respectively, shall automatically be cancelled and cease to exist. Each holder of a share of Company Preferred Stock that was outstanding immediately prior to the Company Merger Effective Time shall cease to have any rights with respect thereto, except the right to receive the Series A Preferred Stock Merger Consideration and the Series B Preferred Stock Merger Consideration therefor, as applicable, upon the surrender of such share of Company Preferred Stock in accordance with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60705"/>
                <wp:effectExtent l="0" t="0" r="0" b="0"/>
                <wp:wrapNone/>
                <wp:docPr id="37" name="Frame3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51" w:name="i7432da2bf52743038d58d680651c13cb"/>
      <w:bookmarkEnd w:id="51"/>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Treatment of Company Equity Awards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52" w:name="i82e9a2e5ce054aa4a0485fae4d21f2eb"/>
      <w:bookmarkEnd w:id="52"/>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Immediately prior to the Company Merger Effective Time, without any action on the part of the holder thereof, each Company RSU Award that is outstanding immediately prior to the Company Merger Effective Time, whether or not vested, shall automatically vest (to the extent not yet vested)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RSU Award within the meaning of Treasury Regulation Section 1.409A-1(b)(4)), with the number of shares issuable upon settlement determined in accordance with the terms of the applicable award agreement, and be treated as outstanding shares of Company Common Stock for all purposes of this Agreement, including the right to receive the Common Stock Merger Consideration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shd w:fill="FFFFFF" w:val="clear"/>
        </w:rPr>
        <w:t>. For purposes of the foregoing, the Company RSU Awards will be net settled in respect of applicable withholding Taxes, if any (discussed in (iv) below). For the avoidance of doubt, any amounts relating to dividend equivalent rights, if any, granted with respect to such Company RSU Award that are accrued but unpaid as of the settlement of such Company RSU Award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bookmarkStart w:id="53" w:name="i80c1af1330914b56ab8a5d71f9ac4228"/>
      <w:bookmarkEnd w:id="53"/>
      <w:r>
        <w:rPr>
          <w:rFonts w:ascii="Times New Roman;serif" w:hAnsi="Times New Roman;serif"/>
          <w:b w:val="false"/>
          <w:color w:val="000000"/>
          <w:sz w:val="24"/>
        </w:rPr>
        <w:t>(ii)</w:t>
      </w:r>
      <w:r>
        <w:rPr>
          <w:rFonts w:ascii="Times New Roman;serif" w:hAnsi="Times New Roman;serif"/>
          <w:b w:val="false"/>
          <w:color w:val="000000"/>
          <w:sz w:val="24"/>
          <w:shd w:fill="FFFFFF" w:val="clear"/>
        </w:rPr>
        <w:t xml:space="preserve">Immediately prior to the Company Merger Effective Time, without any action on the part of the holder thereof, each Company PSU Award that is outstanding immediately prior to the Company Merger Effective Time shall automatically vest (to the extent not yet vested) assuming maximum performance for the performance goals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PSU Award within the meaning of Treasury Regulation Section 1.409A-1(b)(4)), with the number of shares issuable upon settlement determined in accordance with the terms of the applicable award agreement (assuming maximum performance for the performance goals), and be treated as outstanding shares of Company Common Stock for all purposes of this Agreement, including the right to receive the Common Stock Merger Consideration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shd w:fill="FFFFFF" w:val="clear"/>
        </w:rPr>
        <w:t>. For purposes of the foregoing, the Company PSU Awards will be net settled in respect of applicable withholding Taxes, if any (discussed in (iv) below). For the avoidance of doubt, any amounts relating to dividend equivalent rights, if any, granted with respect to such Company PSU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bookmarkStart w:id="54" w:name="i6938ec05674b4189acf87d24b3ed3135"/>
      <w:bookmarkEnd w:id="54"/>
      <w:r>
        <w:rPr>
          <w:rFonts w:ascii="Times New Roman;serif" w:hAnsi="Times New Roman;serif"/>
          <w:b w:val="false"/>
          <w:color w:val="000000"/>
          <w:sz w:val="24"/>
        </w:rPr>
        <w:t>(iii)</w:t>
      </w:r>
      <w:r>
        <w:rPr>
          <w:rFonts w:ascii="Times New Roman;serif" w:hAnsi="Times New Roman;serif"/>
          <w:b w:val="false"/>
          <w:color w:val="000000"/>
          <w:sz w:val="24"/>
          <w:shd w:fill="FFFFFF" w:val="clear"/>
        </w:rPr>
        <w:t xml:space="preserve">Immediately prior to the Company Merger Effective Time, each Company Restricted Stock Award that is outstanding immediately prior to the Company Merger Effective Time shall fully vest and all restrictions thereupon shall lapse effective as of immediately prior to the Company Merger Effective Time. For purposes of the foregoing, each Company Restricted Stock Award will be net settled in respect of applicable withholding Taxes, if any (discussed in (iv) below). Following net settlement, the remaining Company Common Stock under a Company Restricted Stock Award shall receive the </w:t>
      </w:r>
      <w:r>
        <w:rPr>
          <w:rFonts w:ascii="Times New Roman;serif" w:hAnsi="Times New Roman;serif"/>
          <w:b w:val="false"/>
          <w:color w:val="000000"/>
          <w:sz w:val="24"/>
        </w:rPr>
        <w:t xml:space="preserve">Common Stock Merger Consideration 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rPr>
        <w:t xml:space="preserve">. For the avoidance of doubt, any amounts relating to dividend equivalent rights, if any, granted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60705"/>
                <wp:effectExtent l="0" t="0" r="0" b="0"/>
                <wp:wrapNone/>
                <wp:docPr id="38" name="Frame3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with respect to such Company Restricted Stock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55" w:name="i1efc3816db0447d197c24bcc8d5b8d8d"/>
      <w:bookmarkEnd w:id="55"/>
      <w:r>
        <w:rPr>
          <w:rFonts w:ascii="Times New Roman;serif" w:hAnsi="Times New Roman;serif"/>
          <w:b w:val="false"/>
          <w:color w:val="000000"/>
          <w:sz w:val="24"/>
        </w:rPr>
        <w:t>(iv)</w:t>
      </w:r>
      <w:r>
        <w:rPr>
          <w:rFonts w:ascii="Times New Roman;serif" w:hAnsi="Times New Roman;serif"/>
          <w:b w:val="false"/>
          <w:color w:val="000000"/>
          <w:sz w:val="24"/>
          <w:shd w:fill="FFFFFF" w:val="clear"/>
        </w:rPr>
        <w:t>The Company shall, and shall cause each applicable Subsidiary of the Company to, process, pay, and distribute all amounts and shares payable in respect of the Company RSU Awards, Company PSU Awards, Company Restricted Stock Awards and Company LTIP Units that are subject to withholding, dividend equivalent rights, if any, granted with respect to such Company Equity Awards that are accrued but unpaid as of the Company Merger Effective Time, as compensation to the holders thereof through the payroll system of the Company or its applicable Subsidiary maintained with the Company as of date of the Agreement, or such other payroll provider then used in the ordinary course of business (the “</w:t>
      </w:r>
      <w:r>
        <w:rPr>
          <w:rFonts w:ascii="Times New Roman;serif" w:hAnsi="Times New Roman;serif"/>
          <w:b w:val="false"/>
          <w:color w:val="000000"/>
          <w:sz w:val="24"/>
          <w:u w:val="single"/>
          <w:shd w:fill="FFFFFF" w:val="clear"/>
        </w:rPr>
        <w:t>Payroll Provider</w:t>
      </w:r>
      <w:r>
        <w:rPr>
          <w:color w:val="000000"/>
          <w:shd w:fill="FFFFFF" w:val="clear"/>
        </w:rPr>
        <w:t>”</w:t>
      </w:r>
      <w:r>
        <w:rPr>
          <w:rFonts w:ascii="Times New Roman;serif" w:hAnsi="Times New Roman;serif"/>
          <w:b w:val="false"/>
          <w:color w:val="000000"/>
          <w:sz w:val="24"/>
          <w:shd w:fill="FFFFFF" w:val="clear"/>
        </w:rPr>
        <w:t>), and shall make and maintain all arrangements with the Payroll Provider necessary to deduct, withhold, remit and report all federal, state, local and foreign Taxes required to be withheld with respect thereto. For the avoidance of doubt, any withholding Tax required with respect to such settlement shall be accomplished by net settlement — that is, by the Company or the applicable Subsidiary of the Company reducing the number of shares of Company Common Stock otherwise deliverable to such holder by a number of shares of Company Common Stock with a fair market value on the settlement date equal to the required withholding (rounded up to the nearest whole share) — and the Company shall cause the corresponding cash amount to be funded and remitted, through the Payroll Provider, to the appropriate Governmental Authority. All amounts so deducted and withheld shall be treated for all purposes of this Agreement as having been paid to the holder in respect of whom the deduction and withholding was made.</w:t>
      </w:r>
    </w:p>
    <w:p>
      <w:pPr>
        <w:pStyle w:val="TextBody"/>
        <w:bidi w:val="0"/>
        <w:spacing w:lineRule="auto" w:line="240" w:before="0" w:after="240"/>
        <w:ind w:left="0" w:right="0" w:firstLine="720"/>
        <w:jc w:val="both"/>
        <w:rPr/>
      </w:pPr>
      <w:bookmarkStart w:id="56" w:name="iede13d07b07f4b1195c793ab185df5a0"/>
      <w:bookmarkEnd w:id="56"/>
      <w:r>
        <w:rPr>
          <w:rFonts w:ascii="Times New Roman;serif" w:hAnsi="Times New Roman;serif"/>
          <w:b w:val="false"/>
          <w:color w:val="000000"/>
          <w:sz w:val="24"/>
        </w:rPr>
        <w:t xml:space="preserve">(v)Prior to the Company Merger Effective Time, the Company Board or the appropriate committee thereof shall take all actions necessary to approve and effectuate the provisions of this </w:t>
      </w:r>
      <w:r>
        <w:rPr>
          <w:rFonts w:ascii="Times New Roman;serif" w:hAnsi="Times New Roman;serif"/>
          <w:b w:val="false"/>
          <w:color w:val="000000"/>
          <w:sz w:val="24"/>
          <w:u w:val="single"/>
        </w:rPr>
        <w:t>Section 3.1(c)</w:t>
      </w:r>
      <w:r>
        <w:rPr>
          <w:rFonts w:ascii="Times New Roman;serif" w:hAnsi="Times New Roman;serif"/>
          <w:b w:val="false"/>
          <w:color w:val="000000"/>
          <w:sz w:val="24"/>
        </w:rPr>
        <w:t xml:space="preserve">, including adopting any necessary resolutions and delivering appropriate notices. The Company shall give Parent a reasonable opportunity to review and comment on such resolutions and notices and shall consider Parent’s comments in good faith; provided, that any resolution or notice relating to Section 409A of the Code or to Tax withholding shall be subject to Parent’s prior written consent (not to be unreasonably withheld, conditioned or delayed). In no event shall the Closing be delayed as a result of this </w:t>
      </w:r>
      <w:r>
        <w:rPr>
          <w:rFonts w:ascii="Times New Roman;serif" w:hAnsi="Times New Roman;serif"/>
          <w:b w:val="false"/>
          <w:color w:val="000000"/>
          <w:sz w:val="24"/>
          <w:u w:val="single"/>
        </w:rPr>
        <w:t>Section 3.1(c)(v)</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57" w:name="if07eab966d164d95a05dd4b6e5f429f7"/>
      <w:bookmarkEnd w:id="57"/>
      <w:r>
        <w:rPr>
          <w:rFonts w:ascii="Times New Roman;serif" w:hAnsi="Times New Roman;serif"/>
          <w:b w:val="false"/>
          <w:color w:val="000000"/>
          <w:sz w:val="24"/>
        </w:rPr>
        <w:t xml:space="preserve">(vi)Notwithstanding anything in this Agreement to the contrary, the treatment of the Company RSU Awards and Company PSU Awards pursuant to this </w:t>
      </w:r>
      <w:r>
        <w:rPr>
          <w:rFonts w:ascii="Times New Roman;serif" w:hAnsi="Times New Roman;serif"/>
          <w:b w:val="false"/>
          <w:color w:val="000000"/>
          <w:sz w:val="24"/>
          <w:u w:val="single"/>
        </w:rPr>
        <w:t>Section 3.1(c)</w:t>
      </w:r>
      <w:r>
        <w:rPr>
          <w:color w:val="000000"/>
        </w:rPr>
        <w:t xml:space="preserve"> </w:t>
      </w:r>
      <w:r>
        <w:rPr>
          <w:rFonts w:ascii="Times New Roman;serif" w:hAnsi="Times New Roman;serif"/>
          <w:b w:val="false"/>
          <w:color w:val="000000"/>
          <w:sz w:val="24"/>
        </w:rPr>
        <w:t>shall be effected in a manner intended to comply with Section 409A of the Code or an applicable exemption therefrom, and this Agreement shall be construed and administered consistent with such intent. To the extent applicable, the assumption, conversion, substitution or adjustment of any Company Equity Award intended to qualify as an incentive stock option shall be effected in a manner intended to satisfy Section 424(a) of the Code.</w:t>
      </w:r>
    </w:p>
    <w:p>
      <w:pPr>
        <w:pStyle w:val="TextBody"/>
        <w:bidi w:val="0"/>
        <w:spacing w:lineRule="auto" w:line="240" w:before="0" w:after="240"/>
        <w:ind w:left="0" w:right="0" w:firstLine="720"/>
        <w:jc w:val="both"/>
        <w:rPr/>
      </w:pPr>
      <w:bookmarkStart w:id="58" w:name="i6db97f1f0eab4ef4bc27beb47509e169"/>
      <w:bookmarkEnd w:id="58"/>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Adjustments</w:t>
      </w:r>
      <w:r>
        <w:rPr>
          <w:rFonts w:ascii="Times New Roman;serif" w:hAnsi="Times New Roman;serif"/>
          <w:b w:val="false"/>
          <w:color w:val="000000"/>
          <w:sz w:val="24"/>
          <w:shd w:fill="FFFFFF" w:val="clear"/>
        </w:rPr>
        <w:t xml:space="preserve">. If, between the date of this Agreement and the Company Merger Effective Time, the outstanding shares of Company Common Stock, Company Preferred Stock or Parent Common Stock or any outstanding Company Partnership Units are changed into a different number or class or series of shares or units by reason of any stock split, division or subdivision of shares, stock dividend, reverse stock split, consolidation of shares, reclassification, recapitalization or other similar transaction, then the applicable Merger Consideration shall be appropriately and equitably adjusted, without duplication;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60705"/>
                <wp:effectExtent l="0" t="0" r="0" b="0"/>
                <wp:wrapNone/>
                <wp:docPr id="39" name="Frame3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nothing in this </w:t>
      </w:r>
      <w:r>
        <w:rPr>
          <w:rFonts w:ascii="Times New Roman;serif" w:hAnsi="Times New Roman;serif"/>
          <w:b w:val="false"/>
          <w:color w:val="000000"/>
          <w:sz w:val="24"/>
          <w:u w:val="single"/>
          <w:shd w:fill="FFFFFF" w:val="clear"/>
        </w:rPr>
        <w:t>Section 3.1(d)</w:t>
      </w:r>
      <w:r>
        <w:rPr>
          <w:color w:val="000000"/>
          <w:shd w:fill="FFFFFF" w:val="clear"/>
        </w:rPr>
        <w:t xml:space="preserve"> </w:t>
      </w:r>
      <w:r>
        <w:rPr>
          <w:rFonts w:ascii="Times New Roman;serif" w:hAnsi="Times New Roman;serif"/>
          <w:b w:val="false"/>
          <w:color w:val="000000"/>
          <w:sz w:val="24"/>
          <w:shd w:fill="FFFFFF" w:val="clear"/>
        </w:rPr>
        <w:t>shall be construed to permit the Company or any of its Subsidiaries, Parent or any other Person to take any action that is otherwise prohibited by the terms of this Agreement.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59" w:name="ibf16751f5453482a861153bb383d6167"/>
      <w:bookmarkEnd w:id="59"/>
      <w:r>
        <w:rPr>
          <w:rFonts w:ascii="Times New Roman;serif" w:hAnsi="Times New Roman;serif"/>
          <w:b w:val="false"/>
          <w:color w:val="000000"/>
          <w:sz w:val="24"/>
        </w:rPr>
        <w:t>3.2.</w:t>
      </w:r>
      <w:r>
        <w:rPr>
          <w:rFonts w:ascii="Times New Roman;serif" w:hAnsi="Times New Roman;serif"/>
          <w:b w:val="false"/>
          <w:color w:val="000000"/>
          <w:sz w:val="24"/>
          <w:u w:val="single"/>
          <w:shd w:fill="FFFFFF" w:val="clear"/>
        </w:rPr>
        <w:t>Treatment of Company Partnership Units</w:t>
      </w:r>
      <w:r>
        <w:rPr>
          <w:rFonts w:ascii="Times New Roman;serif" w:hAnsi="Times New Roman;serif"/>
          <w:b w:val="false"/>
          <w:color w:val="000000"/>
          <w:sz w:val="24"/>
        </w:rPr>
        <w:t>. At the Partnership Merger Effective Time, by virtue of the Partnership Merger and without any action on the part of any party hereto or holder of any Company Partnership Units or any other securities of the Company Operating Partnership:</w:t>
      </w:r>
    </w:p>
    <w:p>
      <w:pPr>
        <w:pStyle w:val="TextBody"/>
        <w:bidi w:val="0"/>
        <w:spacing w:lineRule="auto" w:line="240" w:before="0" w:after="240"/>
        <w:ind w:left="0" w:right="0" w:firstLine="720"/>
        <w:jc w:val="both"/>
        <w:rPr/>
      </w:pPr>
      <w:bookmarkStart w:id="60" w:name="ib1303bc299994617b51a53ec9ed9d04d"/>
      <w:bookmarkEnd w:id="60"/>
      <w:r>
        <w:rPr>
          <w:rFonts w:ascii="Times New Roman;serif" w:hAnsi="Times New Roman;serif"/>
          <w:b w:val="false"/>
          <w:color w:val="000000"/>
          <w:sz w:val="24"/>
        </w:rPr>
        <w:t>(a)</w:t>
      </w:r>
      <w:r>
        <w:rPr>
          <w:rFonts w:ascii="Times New Roman;serif" w:hAnsi="Times New Roman;serif"/>
          <w:b w:val="false"/>
          <w:color w:val="000000"/>
          <w:sz w:val="24"/>
          <w:shd w:fill="FFFFFF" w:val="clear"/>
        </w:rPr>
        <w:t>Each share of Company Common Stock and Company Preferred Stock and each Company RSU Award, Company PSU Award and Company Restricted Stock Award issued and outstanding immediately prior to the Partnership Merger Effective Time shall remain issued and outstanding following the Partnership Merger Effective Time.</w:t>
      </w:r>
    </w:p>
    <w:p>
      <w:pPr>
        <w:pStyle w:val="TextBody"/>
        <w:bidi w:val="0"/>
        <w:spacing w:lineRule="auto" w:line="240" w:before="0" w:after="240"/>
        <w:ind w:left="0" w:right="0" w:firstLine="720"/>
        <w:jc w:val="both"/>
        <w:rPr/>
      </w:pPr>
      <w:bookmarkStart w:id="61" w:name="i1b691acc935a468ba2030b3003dcfb86"/>
      <w:bookmarkEnd w:id="61"/>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Each Company Common Unit issued and outstanding as of immediately prior to the Partnership Merger Effective Time (excluding the Canceled Units) shall automatically be converted into Company Common Stock. All such Company Common Units, when so converted pursuant to this </w:t>
      </w:r>
      <w:r>
        <w:rPr>
          <w:rFonts w:ascii="Times New Roman;serif" w:hAnsi="Times New Roman;serif"/>
          <w:b w:val="false"/>
          <w:color w:val="000000"/>
          <w:sz w:val="24"/>
          <w:u w:val="single"/>
          <w:shd w:fill="FFFFFF" w:val="clear"/>
        </w:rPr>
        <w:t>Section 3.2(a)</w:t>
      </w:r>
      <w:r>
        <w:rPr>
          <w:rFonts w:ascii="Times New Roman;serif" w:hAnsi="Times New Roman;serif"/>
          <w:b w:val="false"/>
          <w:color w:val="000000"/>
          <w:sz w:val="24"/>
          <w:shd w:fill="FFFFFF" w:val="clear"/>
        </w:rPr>
        <w:t>, shall automatically be cancelled and cease to exist. Each holder of a Company Common Unit that was outstanding immediately prior to the Partnership Merger Effective Time shall cease to have any rights with respect thereto, except the right to receive (A) Company Common Stock, (B) any dividends or other distributions in accordance with the</w:t>
      </w:r>
      <w:r>
        <w:rPr>
          <w:color w:val="000000"/>
          <w:u w:val="single"/>
        </w:rPr>
        <w:t xml:space="preserve"> </w:t>
      </w:r>
      <w:r>
        <w:rPr>
          <w:rFonts w:ascii="Times New Roman;serif" w:hAnsi="Times New Roman;serif"/>
          <w:b w:val="false"/>
          <w:color w:val="000000"/>
          <w:sz w:val="24"/>
          <w:shd w:fill="FFFFFF" w:val="clear"/>
        </w:rPr>
        <w:t xml:space="preserve">Company Operating Partnership Agreement and (C) any cash to be paid in lieu of any fractional shares of Company Common Stock in accordance with the Company Operating Partnership Agreement, in each case, to be issued or paid in consideration therefor upon the surrender of any Book-Entry Shares, as applicable, in accordance with </w:t>
      </w:r>
      <w:r>
        <w:rPr>
          <w:rFonts w:ascii="Times New Roman;serif" w:hAnsi="Times New Roman;serif"/>
          <w:b w:val="false"/>
          <w:color w:val="000000"/>
          <w:sz w:val="24"/>
          <w:u w:val="single"/>
          <w:shd w:fill="FFFFFF" w:val="clear"/>
        </w:rPr>
        <w:t>Section 3.4</w:t>
      </w:r>
      <w:r>
        <w:rPr>
          <w:rFonts w:ascii="Times New Roman;serif" w:hAnsi="Times New Roman;serif"/>
          <w:b w:val="false"/>
          <w:color w:val="000000"/>
          <w:sz w:val="24"/>
          <w:shd w:fill="FFFFFF" w:val="clear"/>
        </w:rPr>
        <w:t xml:space="preserve">. Such shares of Company Common Stock shall have the right to receive the Common Stock Merger Consideration pursuant to </w:t>
      </w:r>
      <w:r>
        <w:rPr>
          <w:rFonts w:ascii="Times New Roman;serif" w:hAnsi="Times New Roman;serif"/>
          <w:b w:val="false"/>
          <w:color w:val="000000"/>
          <w:sz w:val="24"/>
          <w:u w:val="single"/>
          <w:shd w:fill="FFFFFF" w:val="clear"/>
        </w:rPr>
        <w:t>Section 3.1(b)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62" w:name="i5b82e06f05094bcc84a7441ca5ef793f"/>
      <w:bookmarkEnd w:id="62"/>
      <w:r>
        <w:rPr>
          <w:rFonts w:ascii="Times New Roman;serif" w:hAnsi="Times New Roman;serif"/>
          <w:b w:val="false"/>
          <w:color w:val="000000"/>
          <w:sz w:val="24"/>
        </w:rPr>
        <w:t>(c)</w:t>
      </w:r>
      <w:r>
        <w:rPr>
          <w:rFonts w:ascii="Times New Roman;serif" w:hAnsi="Times New Roman;serif"/>
          <w:b w:val="false"/>
          <w:color w:val="000000"/>
          <w:sz w:val="24"/>
          <w:shd w:fill="FFFFFF" w:val="clear"/>
        </w:rPr>
        <w:t>All Company Partnership Units held by the Company, Parent or any direct or indirect Subsidiary of the Company or Parent, in each case, immediately prior to the Partnership Merger Effective Time (the “</w:t>
      </w:r>
      <w:r>
        <w:rPr>
          <w:rFonts w:ascii="Times New Roman;serif" w:hAnsi="Times New Roman;serif"/>
          <w:b w:val="false"/>
          <w:color w:val="000000"/>
          <w:sz w:val="24"/>
          <w:u w:val="single"/>
          <w:shd w:fill="FFFFFF" w:val="clear"/>
        </w:rPr>
        <w:t>Canceled Units</w:t>
      </w:r>
      <w:r>
        <w:rPr>
          <w:color w:val="000000"/>
          <w:shd w:fill="FFFFFF" w:val="clear"/>
        </w:rPr>
        <w:t>”</w:t>
      </w:r>
      <w:r>
        <w:rPr>
          <w:rFonts w:ascii="Times New Roman;serif" w:hAnsi="Times New Roman;serif"/>
          <w:b w:val="false"/>
          <w:color w:val="000000"/>
          <w:sz w:val="24"/>
          <w:shd w:fill="FFFFFF" w:val="clear"/>
        </w:rPr>
        <w:t>), shall automatically be cancelled and shall cease to exist as of the Partnership Merger Effective Time, and no consideration shall be delivered or deliverable in exchange therefor.</w:t>
      </w:r>
    </w:p>
    <w:p>
      <w:pPr>
        <w:pStyle w:val="TextBody"/>
        <w:bidi w:val="0"/>
        <w:spacing w:lineRule="auto" w:line="240" w:before="0" w:after="240"/>
        <w:ind w:left="0" w:right="0" w:firstLine="720"/>
        <w:jc w:val="both"/>
        <w:rPr/>
      </w:pPr>
      <w:bookmarkStart w:id="63" w:name="i611787b92194406dba65f84f8325df00"/>
      <w:bookmarkEnd w:id="63"/>
      <w:r>
        <w:rPr>
          <w:rFonts w:ascii="Times New Roman;serif" w:hAnsi="Times New Roman;serif"/>
          <w:b w:val="false"/>
          <w:color w:val="000000"/>
          <w:sz w:val="24"/>
        </w:rPr>
        <w:t>(d)</w:t>
      </w:r>
      <w:r>
        <w:rPr>
          <w:rFonts w:ascii="Times New Roman;serif" w:hAnsi="Times New Roman;serif"/>
          <w:b w:val="false"/>
          <w:color w:val="000000"/>
          <w:sz w:val="24"/>
          <w:shd w:fill="FFFFFF" w:val="clear"/>
        </w:rPr>
        <w:t>The general partnership interest in the Company Operating Partnership held by the Company immediately prior to the Partnership Merger Effective Time shall automatically be cancelled and shall cease to exist as of the Partnership Merger Effective Time, and no consideration shall be delivered or deliverable in exchange therefor.</w:t>
      </w:r>
    </w:p>
    <w:p>
      <w:pPr>
        <w:pStyle w:val="TextBody"/>
        <w:bidi w:val="0"/>
        <w:spacing w:lineRule="auto" w:line="240" w:before="0" w:after="240"/>
        <w:ind w:left="0" w:right="0" w:firstLine="720"/>
        <w:jc w:val="both"/>
        <w:rPr/>
      </w:pPr>
      <w:bookmarkStart w:id="64" w:name="iad8cf599a5554b20b32039ebab433356"/>
      <w:bookmarkEnd w:id="64"/>
      <w:r>
        <w:rPr>
          <w:rFonts w:ascii="Times New Roman;serif" w:hAnsi="Times New Roman;serif"/>
          <w:b w:val="false"/>
          <w:color w:val="000000"/>
          <w:sz w:val="24"/>
        </w:rPr>
        <w:t>(e)</w:t>
      </w:r>
      <w:r>
        <w:rPr>
          <w:rFonts w:ascii="Times New Roman;serif" w:hAnsi="Times New Roman;serif"/>
          <w:b w:val="false"/>
          <w:color w:val="000000"/>
          <w:sz w:val="24"/>
          <w:shd w:fill="FFFFFF" w:val="clear"/>
        </w:rPr>
        <w:t>Prior to the Partnership Merger Effective Time, the Company, as the sole general partner of the Company Operating Partnership, shall take all such actions as are necessary to approve and effectuate as of immediately prior to the Partnership Merger Effective Time the conversion of all Company LTIP Units issued and outstanding as of immediately prior to the Partnership Merger Effective Time into Company Common Stock, including making any determinations and adopting any resolutions as may be necessary and delivering appropriate notices.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65" w:name="i136c625ac2974117b0ee1e29b79e2054"/>
      <w:bookmarkEnd w:id="65"/>
      <w:r>
        <w:rPr>
          <w:rFonts w:ascii="Times New Roman;serif" w:hAnsi="Times New Roman;serif"/>
          <w:b w:val="false"/>
          <w:color w:val="000000"/>
          <w:sz w:val="24"/>
        </w:rPr>
        <w:t>3.3.</w:t>
      </w:r>
      <w:r>
        <w:rPr>
          <w:rFonts w:ascii="Times New Roman;serif" w:hAnsi="Times New Roman;serif"/>
          <w:b w:val="false"/>
          <w:color w:val="000000"/>
          <w:sz w:val="24"/>
          <w:u w:val="single"/>
          <w:shd w:fill="FFFFFF" w:val="clear"/>
        </w:rPr>
        <w:t>Dissenters’ Rights</w:t>
      </w:r>
      <w:r>
        <w:rPr>
          <w:rFonts w:ascii="Times New Roman;serif" w:hAnsi="Times New Roman;serif"/>
          <w:b w:val="false"/>
          <w:color w:val="000000"/>
          <w:sz w:val="24"/>
        </w:rPr>
        <w:t>. No dissenters’ or appraisal rights shall be available with respect to the Mergers or the other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66" w:name="i10f86332d2fc413bbe6e35ec034825e3"/>
      <w:bookmarkEnd w:id="66"/>
      <w:r>
        <w:rPr>
          <w:rFonts w:ascii="Times New Roman;serif" w:hAnsi="Times New Roman;serif"/>
          <w:b w:val="false"/>
          <w:color w:val="000000"/>
          <w:sz w:val="24"/>
        </w:rPr>
        <w:t>3.4.</w:t>
      </w:r>
      <w:r>
        <w:rPr>
          <w:rFonts w:ascii="Times New Roman;serif" w:hAnsi="Times New Roman;serif"/>
          <w:b w:val="false"/>
          <w:color w:val="000000"/>
          <w:sz w:val="24"/>
          <w:u w:val="single"/>
          <w:shd w:fill="FFFFFF" w:val="clear"/>
        </w:rPr>
        <w:t>Exchange of Company Common Stock and Company Preferred Stock</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67" w:name="i847afe68f00a43dc855f756bf6a16634"/>
      <w:bookmarkEnd w:id="67"/>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Exchange Agent</w:t>
      </w:r>
      <w:r>
        <w:rPr>
          <w:rFonts w:ascii="Times New Roman;serif" w:hAnsi="Times New Roman;serif"/>
          <w:b w:val="false"/>
          <w:color w:val="000000"/>
          <w:sz w:val="24"/>
          <w:shd w:fill="FFFFFF" w:val="clear"/>
        </w:rPr>
        <w:t>. At or prior to the Partnership Merger Effective Time, Parent and Parent Manager shall designate Parent’s or the Company’s transfer agent (the “</w:t>
      </w:r>
      <w:r>
        <w:rPr>
          <w:rFonts w:ascii="Times New Roman;serif" w:hAnsi="Times New Roman;serif"/>
          <w:b w:val="false"/>
          <w:color w:val="000000"/>
          <w:sz w:val="24"/>
          <w:u w:val="single"/>
          <w:shd w:fill="FFFFFF" w:val="clear"/>
        </w:rPr>
        <w:t xml:space="preserve">Exchange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60705"/>
                <wp:effectExtent l="0" t="0" r="0" b="0"/>
                <wp:wrapNone/>
                <wp:docPr id="40" name="Frame4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shd w:fill="FFFFFF" w:val="clear"/>
        </w:rPr>
        <w:t>Agent</w:t>
      </w:r>
      <w:r>
        <w:rPr>
          <w:color w:val="000000"/>
          <w:shd w:fill="FFFFFF" w:val="clear"/>
        </w:rPr>
        <w:t>”</w:t>
      </w:r>
      <w:r>
        <w:rPr>
          <w:rFonts w:ascii="Times New Roman;serif" w:hAnsi="Times New Roman;serif"/>
          <w:b w:val="false"/>
          <w:color w:val="000000"/>
          <w:sz w:val="24"/>
          <w:shd w:fill="FFFFFF" w:val="clear"/>
        </w:rPr>
        <w:t xml:space="preserve">) to act as agent for the holders of shares of Company Common Stock and Company Preferred Stock to receive the Merger Consideration, including the Per Share Additional Manager Consideration, and cash sufficient to pay cash in lieu of fractional shares pursuant to </w:t>
      </w:r>
      <w:r>
        <w:rPr>
          <w:rFonts w:ascii="Times New Roman;serif" w:hAnsi="Times New Roman;serif"/>
          <w:b w:val="false"/>
          <w:color w:val="000000"/>
          <w:sz w:val="24"/>
          <w:u w:val="single"/>
          <w:shd w:fill="FFFFFF" w:val="clear"/>
        </w:rPr>
        <w:t>Section 3.4(h)</w:t>
      </w:r>
      <w:r>
        <w:rPr>
          <w:color w:val="000000"/>
        </w:rPr>
        <w:t xml:space="preserve"> </w:t>
      </w:r>
      <w:r>
        <w:rPr>
          <w:rFonts w:ascii="Times New Roman;serif" w:hAnsi="Times New Roman;serif"/>
          <w:b w:val="false"/>
          <w:color w:val="000000"/>
          <w:sz w:val="24"/>
          <w:shd w:fill="FFFFFF" w:val="clear"/>
        </w:rPr>
        <w:t xml:space="preserve">and any dividends or other distributions pursuant to </w:t>
      </w:r>
      <w:r>
        <w:rPr>
          <w:rFonts w:ascii="Times New Roman;serif" w:hAnsi="Times New Roman;serif"/>
          <w:b w:val="false"/>
          <w:color w:val="000000"/>
          <w:sz w:val="24"/>
          <w:u w:val="single"/>
          <w:shd w:fill="FFFFFF" w:val="clear"/>
        </w:rPr>
        <w:t>Section 3.4(g)</w:t>
      </w:r>
      <w:r>
        <w:rPr>
          <w:rFonts w:ascii="Times New Roman;serif" w:hAnsi="Times New Roman;serif"/>
          <w:b w:val="false"/>
          <w:color w:val="000000"/>
          <w:sz w:val="24"/>
          <w:shd w:fill="FFFFFF" w:val="clear"/>
        </w:rPr>
        <w:t xml:space="preserve">, to which such holders shall become entitled pursuant to this </w:t>
      </w:r>
      <w:r>
        <w:rPr>
          <w:rFonts w:ascii="Times New Roman;serif" w:hAnsi="Times New Roman;serif"/>
          <w:b w:val="false"/>
          <w:color w:val="000000"/>
          <w:sz w:val="24"/>
          <w:u w:val="single"/>
          <w:shd w:fill="FFFFFF" w:val="clear"/>
        </w:rPr>
        <w:t>Article III</w:t>
      </w:r>
      <w:r>
        <w:rPr>
          <w:color w:val="000000"/>
        </w:rPr>
        <w:t xml:space="preserve"> </w:t>
      </w:r>
      <w:r>
        <w:rPr>
          <w:rFonts w:ascii="Times New Roman;serif" w:hAnsi="Times New Roman;serif"/>
          <w:b w:val="false"/>
          <w:color w:val="000000"/>
          <w:sz w:val="24"/>
          <w:shd w:fill="FFFFFF" w:val="clear"/>
        </w:rPr>
        <w:t xml:space="preserve">and shall enter into an exchange and paying agent agreement reasonably acceptable to the Company, Parent and Parent Manager relating to the Exchange Agent’s responsibilities under this Agreement. At or prior to the Partnership Merger Effective Time, (1) Parent shall deposit, or cause to be deposited, with the Exchange Agent, in trust for the benefit of the holders of Company Common Stock and the holders of Company Preferred Stock, as applicable,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(A) the number of shares of Parent Common Stock issuable to the holders of Company Common Stock outstanding immediately prior to the Company Merger Effective Time pursuant to </w:t>
      </w:r>
      <w:r>
        <w:rPr>
          <w:rFonts w:ascii="Times New Roman;serif" w:hAnsi="Times New Roman;serif"/>
          <w:b w:val="false"/>
          <w:color w:val="000000"/>
          <w:sz w:val="24"/>
          <w:u w:val="single"/>
          <w:shd w:fill="FFFFFF" w:val="clear"/>
        </w:rPr>
        <w:t>Section 3.1</w:t>
      </w:r>
      <w:r>
        <w:rPr>
          <w:rFonts w:ascii="Times New Roman;serif" w:hAnsi="Times New Roman;serif"/>
          <w:b w:val="false"/>
          <w:color w:val="000000"/>
          <w:sz w:val="24"/>
          <w:shd w:fill="FFFFFF" w:val="clear"/>
        </w:rPr>
        <w:t xml:space="preserve">, (B) cash sufficient to pay the aggregate Per Share Parent Cash Consideration, (C) cash sufficient to make payments in lieu of fractional shares in accordance with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(D) the number of shares of Parent Series D Cumulative Redeemable Preferred Stock issuable to the holders of Company Series A Preferred Stock outstanding immediately prior to the Company Merger Effective Time pursuant to </w:t>
      </w:r>
      <w:r>
        <w:rPr>
          <w:rFonts w:ascii="Times New Roman;serif" w:hAnsi="Times New Roman;serif"/>
          <w:b w:val="false"/>
          <w:color w:val="000000"/>
          <w:sz w:val="24"/>
          <w:u w:val="single"/>
          <w:shd w:fill="FFFFFF" w:val="clear"/>
        </w:rPr>
        <w:t>Section 3.1</w:t>
      </w:r>
      <w:r>
        <w:rPr>
          <w:color w:val="000000"/>
          <w:shd w:fill="FFFFFF" w:val="clear"/>
        </w:rPr>
        <w:t xml:space="preserve"> </w:t>
      </w:r>
      <w:r>
        <w:rPr>
          <w:rFonts w:ascii="Times New Roman;serif" w:hAnsi="Times New Roman;serif"/>
          <w:b w:val="false"/>
          <w:color w:val="000000"/>
          <w:sz w:val="24"/>
          <w:shd w:fill="FFFFFF" w:val="clear"/>
        </w:rPr>
        <w:t xml:space="preserve">and (E) the number of shares of Parent Series E Cumulative Redeemable Preferred Stock issuable to the holders of Company Series B Preferred Stock outstanding immediately prior to the Company Merger Effective Time pursuant to </w:t>
      </w:r>
      <w:r>
        <w:rPr>
          <w:rFonts w:ascii="Times New Roman;serif" w:hAnsi="Times New Roman;serif"/>
          <w:b w:val="false"/>
          <w:color w:val="000000"/>
          <w:sz w:val="24"/>
          <w:u w:val="single"/>
          <w:shd w:fill="FFFFFF" w:val="clear"/>
        </w:rPr>
        <w:t>Section 3.1</w:t>
      </w:r>
      <w:r>
        <w:rPr>
          <w:color w:val="000000"/>
          <w:shd w:fill="FFFFFF" w:val="clear"/>
        </w:rPr>
        <w:t xml:space="preserve"> </w:t>
      </w:r>
      <w:r>
        <w:rPr>
          <w:rFonts w:ascii="Times New Roman;serif" w:hAnsi="Times New Roman;serif"/>
          <w:b w:val="false"/>
          <w:color w:val="000000"/>
          <w:sz w:val="24"/>
          <w:shd w:fill="FFFFFF" w:val="clear"/>
        </w:rPr>
        <w:t xml:space="preserve">and (2) Parent Manager (acting solely on its own behalf) shall deposit, or cause to be deposited, with the Exchange Agent, in trust for the benefit of the holders of Company Common Stock,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cash sufficient to pay the aggregate Per Share Additional Manager Consideration. Notwithstanding anything contained in this Agreement to the contrary, to the extent after the Closing Date that Parent Manager has not deposited, or cause to be deposited, cash sufficient to pay the aggregate Per Share Additional Manager Consideration, Parent shall deposit, or cause to be deposited, with the Exchange Agent, in trust for the benefit of the holders of Company Common Stock,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an amount in cash equal to the difference between (x) the amount of cash sufficient to pay the aggregate Per Share Additional Manager Consideration minus (y) the aggregate amount deposited by Parent Manager pursuant to the immediately foregoing </w:t>
      </w:r>
      <w:r>
        <w:rPr>
          <w:rFonts w:ascii="Times New Roman;serif" w:hAnsi="Times New Roman;serif"/>
          <w:b w:val="false"/>
          <w:color w:val="000000"/>
          <w:sz w:val="24"/>
          <w:u w:val="single"/>
          <w:shd w:fill="FFFFFF" w:val="clear"/>
        </w:rPr>
        <w:t>clause (2)</w:t>
      </w:r>
      <w:r>
        <w:rPr>
          <w:rFonts w:ascii="Times New Roman;serif" w:hAnsi="Times New Roman;serif"/>
          <w:b w:val="false"/>
          <w:color w:val="000000"/>
          <w:sz w:val="24"/>
          <w:shd w:fill="FFFFFF" w:val="clear"/>
        </w:rPr>
        <w:t xml:space="preserve">. Parent agrees to deposit with the Exchange Agent, from time to time as needed, cash sufficient to pay any dividends and other distributions pursuant to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and to make any cash payments in lieu of fractional shares pursuant to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The Exchange Agent shall, pursuant to irrevocable instructions, deliver the Merger Consideration contemplated to be issued in exchange for shares of Company Common Stock and Company Preferred Stock, as applicable, pursuant to this Agreement out of the Exchange Fund. Except as contemplated by this </w:t>
      </w:r>
      <w:r>
        <w:rPr>
          <w:rFonts w:ascii="Times New Roman;serif" w:hAnsi="Times New Roman;serif"/>
          <w:b w:val="false"/>
          <w:color w:val="000000"/>
          <w:sz w:val="24"/>
          <w:u w:val="single"/>
          <w:shd w:fill="FFFFFF" w:val="clear"/>
        </w:rPr>
        <w:t>Section 3.4(a)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the Exchange Fund shall not be used for any other purpose, subject to </w:t>
      </w:r>
      <w:r>
        <w:rPr>
          <w:rFonts w:ascii="Times New Roman;serif" w:hAnsi="Times New Roman;serif"/>
          <w:b w:val="false"/>
          <w:color w:val="000000"/>
          <w:sz w:val="24"/>
          <w:u w:val="single"/>
          <w:shd w:fill="FFFFFF" w:val="clear"/>
        </w:rPr>
        <w:t>Section 3.4(f)</w:t>
      </w:r>
      <w:r>
        <w:rPr>
          <w:rFonts w:ascii="Times New Roman;serif" w:hAnsi="Times New Roman;serif"/>
          <w:b w:val="false"/>
          <w:color w:val="000000"/>
          <w:sz w:val="24"/>
          <w:shd w:fill="FFFFFF" w:val="clear"/>
        </w:rPr>
        <w:t xml:space="preserve">. Any cash, shares of Parent Common Stock and shares of Parent Preferred Stock deposited with the Exchange Agent (including as payment for fractional shares in accordance with </w:t>
      </w:r>
      <w:r>
        <w:rPr>
          <w:rFonts w:ascii="Times New Roman;serif" w:hAnsi="Times New Roman;serif"/>
          <w:b w:val="false"/>
          <w:color w:val="000000"/>
          <w:sz w:val="24"/>
          <w:u w:val="single"/>
          <w:shd w:fill="FFFFFF" w:val="clear"/>
        </w:rPr>
        <w:t>Section 3.4(h)</w:t>
      </w:r>
      <w:r>
        <w:rPr>
          <w:color w:val="000000"/>
          <w:shd w:fill="FFFFFF" w:val="clear"/>
        </w:rPr>
        <w:t xml:space="preserve"> </w:t>
      </w:r>
      <w:r>
        <w:rPr>
          <w:rFonts w:ascii="Times New Roman;serif" w:hAnsi="Times New Roman;serif"/>
          <w:b w:val="false"/>
          <w:color w:val="000000"/>
          <w:sz w:val="24"/>
          <w:shd w:fill="FFFFFF" w:val="clear"/>
        </w:rPr>
        <w:t xml:space="preserve">and any dividends or other distributions in accordance with </w:t>
      </w:r>
      <w:r>
        <w:rPr>
          <w:rFonts w:ascii="Times New Roman;serif" w:hAnsi="Times New Roman;serif"/>
          <w:b w:val="false"/>
          <w:color w:val="000000"/>
          <w:sz w:val="24"/>
          <w:u w:val="single"/>
          <w:shd w:fill="FFFFFF" w:val="clear"/>
        </w:rPr>
        <w:t>Section 3.4(g)</w:t>
      </w:r>
      <w:r>
        <w:rPr>
          <w:rFonts w:ascii="Times New Roman;serif" w:hAnsi="Times New Roman;serif"/>
          <w:b w:val="false"/>
          <w:color w:val="000000"/>
          <w:sz w:val="24"/>
          <w:shd w:fill="FFFFFF" w:val="clear"/>
        </w:rPr>
        <w:t>) shall hereinafter be referred to as the “</w:t>
      </w:r>
      <w:r>
        <w:rPr>
          <w:rFonts w:ascii="Times New Roman;serif" w:hAnsi="Times New Roman;serif"/>
          <w:b w:val="false"/>
          <w:color w:val="000000"/>
          <w:sz w:val="24"/>
          <w:u w:val="single"/>
          <w:shd w:fill="FFFFFF" w:val="clear"/>
        </w:rPr>
        <w:t>Exchange Fund</w:t>
      </w:r>
      <w:r>
        <w:rPr>
          <w:rFonts w:ascii="Times New Roman;serif" w:hAnsi="Times New Roman;serif"/>
          <w:b w:val="false"/>
          <w:color w:val="000000"/>
          <w:sz w:val="24"/>
          <w:shd w:fill="FFFFFF" w:val="clear"/>
        </w:rPr>
        <w:t>.” The Surviving Entity shall pay all charges and expenses, including those of the Exchange Agent, in connection with the exchange of shares of Company Common Stock and Company Preferred Stock for the Merger Consideration and cash in lieu of fractional shares.</w:t>
      </w:r>
    </w:p>
    <w:p>
      <w:pPr>
        <w:pStyle w:val="TextBody"/>
        <w:bidi w:val="0"/>
        <w:spacing w:lineRule="auto" w:line="240" w:before="0" w:after="240"/>
        <w:ind w:left="0" w:right="0" w:firstLine="720"/>
        <w:jc w:val="both"/>
        <w:rPr/>
      </w:pPr>
      <w:bookmarkStart w:id="68" w:name="i1f1b2bd8d59b4fe4b52dc04682bc5d50"/>
      <w:bookmarkEnd w:id="68"/>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Exchange Procedures</w:t>
      </w:r>
      <w:r>
        <w:rPr>
          <w:rFonts w:ascii="Times New Roman;serif" w:hAnsi="Times New Roman;serif"/>
          <w:b w:val="false"/>
          <w:color w:val="000000"/>
          <w:sz w:val="24"/>
          <w:shd w:fill="FFFFFF" w:val="clear"/>
        </w:rPr>
        <w:t xml:space="preserve">. As soon as reasonably practicable after the Company Merger Effective Time, and in no event later than two Business Days thereafter, the Surviving Entity shall, and Parent shall cause the Surviving Entity to, cause the Exchange Agent to mail to each holder of record of Book-Entry Shares whose shares of Company Common Stock and Company Preferred Stock were converted into the right to receive the consideration payable pursuant to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instructions for use in effecting the surrender of such Book-Entry Shares in exchange for the Merger Consideration set forth in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3.2(b)</w:t>
      </w:r>
      <w:r>
        <w:rPr>
          <w:rFonts w:ascii="Times New Roman;serif" w:hAnsi="Times New Roman;serif"/>
          <w:b w:val="false"/>
          <w:color w:val="000000"/>
          <w:sz w:val="24"/>
          <w:shd w:fill="FFFFFF" w:val="clear"/>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60705"/>
                <wp:effectExtent l="0" t="0" r="0" b="0"/>
                <wp:wrapNone/>
                <wp:docPr id="41" name="Frame4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the amount of (i) Merger Consideration to which such holder is entitled pursuant to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(other than the portion of such Merger Consideration that is cash (as applicable)); and (ii) a check or wire transfer in the amount equal to (A) the cash payable in lieu of any fractional shares of Parent Common Stock pursuant to </w:t>
      </w:r>
      <w:r>
        <w:rPr>
          <w:rFonts w:ascii="Times New Roman;serif" w:hAnsi="Times New Roman;serif"/>
          <w:b w:val="false"/>
          <w:color w:val="000000"/>
          <w:sz w:val="24"/>
          <w:u w:val="single"/>
          <w:shd w:fill="FFFFFF" w:val="clear"/>
        </w:rPr>
        <w:t>Section 3.4(h)</w:t>
      </w:r>
      <w:r>
        <w:rPr>
          <w:color w:val="000000"/>
          <w:shd w:fill="FFFFFF" w:val="clear"/>
        </w:rPr>
        <w:t xml:space="preserve"> </w:t>
      </w:r>
      <w:r>
        <w:rPr>
          <w:rFonts w:ascii="Times New Roman;serif" w:hAnsi="Times New Roman;serif"/>
          <w:b w:val="false"/>
          <w:color w:val="000000"/>
          <w:sz w:val="24"/>
          <w:shd w:fill="FFFFFF" w:val="clear"/>
        </w:rPr>
        <w:t xml:space="preserve">and dividends and other distributions pursuant to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plus (B) the portion of the Merger Consideration contemplated by the foregoing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 xml:space="preserve">that is cash (as applicable), and the Book-Entry Shares so surrendered shall forthwith be canceled. In the event of a transfer of ownership of Company Common Stock or Company Preferred Stock that is not registered in the transfer records of the Company, payment of the applicable Merger Consideration may be made to a Person other than the Person in whose name the Book-Entry Share so surrendered is registered if such Book-Entry Share shall be in proper form for transfer and the Person requesting such payment shall pay any transfer Taxes required by reason of the transfer or establish to the reasonable satisfaction of Parent and the Exchange Agent that such Taxes have been paid or are not applicable. Until surrendered as contemplated by this </w:t>
      </w:r>
      <w:r>
        <w:rPr>
          <w:rFonts w:ascii="Times New Roman;serif" w:hAnsi="Times New Roman;serif"/>
          <w:b w:val="false"/>
          <w:color w:val="000000"/>
          <w:sz w:val="24"/>
          <w:u w:val="single"/>
          <w:shd w:fill="FFFFFF" w:val="clear"/>
        </w:rPr>
        <w:t>Section 3.4(b)</w:t>
      </w:r>
      <w:r>
        <w:rPr>
          <w:rFonts w:ascii="Times New Roman;serif" w:hAnsi="Times New Roman;serif"/>
          <w:b w:val="false"/>
          <w:color w:val="000000"/>
          <w:sz w:val="24"/>
          <w:shd w:fill="FFFFFF" w:val="clear"/>
        </w:rPr>
        <w:t xml:space="preserve">, each Book-Entry Share shall be deemed at any time after the Company Merger Effective Time to represent only the right to receive upon such surrender of the Merger Consideration, subject to the terms and conditions set forth herein. No interest shall be paid or will accrue on any payment to holders of Book-Entry Shares pursuant to the provisions of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xml:space="preserve">. If any shares of Company Common Stock or Company Preferred Stock are represented by certificates, then the Exchange Agent shall, within three (3) Business Days after the Company Merger Effective Time, cause to be sent to such holders of certificates (x) a letter of transmittal, which shall specify that delivery of such shares shall be effected, and risk of loss and title to the certificates shall pass, only upon proper delivery of the certificates to the Exchange Agent, and which letter of transmittal shall otherwise be in a customary form and agreed to by Parent and the Company prior to the Closing and (y) instructions for use in effecting the surrender of such certificates, and appropriate actions shall otherwise be taken to give effect to the exchange procedures in this </w:t>
      </w:r>
      <w:r>
        <w:rPr>
          <w:rFonts w:ascii="Times New Roman;serif" w:hAnsi="Times New Roman;serif"/>
          <w:b w:val="false"/>
          <w:color w:val="000000"/>
          <w:sz w:val="24"/>
          <w:u w:val="single"/>
          <w:shd w:fill="FFFFFF" w:val="clear"/>
        </w:rPr>
        <w:t>Section 3.4</w:t>
      </w:r>
      <w:r>
        <w:rPr>
          <w:color w:val="000000"/>
          <w:shd w:fill="FFFFFF" w:val="clear"/>
        </w:rPr>
        <w:t xml:space="preserve"> </w:t>
      </w:r>
      <w:r>
        <w:rPr>
          <w:rFonts w:ascii="Times New Roman;serif" w:hAnsi="Times New Roman;serif"/>
          <w:b w:val="false"/>
          <w:color w:val="000000"/>
          <w:sz w:val="24"/>
          <w:shd w:fill="FFFFFF" w:val="clear"/>
        </w:rPr>
        <w:t>with respect to such certificated shares.</w:t>
      </w:r>
    </w:p>
    <w:p>
      <w:pPr>
        <w:pStyle w:val="TextBody"/>
        <w:bidi w:val="0"/>
        <w:spacing w:lineRule="auto" w:line="240" w:before="0" w:after="240"/>
        <w:ind w:left="0" w:right="0" w:firstLine="720"/>
        <w:jc w:val="both"/>
        <w:rPr/>
      </w:pPr>
      <w:bookmarkStart w:id="69" w:name="ic0a55b88d2224a6e9b987c79097c9f06"/>
      <w:bookmarkEnd w:id="69"/>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No Further Ownership Rights in Company Common Stock and Company Preferred Stock</w:t>
      </w:r>
      <w:r>
        <w:rPr>
          <w:rFonts w:ascii="Times New Roman;serif" w:hAnsi="Times New Roman;serif"/>
          <w:b w:val="false"/>
          <w:color w:val="000000"/>
          <w:sz w:val="24"/>
          <w:shd w:fill="FFFFFF" w:val="clear"/>
        </w:rPr>
        <w:t xml:space="preserve">. The Merger Consideration paid upon the surrender of Book-Entry Shares in accordance with the terms of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shall be deemed to have been paid in full satisfaction of all rights pertaining to the shares of Company Common Stock and Company Preferred Stock formerly represented by such Book-Entry Shares, subject, however, to the Surviving Entity’s obligation to pay any dividends or make any other distributions with a record date prior to the Partnership Merger Effective Time that may have been declared or made by the Company or the Company Operating Partnership, as applicable, on the shares of Company Common Stock or Company Preferred Stock in accordance with the terms of this Agreement prior to the Partnership Merger Effective Time. At the close of business on the Closing Date, the share transfer books of the Company shall be closed, and there shall be no further registration of transfers on the share transfer books of the Surviving Entity of the shares of Company Common Stock or Company Preferred Stock that were outstanding immediately prior to the Company Merger Effective Time. If, after the Company Merger Effective Time, any Book-Entry Share is presented to the Surviving Entity for transfer, it shall be canceled against delivery of and exchanged as provided in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xml:space="preserve">. At the close of business on the Closing Date, the share transfer books of the Company Operating Partnership shall be closed. If, after the Partnership Merger Effective Time, any Book-Entry Share is presented to the Company for transfer, it shall be canceled against delivery of and exchanged as provided in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60705"/>
                <wp:effectExtent l="0" t="0" r="0" b="0"/>
                <wp:wrapNone/>
                <wp:docPr id="42" name="Frame4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70" w:name="i4ceab1e5da3f4e348d652cd9b9415e8a"/>
      <w:bookmarkEnd w:id="70"/>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Termination of Exchange Fund</w:t>
      </w:r>
      <w:r>
        <w:rPr>
          <w:rFonts w:ascii="Times New Roman;serif" w:hAnsi="Times New Roman;serif"/>
          <w:b w:val="false"/>
          <w:color w:val="000000"/>
          <w:sz w:val="24"/>
          <w:shd w:fill="FFFFFF" w:val="clear"/>
        </w:rPr>
        <w:t>. Any portion of the Exchange Fund (including the proceeds of any investments thereof) that remains unclaimed by, or otherwise undistributed to, the holders of the Book-Entry Shares for twelve (12) months after the Company Merger Effective Time shall be delivered to Parent or the Surviving Entity, upon demand.</w:t>
      </w:r>
      <w:r>
        <w:rPr>
          <w:color w:val="000000"/>
        </w:rPr>
        <w:t xml:space="preserve"> </w:t>
      </w:r>
    </w:p>
    <w:p>
      <w:pPr>
        <w:pStyle w:val="TextBody"/>
        <w:bidi w:val="0"/>
        <w:spacing w:lineRule="auto" w:line="240" w:before="0" w:after="240"/>
        <w:ind w:left="0" w:right="0" w:firstLine="720"/>
        <w:jc w:val="both"/>
        <w:rPr/>
      </w:pPr>
      <w:bookmarkStart w:id="71" w:name="ice0b4bb05bb045ccbca9da8134fb1d12"/>
      <w:bookmarkEnd w:id="71"/>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No Liability</w:t>
      </w:r>
      <w:r>
        <w:rPr>
          <w:rFonts w:ascii="Times New Roman;serif" w:hAnsi="Times New Roman;serif"/>
          <w:b w:val="false"/>
          <w:color w:val="000000"/>
          <w:sz w:val="24"/>
          <w:shd w:fill="FFFFFF" w:val="clear"/>
        </w:rPr>
        <w:t xml:space="preserve">. None of Parent, Merger Sub, Parent Manager, the Company, the Company Operating Partnership, the Surviving Corporation, the Surviving Entity, the Exchange Agent or any of their respective Representatives shall be liable to any Person in respect of any distributions from the Exchange Fund delivered to a public official pursuant to any applicable abandoned property, escheat or similar Law. </w:t>
      </w:r>
    </w:p>
    <w:p>
      <w:pPr>
        <w:pStyle w:val="TextBody"/>
        <w:bidi w:val="0"/>
        <w:spacing w:lineRule="auto" w:line="240" w:before="0" w:after="240"/>
        <w:ind w:left="0" w:right="0" w:firstLine="720"/>
        <w:jc w:val="both"/>
        <w:rPr/>
      </w:pPr>
      <w:bookmarkStart w:id="72" w:name="i9dd28a62dee343b9b12ad8f59f509d0b"/>
      <w:bookmarkEnd w:id="72"/>
      <w:r>
        <w:rPr>
          <w:rFonts w:ascii="Times New Roman;serif" w:hAnsi="Times New Roman;serif"/>
          <w:b w:val="false"/>
          <w:color w:val="000000"/>
          <w:sz w:val="24"/>
        </w:rPr>
        <w:t>(f)</w:t>
      </w:r>
      <w:r>
        <w:rPr>
          <w:rFonts w:ascii="Times New Roman;serif" w:hAnsi="Times New Roman;serif"/>
          <w:b w:val="false"/>
          <w:color w:val="000000"/>
          <w:sz w:val="24"/>
          <w:u w:val="single"/>
          <w:shd w:fill="FFFFFF" w:val="clear"/>
        </w:rPr>
        <w:t>Investment of Exchange Fund</w:t>
      </w:r>
      <w:r>
        <w:rPr>
          <w:rFonts w:ascii="Times New Roman;serif" w:hAnsi="Times New Roman;serif"/>
          <w:b w:val="false"/>
          <w:color w:val="000000"/>
          <w:sz w:val="24"/>
          <w:shd w:fill="FFFFFF" w:val="clear"/>
        </w:rPr>
        <w:t xml:space="preserve">. The Exchange Agent shall invest any cash included in the Exchange Fund, as directed by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such investment or loss thereon shall affect the amounts payable to holders of Book-Entry Shares pursuant to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and following any losses from any such investment, Parent shall promptly provide additional funds to the Exchange Agent for the benefit of the holders of shares of Company Common Stock and Company Preferred Stock at the Company Merger Effective Time in the amount of such losses, which additional funds will be deemed to be part of the Exchange Fund. Any interest or other income resulting from such investments shall be paid to Parent, upon demand.</w:t>
      </w:r>
    </w:p>
    <w:p>
      <w:pPr>
        <w:pStyle w:val="TextBody"/>
        <w:bidi w:val="0"/>
        <w:spacing w:lineRule="auto" w:line="240" w:before="0" w:after="240"/>
        <w:ind w:left="0" w:right="0" w:firstLine="720"/>
        <w:jc w:val="both"/>
        <w:rPr/>
      </w:pPr>
      <w:bookmarkStart w:id="73" w:name="i78743ffb346c4fec884993ca6ae934e8"/>
      <w:bookmarkEnd w:id="73"/>
      <w:r>
        <w:rPr>
          <w:rFonts w:ascii="Times New Roman;serif" w:hAnsi="Times New Roman;serif"/>
          <w:b w:val="false"/>
          <w:color w:val="000000"/>
          <w:sz w:val="24"/>
        </w:rPr>
        <w:t>(g)</w:t>
      </w:r>
      <w:r>
        <w:rPr>
          <w:rFonts w:ascii="Times New Roman;serif" w:hAnsi="Times New Roman;serif"/>
          <w:b w:val="false"/>
          <w:color w:val="000000"/>
          <w:sz w:val="24"/>
          <w:u w:val="single"/>
          <w:shd w:fill="FFFFFF" w:val="clear"/>
        </w:rPr>
        <w:t>Distributions with Respect to Parent Common Stock or Parent Preferred Stock</w:t>
      </w:r>
      <w:r>
        <w:rPr>
          <w:rFonts w:ascii="Times New Roman;serif" w:hAnsi="Times New Roman;serif"/>
          <w:b w:val="false"/>
          <w:i/>
          <w:color w:val="000000"/>
          <w:sz w:val="24"/>
          <w:shd w:fill="FFFFFF" w:val="clear"/>
        </w:rPr>
        <w:t xml:space="preserve">. </w:t>
      </w:r>
      <w:r>
        <w:rPr>
          <w:rFonts w:ascii="Times New Roman;serif" w:hAnsi="Times New Roman;serif"/>
          <w:b w:val="false"/>
          <w:color w:val="000000"/>
          <w:sz w:val="24"/>
          <w:shd w:fill="FFFFFF" w:val="clear"/>
        </w:rPr>
        <w:t xml:space="preserve">No dividends or other distributions declared or made with respect to shares of Parent Common Stock or Parent Preferred Stock, as applicable, with a record date after the Company Merger Effective Time shall be paid to the holder of any untransferred Book-Entry Shares with respect to the whole shares of Parent Common Stock or Parent Preferred Stock, as applicable, that such holder would be entitled to receive upon transfer of such Book-Entry Shares and no cash payment in lieu of fractional shares of Parent Common Stock shall be paid to any such holder, in each case until such holder shall surrender or transfer such Book-Entry Shares in accordance with this </w:t>
      </w:r>
      <w:r>
        <w:rPr>
          <w:rFonts w:ascii="Times New Roman;serif" w:hAnsi="Times New Roman;serif"/>
          <w:b w:val="false"/>
          <w:color w:val="000000"/>
          <w:sz w:val="24"/>
          <w:u w:val="single"/>
          <w:shd w:fill="FFFFFF" w:val="clear"/>
        </w:rPr>
        <w:t>Section 3.4</w:t>
      </w:r>
      <w:r>
        <w:rPr>
          <w:rFonts w:ascii="Times New Roman;serif" w:hAnsi="Times New Roman;serif"/>
          <w:b w:val="false"/>
          <w:color w:val="000000"/>
          <w:sz w:val="24"/>
          <w:shd w:fill="FFFFFF" w:val="clear"/>
        </w:rPr>
        <w:t>. Following surrender or any such transfer of any such Book-Entry Shares, there shall be paid to such holder of whole shares of Parent Common Stock or Parent Preferred Stock, as applicable, issuable in exchange therefor, without interest, (i) promptly after the time of such surrender or transfer, as applicable, the amount of dividends or other distributions with a record date after the Company Merger Effective Time theretofore paid with respect to such whole shares of Parent Common Stock or Parent Preferred Stock, as applicable, to which such holder is entitled pursuant to this Agreement, and (ii) at the appropriate payment date, the amount of dividends or other distributions with a record date after the Company Merger Effective Time but prior to such surrender or transfer and with a payment date subsequent to such surrender or transfer payable with respect to such whole shares of Parent Common Stock or Parent Preferred Stock, as applicable. For purposes of dividends or other distributions in respect of shares of Parent Common Stock or Parent Preferred Stock, as applicable, all whole shares of Parent Common Stock or Parent Preferred Stock, as applicable, to be issued pursuant to the Mergers shall be entitled to dividends pursuant to the immediately preceding sentence as if such whole shares of Parent Common Stock or Parent Preferred Stock, as applicable, were issued and outstanding as of the Company Merger Effective Time.</w:t>
      </w:r>
    </w:p>
    <w:p>
      <w:pPr>
        <w:pStyle w:val="TextBody"/>
        <w:bidi w:val="0"/>
        <w:spacing w:lineRule="auto" w:line="240" w:before="0" w:after="240"/>
        <w:ind w:left="0" w:right="0" w:firstLine="720"/>
        <w:jc w:val="both"/>
        <w:rPr/>
      </w:pPr>
      <w:bookmarkStart w:id="74" w:name="ia61c169cd2a04d5ca365342afe222fe2"/>
      <w:bookmarkEnd w:id="74"/>
      <w:r>
        <w:rPr>
          <w:rFonts w:ascii="Times New Roman;serif" w:hAnsi="Times New Roman;serif"/>
          <w:b w:val="false"/>
          <w:color w:val="000000"/>
          <w:sz w:val="24"/>
        </w:rPr>
        <w:t>(h)</w:t>
      </w:r>
      <w:r>
        <w:rPr>
          <w:rFonts w:ascii="Times New Roman;serif" w:hAnsi="Times New Roman;serif"/>
          <w:b w:val="false"/>
          <w:color w:val="000000"/>
          <w:sz w:val="24"/>
          <w:u w:val="single"/>
          <w:shd w:fill="FFFFFF" w:val="clear"/>
        </w:rPr>
        <w:t>No Fractional Shares of Parent Common Stock</w:t>
      </w:r>
      <w:r>
        <w:rPr>
          <w:rFonts w:ascii="Times New Roman;serif" w:hAnsi="Times New Roman;serif"/>
          <w:b w:val="false"/>
          <w:i/>
          <w:color w:val="000000"/>
          <w:sz w:val="24"/>
          <w:shd w:fill="FFFFFF" w:val="clear"/>
        </w:rPr>
        <w:t xml:space="preserve">. </w:t>
      </w:r>
      <w:r>
        <w:rPr>
          <w:rFonts w:ascii="Times New Roman;serif" w:hAnsi="Times New Roman;serif"/>
          <w:b w:val="false"/>
          <w:color w:val="000000"/>
          <w:sz w:val="24"/>
          <w:shd w:fill="FFFFFF" w:val="clear"/>
        </w:rPr>
        <w:t xml:space="preserve">No certificates or scrip or shares representing fractional shares of Parent Common Stock or Parent Preferred Stock shall be issued upon the surrender for the transfer of Book-Entry Shares and such fractional share interests will not entitle the owner thereof to vote or to have any rights of a stockholder of Parent or a holder of shares of Parent Common Stock. Notwithstanding any other provision of this Agreement, each holder of shares of Company Common Stock exchanged pursuant to the Mergers who would otherwise have been entitled to receive a fraction of a share of Parent Common Stock (after taking into account all Book-Entry Shares delivered by such holder)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60705"/>
                <wp:effectExtent l="0" t="0" r="0" b="0"/>
                <wp:wrapNone/>
                <wp:docPr id="43" name="Frame4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shall receive, in lieu thereof, cash (without interest) in an amount equal to the product of (i) such fractional part of a share of Parent Common Stock </w:t>
      </w:r>
      <w:r>
        <w:rPr>
          <w:rFonts w:ascii="Times New Roman;serif" w:hAnsi="Times New Roman;serif"/>
          <w:b w:val="false"/>
          <w:i/>
          <w:color w:val="000000"/>
          <w:sz w:val="24"/>
          <w:shd w:fill="FFFFFF" w:val="clear"/>
        </w:rPr>
        <w:t xml:space="preserve">multiplied by </w:t>
      </w:r>
      <w:r>
        <w:rPr>
          <w:rFonts w:ascii="Times New Roman;serif" w:hAnsi="Times New Roman;serif"/>
          <w:b w:val="false"/>
          <w:color w:val="000000"/>
          <w:sz w:val="24"/>
          <w:shd w:fill="FFFFFF" w:val="clear"/>
        </w:rPr>
        <w:t>(ii) the Closing Volume-Weighted Average Price. As promptly as practicable after the determination of the amount of cash, if any, to be paid to holders of shares of Company Common Stock exchanged pursuant to the Mergers who would otherwise have been entitled to receive a fraction of a share of Parent Common Stock (after taking into account all Book-Entry Shares delivered by such holder), the Exchange Agent shall so notify Parent, and Parent shall cause the Exchange Agent to forward payments to such holders of fractional interests subject to and in accordance with the terms hereof.</w:t>
      </w:r>
    </w:p>
    <w:p>
      <w:pPr>
        <w:pStyle w:val="TextBody"/>
        <w:bidi w:val="0"/>
        <w:spacing w:lineRule="auto" w:line="240" w:before="0" w:after="240"/>
        <w:ind w:left="0" w:right="0" w:firstLine="720"/>
        <w:jc w:val="both"/>
        <w:rPr/>
      </w:pPr>
      <w:bookmarkStart w:id="75" w:name="idf413c5fdf894338aa56e30f10429fa3"/>
      <w:bookmarkEnd w:id="75"/>
      <w:r>
        <w:rPr>
          <w:rFonts w:ascii="Times New Roman;serif" w:hAnsi="Times New Roman;serif"/>
          <w:b w:val="false"/>
          <w:color w:val="000000"/>
          <w:sz w:val="24"/>
        </w:rPr>
        <w:t>(i)</w:t>
      </w:r>
      <w:r>
        <w:rPr>
          <w:rFonts w:ascii="Times New Roman;serif" w:hAnsi="Times New Roman;serif"/>
          <w:b w:val="false"/>
          <w:color w:val="000000"/>
          <w:sz w:val="24"/>
          <w:u w:val="single"/>
          <w:shd w:fill="FFFFFF" w:val="clear"/>
        </w:rPr>
        <w:t>Withholding Taxes</w:t>
      </w:r>
      <w:r>
        <w:rPr>
          <w:rFonts w:ascii="Times New Roman;serif" w:hAnsi="Times New Roman;serif"/>
          <w:b w:val="false"/>
          <w:i/>
          <w:color w:val="000000"/>
          <w:sz w:val="24"/>
          <w:shd w:fill="FFFFFF" w:val="clear"/>
        </w:rPr>
        <w:t xml:space="preserve">. </w:t>
      </w:r>
      <w:r>
        <w:rPr>
          <w:rFonts w:ascii="Times New Roman;serif" w:hAnsi="Times New Roman;serif"/>
          <w:b w:val="false"/>
          <w:color w:val="000000"/>
          <w:sz w:val="24"/>
          <w:shd w:fill="FFFFFF" w:val="clear"/>
        </w:rPr>
        <w:t xml:space="preserve">Notwithstanding anything in this Agreement to the contrary, Parent, the Surviving Entity, Parent Manager and the Exchange Agent shall be entitled to deduct and withhold from the consideration to be paid by Parent, the Surviving Entity, Parent Manager or the Exchange Agent hereunder any amount required to be deducted and withheld with respect to the making of such payment under the Code or any other provision of state, local or foreign Tax Law. If Parent, the Surviving Entity, Parent Manager or the Exchange Agent believes that such deduction or withholding is required, the applicable withholding Person shall provide the Company with written notice at least two Business Days prior to withholding any amount pursuant to this </w:t>
      </w:r>
      <w:r>
        <w:rPr>
          <w:rFonts w:ascii="Times New Roman;serif" w:hAnsi="Times New Roman;serif"/>
          <w:b w:val="false"/>
          <w:color w:val="000000"/>
          <w:sz w:val="24"/>
          <w:u w:val="single"/>
          <w:shd w:fill="FFFFFF" w:val="clear"/>
        </w:rPr>
        <w:t>Section 3.4(i)</w:t>
      </w:r>
      <w:r>
        <w:rPr>
          <w:color w:val="000000"/>
          <w:shd w:fill="FFFFFF" w:val="clear"/>
        </w:rPr>
        <w:t xml:space="preserve"> </w:t>
      </w:r>
      <w:r>
        <w:rPr>
          <w:rFonts w:ascii="Times New Roman;serif" w:hAnsi="Times New Roman;serif"/>
          <w:b w:val="false"/>
          <w:color w:val="000000"/>
          <w:sz w:val="24"/>
          <w:shd w:fill="FFFFFF" w:val="clear"/>
        </w:rPr>
        <w:t>such that the Company and/or the holders of Company Common Stock and/or Company Preferred Stock shall have the opportunity to eliminate or reduce such deduction or withholding obligation by filing appropriate documentation or taking other appropriate action, and the Company and Company Operating Partnership agree to provide any documentation or certifications or take such other actions as reasonably requested by Parent. Subject to their respective obligations under applicable Law, Parent, the Surviving Entity, Parent Manager and the Exchange Agent shall use commercially reasonable efforts to cooperate in good faith with the Company and/or such holders as necessary to eliminate or reduce such deduction or withholding. Any such amounts so deducted or withheld shall be paid over to the relevant Taxing Authority in accordance with applicable Law by the Exchange Agent, the Surviving Entity, Parent or Parent Manager, as the case may be, and such deducted or withheld amounts shall be treated for all purposes of this Agreement as having been paid to the Person in respect of which such deduction or withholding was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76" w:name="i253ad321bd2e47ab9230695e3e4f9131"/>
      <w:bookmarkEnd w:id="76"/>
      <w:r>
        <w:rPr>
          <w:rFonts w:ascii="Times New Roman;serif" w:hAnsi="Times New Roman;serif"/>
          <w:b w:val="false"/>
          <w:color w:val="000000"/>
          <w:sz w:val="24"/>
        </w:rPr>
        <w:t>Article IV</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REPRESENTATIONS AND WARRANTIES OF THE COMPANY AND THE COMPANY OPERATING PARTNERSHIP</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Except as disclosed in the Company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historical factual information contained within such statements) (provided, however, that nothing disclosed in the Company SEC Documents shall be deemed to qualify or modify the representations and warranties set forth in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4.18</w:t>
      </w:r>
      <w:r>
        <w:rPr>
          <w:rFonts w:ascii="Times New Roman;serif" w:hAnsi="Times New Roman;serif"/>
          <w:b w:val="false"/>
          <w:color w:val="000000"/>
          <w:sz w:val="24"/>
        </w:rPr>
        <w:t>), or in the disclosure schedule delivered by the Company to Parent immediately prior to the execution and delivery of this Agreement (the “</w:t>
      </w:r>
      <w:r>
        <w:rPr>
          <w:rFonts w:ascii="Times New Roman;serif" w:hAnsi="Times New Roman;serif"/>
          <w:b w:val="false"/>
          <w:color w:val="000000"/>
          <w:sz w:val="24"/>
          <w:u w:val="single"/>
        </w:rPr>
        <w:t>Company Disclosure Letter</w:t>
      </w:r>
      <w:r>
        <w:rPr>
          <w:color w:val="000000"/>
        </w:rPr>
        <w:t>”</w:t>
      </w:r>
      <w:r>
        <w:rPr>
          <w:rFonts w:ascii="Times New Roman;serif" w:hAnsi="Times New Roman;serif"/>
          <w:b w:val="false"/>
          <w:color w:val="000000"/>
          <w:sz w:val="24"/>
        </w:rPr>
        <w:t xml:space="preserve">), each of the Company and the Company Operating Partnership, jointly and severally, represents and warrants to Parent and Merger Sub as follows: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77" w:name="i855803fbd53f4430baa6c405206bfed0"/>
      <w:bookmarkEnd w:id="77"/>
      <w:r>
        <w:rPr>
          <w:rFonts w:ascii="Times New Roman;serif" w:hAnsi="Times New Roman;serif"/>
          <w:b w:val="false"/>
          <w:color w:val="000000"/>
          <w:sz w:val="24"/>
        </w:rPr>
        <w:t>4.1.</w:t>
      </w:r>
      <w:r>
        <w:rPr>
          <w:rFonts w:ascii="Times New Roman;serif" w:hAnsi="Times New Roman;serif"/>
          <w:b w:val="false"/>
          <w:color w:val="000000"/>
          <w:sz w:val="24"/>
          <w:u w:val="single"/>
          <w:shd w:fill="FFFFFF" w:val="clear"/>
        </w:rPr>
        <w:t>Due Incorporation; Capitalization; Indebtedness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60705"/>
                <wp:effectExtent l="0" t="0" r="0" b="0"/>
                <wp:wrapNone/>
                <wp:docPr id="44" name="Frame4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78" w:name="i0c5807ec067c4e6780a8eb530e2fd39c"/>
      <w:bookmarkEnd w:id="78"/>
      <w:r>
        <w:rPr>
          <w:rFonts w:ascii="Times New Roman;serif" w:hAnsi="Times New Roman;serif"/>
          <w:b w:val="false"/>
          <w:color w:val="000000"/>
          <w:sz w:val="24"/>
        </w:rPr>
        <w:t>(a)</w:t>
      </w:r>
      <w:r>
        <w:rPr>
          <w:rFonts w:ascii="Times New Roman;serif" w:hAnsi="Times New Roman;serif"/>
          <w:b w:val="false"/>
          <w:color w:val="000000"/>
          <w:sz w:val="24"/>
          <w:shd w:fill="FFFFFF" w:val="clear"/>
        </w:rPr>
        <w:t>The Company is a corporation duly incorporated, validly existing and in good standing under the laws of the State of Maryland and has all requisite corporate power and authority to own, lease and operate its properties and assets and to carry on its business as presently conducted, except as has not had and would not reasonably be expected to have, individually or in the aggregate, a Company Material Adverse Effect. Each of the Company’s Subsidiaries (including the Company Operating Partnership) is a legal entity duly organized, validly existing and (where such concept is recognized) in good standing under the Laws of its jurisdiction of organization and has all requisite corporate or entity power and authority to own, lease and operate its properties and assets and to carry on its business as presently conducted, except as has not had and would not reasonably be expected to have, individually or in the aggregate, a Company Material Adverse Effect. Each of the Company and its Subsidiaries is duly qualified or licensed, and has all necessary governmental approvals, to do business in each jurisdiction in which the property owned, leased or operated by it or the nature of the business conducted by it makes such approvals, qualification or licensing necessary, except where the failure to be so duly approved, qualified or licensed has not had and would not reasonably be expected to have, individually or in the aggregate, a Company Material Adverse Effect.</w:t>
      </w:r>
      <w:r>
        <w:rPr>
          <w:color w:val="000000"/>
        </w:rPr>
        <w:t xml:space="preserve"> </w:t>
      </w:r>
    </w:p>
    <w:p>
      <w:pPr>
        <w:pStyle w:val="TextBody"/>
        <w:bidi w:val="0"/>
        <w:spacing w:lineRule="auto" w:line="240" w:before="0" w:after="240"/>
        <w:ind w:left="0" w:right="0" w:firstLine="720"/>
        <w:jc w:val="both"/>
        <w:rPr/>
      </w:pPr>
      <w:bookmarkStart w:id="79" w:name="i0c278016cfa94a79bed0cf1dd6f9d8dd"/>
      <w:bookmarkEnd w:id="79"/>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Section 4.1(b)</w:t>
      </w:r>
      <w:r>
        <w:rPr>
          <w:color w:val="000000"/>
          <w:shd w:fill="FFFFFF" w:val="clear"/>
        </w:rPr>
        <w:t xml:space="preserve"> </w:t>
      </w:r>
      <w:r>
        <w:rPr>
          <w:rFonts w:ascii="Times New Roman;serif" w:hAnsi="Times New Roman;serif"/>
          <w:b w:val="false"/>
          <w:color w:val="000000"/>
          <w:sz w:val="24"/>
          <w:shd w:fill="FFFFFF" w:val="clear"/>
        </w:rPr>
        <w:t>of the Company Disclosure Letter sets forth an accurate and complete list of each Subsidiary of the Company, including a list of each Subsidiary that is a REIT, partnership, “qualified REIT subsidiary” within the meaning of Section 856(i)(2) of the Code (“</w:t>
      </w:r>
      <w:r>
        <w:rPr>
          <w:rFonts w:ascii="Times New Roman;serif" w:hAnsi="Times New Roman;serif"/>
          <w:b w:val="false"/>
          <w:color w:val="000000"/>
          <w:sz w:val="24"/>
          <w:u w:val="single"/>
          <w:shd w:fill="FFFFFF" w:val="clear"/>
        </w:rPr>
        <w:t>Qualified REIT Subsidiary</w:t>
      </w:r>
      <w:r>
        <w:rPr>
          <w:color w:val="000000"/>
          <w:shd w:fill="FFFFFF" w:val="clear"/>
        </w:rPr>
        <w:t>”</w:t>
      </w:r>
      <w:r>
        <w:rPr>
          <w:rFonts w:ascii="Times New Roman;serif" w:hAnsi="Times New Roman;serif"/>
          <w:b w:val="false"/>
          <w:color w:val="000000"/>
          <w:sz w:val="24"/>
          <w:shd w:fill="FFFFFF" w:val="clear"/>
        </w:rPr>
        <w:t>), a “taxable REIT subsidiary” within the meaning of Section 856(l) of the Code (“</w:t>
      </w:r>
      <w:r>
        <w:rPr>
          <w:rFonts w:ascii="Times New Roman;serif" w:hAnsi="Times New Roman;serif"/>
          <w:b w:val="false"/>
          <w:color w:val="000000"/>
          <w:sz w:val="24"/>
          <w:u w:val="single"/>
          <w:shd w:fill="FFFFFF" w:val="clear"/>
        </w:rPr>
        <w:t>Taxable REIT Subsidiary</w:t>
      </w:r>
      <w:r>
        <w:rPr>
          <w:color w:val="000000"/>
          <w:shd w:fill="FFFFFF" w:val="clear"/>
        </w:rPr>
        <w:t>”</w:t>
      </w:r>
      <w:r>
        <w:rPr>
          <w:rFonts w:ascii="Times New Roman;serif" w:hAnsi="Times New Roman;serif"/>
          <w:b w:val="false"/>
          <w:color w:val="000000"/>
          <w:sz w:val="24"/>
          <w:shd w:fill="FFFFFF" w:val="clear"/>
        </w:rPr>
        <w:t>), or a subsidiary REIT, together with (i) the U.S. federal income tax status of each subsidiary; (ii) the jurisdiction of incorporation or organization, as the case may be, of such Subsidiary; (iii) the type and percentage of interest held, directly or indirectly, by the Company in such Subsidiary; (iv) the amount of its authorized capital stock or other equity interests; and (v) the amount of its outstanding capital stock or other equity interests.</w:t>
      </w:r>
      <w:r>
        <w:rPr>
          <w:color w:val="000000"/>
        </w:rPr>
        <w:t xml:space="preserve"> </w:t>
      </w:r>
      <w:r>
        <w:rPr>
          <w:rFonts w:ascii="Times New Roman;serif" w:hAnsi="Times New Roman;serif"/>
          <w:b w:val="false"/>
          <w:color w:val="000000"/>
          <w:sz w:val="24"/>
          <w:u w:val="single"/>
          <w:shd w:fill="FFFFFF" w:val="clear"/>
        </w:rPr>
        <w:t>Section 4.1(b)</w:t>
      </w:r>
      <w:r>
        <w:rPr>
          <w:color w:val="000000"/>
          <w:shd w:fill="FFFFFF" w:val="clear"/>
        </w:rPr>
        <w:t xml:space="preserve"> </w:t>
      </w:r>
      <w:r>
        <w:rPr>
          <w:rFonts w:ascii="Times New Roman;serif" w:hAnsi="Times New Roman;serif"/>
          <w:b w:val="false"/>
          <w:color w:val="000000"/>
          <w:sz w:val="24"/>
          <w:shd w:fill="FFFFFF" w:val="clear"/>
        </w:rPr>
        <w:t>of the Company Disclosure Letter also sets forth an accurate and complete list of Persons, other than the Subsidiaries of the Company, in which the Company or any Subsidiary of the Company has an equity interest.</w:t>
      </w:r>
    </w:p>
    <w:p>
      <w:pPr>
        <w:pStyle w:val="TextBody"/>
        <w:bidi w:val="0"/>
        <w:spacing w:lineRule="auto" w:line="240" w:before="0" w:after="240"/>
        <w:ind w:left="0" w:right="0" w:firstLine="720"/>
        <w:jc w:val="both"/>
        <w:rPr/>
      </w:pPr>
      <w:bookmarkStart w:id="80" w:name="id3f40cf0fd0b427ca0c5603357ddd70f"/>
      <w:bookmarkEnd w:id="80"/>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has made available to Parent prior to the date of this Agreement a true and complete copy of the Articles of Incorporation and Bylaws, in each case, as amended through the date hereof. The Articles of Incorporation and Bylaws are in full force and effect, and the Company is not in material violation of any of their provisions.</w:t>
      </w:r>
      <w:r>
        <w:rPr>
          <w:color w:val="000000"/>
        </w:rPr>
        <w:t xml:space="preserve"> </w:t>
      </w:r>
    </w:p>
    <w:p>
      <w:pPr>
        <w:pStyle w:val="TextBody"/>
        <w:bidi w:val="0"/>
        <w:spacing w:lineRule="auto" w:line="240" w:before="0" w:after="240"/>
        <w:ind w:left="0" w:right="0" w:firstLine="720"/>
        <w:jc w:val="both"/>
        <w:rPr/>
      </w:pPr>
      <w:bookmarkStart w:id="81" w:name="i01fc1836c0d940e6bd5546a734c10170"/>
      <w:bookmarkEnd w:id="81"/>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Capitalization</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82" w:name="iac899caa5d9044eb8b43d80a9375114f"/>
      <w:bookmarkEnd w:id="82"/>
      <w:r>
        <w:rPr>
          <w:rFonts w:ascii="Times New Roman;serif" w:hAnsi="Times New Roman;serif"/>
          <w:b w:val="false"/>
          <w:color w:val="000000"/>
          <w:sz w:val="24"/>
        </w:rPr>
        <w:t>(i)The entire authorized capital stock of the Company is (A) 500,000,000 shares of common stock, par value $0.01 per share (the “</w:t>
      </w:r>
      <w:r>
        <w:rPr>
          <w:rFonts w:ascii="Times New Roman;serif" w:hAnsi="Times New Roman;serif"/>
          <w:b w:val="false"/>
          <w:color w:val="000000"/>
          <w:sz w:val="24"/>
          <w:u w:val="single"/>
        </w:rPr>
        <w:t>Company Common Stock</w:t>
      </w:r>
      <w:r>
        <w:rPr>
          <w:color w:val="000000"/>
        </w:rPr>
        <w:t>”</w:t>
      </w:r>
      <w:r>
        <w:rPr>
          <w:rFonts w:ascii="Times New Roman;serif" w:hAnsi="Times New Roman;serif"/>
          <w:b w:val="false"/>
          <w:color w:val="000000"/>
          <w:sz w:val="24"/>
        </w:rPr>
        <w:t>); and (B) 100,000,000 shares of preferred stock, par value $0.01 per share (the “</w:t>
      </w:r>
      <w:r>
        <w:rPr>
          <w:rFonts w:ascii="Times New Roman;serif" w:hAnsi="Times New Roman;serif"/>
          <w:b w:val="false"/>
          <w:color w:val="000000"/>
          <w:sz w:val="24"/>
          <w:u w:val="single"/>
        </w:rPr>
        <w:t>Company Preferred Stock</w:t>
      </w:r>
      <w:r>
        <w:rPr>
          <w:color w:val="000000"/>
        </w:rPr>
        <w:t>”</w:t>
      </w:r>
      <w:r>
        <w:rPr>
          <w:rFonts w:ascii="Times New Roman;serif" w:hAnsi="Times New Roman;serif"/>
          <w:b w:val="false"/>
          <w:color w:val="000000"/>
          <w:sz w:val="24"/>
        </w:rPr>
        <w:t xml:space="preserve">), of which (1) 3,800,000 shares are designated as Company Series A Preferred Stock, and (2) 2,070,000 shares are designated as Company Series B Preferred Stock. </w:t>
      </w:r>
    </w:p>
    <w:p>
      <w:pPr>
        <w:pStyle w:val="TextBody"/>
        <w:bidi w:val="0"/>
        <w:spacing w:lineRule="auto" w:line="240" w:before="0" w:after="240"/>
        <w:ind w:left="0" w:right="0" w:firstLine="720"/>
        <w:jc w:val="both"/>
        <w:rPr/>
      </w:pPr>
      <w:bookmarkStart w:id="83" w:name="i48acabe3b3d142dc8b38a190060cfbae"/>
      <w:bookmarkEnd w:id="83"/>
      <w:r>
        <w:rPr>
          <w:rFonts w:ascii="Times New Roman;serif" w:hAnsi="Times New Roman;serif"/>
          <w:b w:val="false"/>
          <w:color w:val="000000"/>
          <w:sz w:val="24"/>
        </w:rPr>
        <w:t>(ii)As of August 7, 2026 (the “</w:t>
      </w:r>
      <w:r>
        <w:rPr>
          <w:rFonts w:ascii="Times New Roman;serif" w:hAnsi="Times New Roman;serif"/>
          <w:b w:val="false"/>
          <w:color w:val="000000"/>
          <w:sz w:val="24"/>
          <w:u w:val="single"/>
        </w:rPr>
        <w:t>Capitalization Date</w:t>
      </w:r>
      <w:r>
        <w:rPr>
          <w:color w:val="000000"/>
        </w:rPr>
        <w:t>”</w:t>
      </w:r>
      <w:r>
        <w:rPr>
          <w:rFonts w:ascii="Times New Roman;serif" w:hAnsi="Times New Roman;serif"/>
          <w:b w:val="false"/>
          <w:color w:val="000000"/>
          <w:sz w:val="24"/>
        </w:rPr>
        <w:t xml:space="preserve">), there were (A) 36,947,394 shares of Company Common Stock (including 168,068 shares of Company Common Stock subject to outstanding Company Restricted Stock Awards) issued and outstanding; (B) 2,781,635 shares of Company Series A Preferred Stock issued and outstanding; (C) 1,604,103 shares of Company Series B Preferred Stock issued and outstanding; (D) 1,435,360 shares of Company Common Stock reserved for issuance and available for future grants or awards under the Company Equity Plans; (E) 436,654 shares of Company Common Stock reserved for issuance subject to outstanding Company RSU Awards; (F) 531,712 shares of Company Common Stock reserved for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60705"/>
                <wp:effectExtent l="0" t="0" r="0" b="0"/>
                <wp:wrapNone/>
                <wp:docPr id="45" name="Frame4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issuance subject to outstanding Company LTIP Units; (G) 358,527 shares of Company Common Stock reserved for issuance subject to outstanding Company PSU Awards (assuming 100% of the Performance Payout Percentage); and (H) no other shares of capital stock or other voting securities of the Company issued, reserved for issuance or outstanding. From the Capitalization Date through the date of this Agreement, the Company has not issued any shares of Company Common Stock or any other shares of capital stock or securities convertible or exchangeable into, or exercisable for, any shares of capital stock of the Company or any of its Subsidiaries. All of the outstanding shares of Company Common Stock and Company Preferred Stock are, and all shares of Company Common Stock and Company Preferred Stock that may be issued prior to the Company Merger Effective Time will be, duly authorized, validly issued, fully paid and nonassessable. No shares of Company Common Stock or Company Preferred Stock are subject to or were issued in violation of applicable Law or the Organizational Documents of the Company or the preemptive rights of any stockholder or any purchase option, call option, right of first refusal, subscription right or any similar right under any provision of the MGCL, other applicable Laws, the Articles of Incorporation or Bylaws or any Contract to which the Company is a party or otherwise bound.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84" w:name="id6a3c15fa6314f5d96b308b11e464411"/>
      <w:bookmarkEnd w:id="84"/>
      <w:r>
        <w:rPr>
          <w:rFonts w:ascii="Times New Roman;serif" w:hAnsi="Times New Roman;serif"/>
          <w:b w:val="false"/>
          <w:color w:val="000000"/>
          <w:sz w:val="24"/>
        </w:rPr>
        <w:t>(iii)The Company is the sole general partner of the Company Operating Partnership. As of the Capitalization Date: (A) 36,947,394 Company Common Units were issued and outstanding, all of which are held by the Company; (B) 4,385,738 Company Preferred Units were issued and outstanding, of which (1) 2,781,635 Company Series A Preferred Units were issued and outstanding and all of which are held by the Company, and (2) 1,604,103 Company Series B Preferred Units were issued and outstanding and all of which are held by the Company; (C) 531,712 Company LTIP Units were issued and outstanding; and (D) no other Company Partnership Units or other securities of the Company Operating Partnership were issued, reserved for issuance or outstanding. From the Capitalization Date through the date of this Agreement, the Company Operating Partnership has not issued any Company Partnership Units or any other shares of securities convertible or exchangeable into, or exercisable for, any Company Partnership Units or any securities of the Company or any of its other Subsidiaries. All of the outstanding Company Partnership Units are, and all Company Partnership Units that may be issued prior to the Partnership Merger Effective Time will be, duly authorized, validly issued, fully paid and nonassessable. No Company Partnership Units were subject to or were issued in violation of applicable Law or the preemptive rights of any holder thereof or any purchase option, call option, right of first refusal, subscription right or any similar right under any provision of the DRULPA, other applicable Laws, the certificate of limited partnership of the Company Operating Partnership or the Company Operating Partnership Agreement or any Contract to which the Company Operating Partnership is a party or otherwise bound.</w:t>
      </w:r>
    </w:p>
    <w:p>
      <w:pPr>
        <w:pStyle w:val="TextBody"/>
        <w:bidi w:val="0"/>
        <w:spacing w:lineRule="auto" w:line="240" w:before="0" w:after="240"/>
        <w:ind w:left="0" w:right="0" w:firstLine="720"/>
        <w:jc w:val="both"/>
        <w:rPr/>
      </w:pPr>
      <w:bookmarkStart w:id="85" w:name="ifaa3c7d386cb4be3992f33e7e36ed4fd"/>
      <w:bookmarkEnd w:id="85"/>
      <w:r>
        <w:rPr>
          <w:rFonts w:ascii="Times New Roman;serif" w:hAnsi="Times New Roman;serif"/>
          <w:b w:val="false"/>
          <w:color w:val="000000"/>
          <w:sz w:val="24"/>
        </w:rPr>
        <w:t xml:space="preserve">(iv)Except as set forth in </w:t>
      </w:r>
      <w:r>
        <w:rPr>
          <w:rFonts w:ascii="Times New Roman;serif" w:hAnsi="Times New Roman;serif"/>
          <w:b w:val="false"/>
          <w:color w:val="000000"/>
          <w:sz w:val="24"/>
          <w:u w:val="single"/>
        </w:rPr>
        <w:t>Section 4.1(d)(ii)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4.1(d)(iii)</w:t>
      </w:r>
      <w:r>
        <w:rPr>
          <w:rFonts w:ascii="Times New Roman;serif" w:hAnsi="Times New Roman;serif"/>
          <w:b w:val="false"/>
          <w:color w:val="000000"/>
          <w:sz w:val="24"/>
        </w:rPr>
        <w:t xml:space="preserve">, as of the Capitalization Date, there are no: (A) issued and </w:t>
      </w:r>
      <w:r>
        <w:rPr>
          <w:rFonts w:ascii="Times New Roman;serif" w:hAnsi="Times New Roman;serif"/>
          <w:b w:val="false"/>
          <w:color w:val="000000"/>
          <w:sz w:val="24"/>
          <w:shd w:fill="FFFFFF" w:val="clear"/>
        </w:rPr>
        <w:t>outstanding</w:t>
      </w:r>
      <w:r>
        <w:rPr>
          <w:color w:val="000000"/>
        </w:rPr>
        <w:t xml:space="preserve"> </w:t>
      </w:r>
      <w:r>
        <w:rPr>
          <w:rFonts w:ascii="Times New Roman;serif" w:hAnsi="Times New Roman;serif"/>
          <w:b w:val="false"/>
          <w:color w:val="000000"/>
          <w:sz w:val="24"/>
        </w:rPr>
        <w:t xml:space="preserve">shares of capital stock of or other voting or equity interests in the Company or any of its Subsidiaries; (B) securities of the Company or any of its Subsidiaries convertible into or exercisable or exchangeable for shares of capital stock of or other voting or equity interests in the Company or any of its Subsidiaries; (C) options, warrants, calls or other rights or agreements to acquire from the Company or any of its Subsidiaries, or other obligation of the Company or its Subsidiaries to issue, deliver, transfer or sell, or cause to be issued, delivered, transferred or sold, any shares of capital stock of or other voting or equity interests in the Company or any of its Subsidiaries or securities convertible into or exercisable or exchangeable for shares of capital stock of or other voting or equity interests in the Company or any of its Subsidiaries; (D) voting trusts, proxies or other similar agreements to which the Company or any of its Subsidiaries (including the Company Operating Partnership) is a party or by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60705"/>
                <wp:effectExtent l="0" t="0" r="0" b="0"/>
                <wp:wrapNone/>
                <wp:docPr id="46" name="Frame4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which the Company or any of its Subsidiaries (including the Company Operating Partnership) is bound with respect to the voting of any shares of capital stock of or other voting or equity interests in the Company or any of its Subsidiaries (including the Company Operating Partnership); or (E) obligations requiring the registration under applicable Laws for sale of any shares of capital stock of or other voting or equity interests in the Company or any of its Subsidiaries (including the Company Operating Partnership) (the items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being referred to collectively as the “</w:t>
      </w:r>
      <w:r>
        <w:rPr>
          <w:rFonts w:ascii="Times New Roman;serif" w:hAnsi="Times New Roman;serif"/>
          <w:b w:val="false"/>
          <w:color w:val="000000"/>
          <w:sz w:val="24"/>
          <w:u w:val="single"/>
        </w:rPr>
        <w:t>Company Securities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86" w:name="i63838b50417844b288600dc00887f2d1"/>
      <w:bookmarkEnd w:id="86"/>
      <w:r>
        <w:rPr>
          <w:rFonts w:ascii="Times New Roman;serif" w:hAnsi="Times New Roman;serif"/>
          <w:b w:val="false"/>
          <w:color w:val="000000"/>
          <w:sz w:val="24"/>
        </w:rPr>
        <w:t>(v)As of the date hereof, there are no outstanding obligations or authorizations of the Company or any of its Subsidiaries (including the Company Operating Partnership) to repurchase, redeem or otherwise acquire any Company Securities (other than (A) issuances in connection with the purchase, vesting or settlement of Company Equity Awards outstanding as of the Capitalization Date in accordance with their terms, or (B) as set forth in the Articles of Incorporation with respect to the Series A Articles Supplementary and the Series B Articles Supplementary, or the Company Operating Partnership Agreement). No Subsidiary of the Company owns any shares of capital stock of or other equity interests in the Company.</w:t>
      </w:r>
    </w:p>
    <w:p>
      <w:pPr>
        <w:pStyle w:val="TextBody"/>
        <w:bidi w:val="0"/>
        <w:spacing w:lineRule="auto" w:line="240" w:before="0" w:after="240"/>
        <w:ind w:left="0" w:right="0" w:firstLine="720"/>
        <w:jc w:val="both"/>
        <w:rPr/>
      </w:pPr>
      <w:bookmarkStart w:id="87" w:name="i72d2fd39778e4c908509c11df9a6a38c"/>
      <w:bookmarkEnd w:id="87"/>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Except as set forth in </w:t>
      </w:r>
      <w:r>
        <w:rPr>
          <w:rFonts w:ascii="Times New Roman;serif" w:hAnsi="Times New Roman;serif"/>
          <w:b w:val="false"/>
          <w:color w:val="000000"/>
          <w:sz w:val="24"/>
          <w:u w:val="single"/>
          <w:shd w:fill="FFFFFF" w:val="clear"/>
        </w:rPr>
        <w:t>Section 4.1(e)</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neither the Company nor any of its Subsidiaries (including the Company Operating Partnership) has outstanding bonds, debentures, notes or other indebtedness for borrowed money, or, other than as referred to in </w:t>
      </w:r>
      <w:r>
        <w:rPr>
          <w:rFonts w:ascii="Times New Roman;serif" w:hAnsi="Times New Roman;serif"/>
          <w:b w:val="false"/>
          <w:color w:val="000000"/>
          <w:sz w:val="24"/>
          <w:u w:val="single"/>
          <w:shd w:fill="FFFFFF" w:val="clear"/>
        </w:rPr>
        <w:t>Section 4.1(d)</w:t>
      </w:r>
      <w:r>
        <w:rPr>
          <w:color w:val="000000"/>
          <w:shd w:fill="FFFFFF" w:val="clear"/>
        </w:rPr>
        <w:t xml:space="preserve"> </w:t>
      </w:r>
      <w:r>
        <w:rPr>
          <w:rFonts w:ascii="Times New Roman;serif" w:hAnsi="Times New Roman;serif"/>
          <w:b w:val="false"/>
          <w:color w:val="000000"/>
          <w:sz w:val="24"/>
          <w:shd w:fill="FFFFFF" w:val="clear"/>
        </w:rPr>
        <w:t>of the Company Disclosure Letter, other securities, the holders of which have the right to vote (or which are convertible into or exercisable for securities having the right to vote) with the stockholders of the Company on any matter. The Company does not have in effect any “poison pill,” stockholder rights plan or similar anti-takeover agreement or plan.</w:t>
      </w:r>
    </w:p>
    <w:p>
      <w:pPr>
        <w:pStyle w:val="TextBody"/>
        <w:bidi w:val="0"/>
        <w:spacing w:lineRule="auto" w:line="240" w:before="0" w:after="240"/>
        <w:ind w:left="0" w:right="0" w:firstLine="720"/>
        <w:jc w:val="both"/>
        <w:rPr/>
      </w:pPr>
      <w:bookmarkStart w:id="88" w:name="i1238b50c35e44b9098420a15f8748d47"/>
      <w:bookmarkEnd w:id="88"/>
      <w:r>
        <w:rPr>
          <w:rFonts w:ascii="Times New Roman;serif" w:hAnsi="Times New Roman;serif"/>
          <w:b w:val="false"/>
          <w:color w:val="000000"/>
          <w:sz w:val="24"/>
        </w:rPr>
        <w:t>(f)</w:t>
      </w:r>
      <w:r>
        <w:rPr>
          <w:rFonts w:ascii="Times New Roman;serif" w:hAnsi="Times New Roman;serif"/>
          <w:b w:val="false"/>
          <w:color w:val="000000"/>
          <w:sz w:val="24"/>
          <w:shd w:fill="FFFFFF" w:val="clear"/>
        </w:rPr>
        <w:t>All dividends or other distributions, including dividend equivalent rights, on capital stock of or other voting or equity interests in the Company or any of its Subsidiaries which have been authorized or declared prior to the date hereof, or, in the case of dividend equivalent rights, earned, have been paid in full (except to the extent such dividends have been declared and are not yet due and payable or, with respect to the Company Equity Awards, have been accrued on the most recent balance sheet of the Company filed with the SEC prior to the date hereof and are not yet due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89" w:name="ie9e259448e5c4634882f939f9c0227d9"/>
      <w:bookmarkEnd w:id="89"/>
      <w:r>
        <w:rPr>
          <w:rFonts w:ascii="Times New Roman;serif" w:hAnsi="Times New Roman;serif"/>
          <w:b w:val="false"/>
          <w:color w:val="000000"/>
          <w:sz w:val="24"/>
        </w:rPr>
        <w:t>4.2.</w:t>
      </w:r>
      <w:r>
        <w:rPr>
          <w:rFonts w:ascii="Times New Roman;serif" w:hAnsi="Times New Roman;serif"/>
          <w:b w:val="false"/>
          <w:color w:val="000000"/>
          <w:sz w:val="24"/>
          <w:u w:val="single"/>
          <w:shd w:fill="FFFFFF" w:val="clear"/>
        </w:rPr>
        <w:t>Due Authorization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90" w:name="i9e729913fb514eadaba4d350455a046c"/>
      <w:bookmarkEnd w:id="90"/>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the Company and the Company Operating Partnership has all requisite corporate or partnership power and authority to execute and deliver this Agreement, to perform its obligations hereunder and, subject to the filings under </w:t>
      </w:r>
      <w:r>
        <w:rPr>
          <w:rFonts w:ascii="Times New Roman;serif" w:hAnsi="Times New Roman;serif"/>
          <w:b w:val="false"/>
          <w:color w:val="000000"/>
          <w:sz w:val="24"/>
          <w:u w:val="single"/>
          <w:shd w:fill="FFFFFF" w:val="clear"/>
        </w:rPr>
        <w:t>Section 2.3</w:t>
      </w:r>
      <w:r>
        <w:rPr>
          <w:rFonts w:ascii="Times New Roman;serif" w:hAnsi="Times New Roman;serif"/>
          <w:b w:val="false"/>
          <w:color w:val="000000"/>
          <w:sz w:val="24"/>
          <w:shd w:fill="FFFFFF" w:val="clear"/>
        </w:rPr>
        <w:t xml:space="preserve">, to consummate the Transactions, and except, in the case of consummating the Company Merger, for obtaining the Company Stockholder Approval, no other corporate actions or proceedings on the part of the Company or its stockholders shall be necessary to authorize this Agreement and the Transactions. The execution, delivery and performance by the Company and the Company Operating Partnership of this Agreement, and, assuming the representations and warranties set forth in </w:t>
      </w:r>
      <w:r>
        <w:rPr>
          <w:rFonts w:ascii="Times New Roman;serif" w:hAnsi="Times New Roman;serif"/>
          <w:b w:val="false"/>
          <w:color w:val="000000"/>
          <w:sz w:val="24"/>
          <w:u w:val="single"/>
          <w:shd w:fill="FFFFFF" w:val="clear"/>
        </w:rPr>
        <w:t>Section 5.14</w:t>
      </w:r>
      <w:r>
        <w:rPr>
          <w:color w:val="000000"/>
          <w:shd w:fill="FFFFFF" w:val="clear"/>
        </w:rPr>
        <w:t xml:space="preserve"> </w:t>
      </w:r>
      <w:r>
        <w:rPr>
          <w:rFonts w:ascii="Times New Roman;serif" w:hAnsi="Times New Roman;serif"/>
          <w:b w:val="false"/>
          <w:color w:val="000000"/>
          <w:sz w:val="24"/>
          <w:shd w:fill="FFFFFF" w:val="clear"/>
        </w:rPr>
        <w:t xml:space="preserve">are true and correct, the consummation by them of the Mergers, have been duly authorized by (i) the Company Board and, except for (A) the filing of the Partnership Certificate of Merger with the Delaware Secretary pursuant to the DRULPA and the Partnership Articles of Merger with the Maryland Department pursuant to the MGCL and (B) the filing the Certificate of Merger with the Delaware Secretary pursuant to the DLLCA and the Articles of Merger with the Maryland Department pursuant to the MGCL, no other corporate action on the part of the Company is necessary to authorize the execution, delivery and performance by the Company of this Agreement and the Transactions and (ii) the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60705"/>
                <wp:effectExtent l="0" t="0" r="0" b="0"/>
                <wp:wrapNone/>
                <wp:docPr id="47" name="Frame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acting in its capacity as the general partner of the Company Operating Partnership, and except for the filing of the Partnership Certificate of Merger with the Delaware Secretary pursuant to the DRULPA and the Partnership Articles of Merger with the Maryland Department pursuant to the MGCL, no other corporate action on the part of the Company or the Company Operating Partnership is necessary to authorize the execution, delivery and performance by the Company Operating Partnership of this Agreement and the Transactions.</w:t>
      </w:r>
    </w:p>
    <w:p>
      <w:pPr>
        <w:pStyle w:val="TextBody"/>
        <w:bidi w:val="0"/>
        <w:spacing w:lineRule="auto" w:line="240" w:before="0" w:after="240"/>
        <w:ind w:left="0" w:right="0" w:firstLine="720"/>
        <w:jc w:val="both"/>
        <w:rPr/>
      </w:pPr>
      <w:bookmarkStart w:id="91" w:name="i4993d15d39f94082a8e9a205aee12cb0"/>
      <w:bookmarkEnd w:id="91"/>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Board has unanimously (i) determined that this Agreement and the Transactions, including the Mergers, are advisable, fair to and in the best interests of the Company and the Company’s stockholders; (ii) adopted this Agreement and approved the Transactions, including the Mergers; (iii) directed that this Agreement and the Company Merger be submitted for consideration at the Company Stockholders Meeting; and (iv) resolved, subject to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to recommend that the Company’s stockholders approve this Agreement and the Transactions (the “</w:t>
      </w:r>
      <w:r>
        <w:rPr>
          <w:rFonts w:ascii="Times New Roman;serif" w:hAnsi="Times New Roman;serif"/>
          <w:b w:val="false"/>
          <w:color w:val="000000"/>
          <w:sz w:val="24"/>
          <w:u w:val="single"/>
          <w:shd w:fill="FFFFFF" w:val="clear"/>
        </w:rPr>
        <w:t>Company Recommendation</w:t>
      </w:r>
      <w:r>
        <w:rPr>
          <w:color w:val="000000"/>
          <w:shd w:fill="FFFFFF" w:val="clear"/>
        </w:rPr>
        <w:t>”</w:t>
      </w:r>
      <w:r>
        <w:rPr>
          <w:rFonts w:ascii="Times New Roman;serif" w:hAnsi="Times New Roman;serif"/>
          <w:b w:val="false"/>
          <w:color w:val="000000"/>
          <w:sz w:val="24"/>
          <w:shd w:fill="FFFFFF" w:val="clear"/>
        </w:rPr>
        <w:t>) on the terms and subject to the conditions of this Agreement. The Company Stockholder Approval is the only vote of holders of securities of the Company that is required to adopt this Agreement and approve the Mergers and the other Transactions.</w:t>
      </w:r>
      <w:r>
        <w:rPr>
          <w:color w:val="000000"/>
        </w:rPr>
        <w:t xml:space="preserve"> </w:t>
      </w:r>
    </w:p>
    <w:p>
      <w:pPr>
        <w:pStyle w:val="TextBody"/>
        <w:bidi w:val="0"/>
        <w:spacing w:lineRule="auto" w:line="240" w:before="0" w:after="240"/>
        <w:ind w:left="0" w:right="0" w:firstLine="720"/>
        <w:jc w:val="both"/>
        <w:rPr/>
      </w:pPr>
      <w:bookmarkStart w:id="92" w:name="i3f4affa76d7340b187dc333b75fdfcea"/>
      <w:bookmarkEnd w:id="92"/>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and the Company Operating Partnership have each duly and validly executed and delivered this Agreement. Assuming the due authorization, execution and delivery hereof by Parent, Merger Sub and Parent Manager, this Agreement constitutes a legal, valid and binding obligation of the Company and the Company Operating Partnership enforceable against the Company and Company Operating Partnership in accordance with its terms, except as such enforceability may be limited by applicable bankruptcy, insolvency, fraudulent conveyance, moratorium, reorganization or similar Laws now or hereafter in effect which affect the enforcement of creditors’ rights generally and by rules of Law governing specific performance, injunctive relief and equitable principles (the “</w:t>
      </w:r>
      <w:r>
        <w:rPr>
          <w:rFonts w:ascii="Times New Roman;serif" w:hAnsi="Times New Roman;serif"/>
          <w:b w:val="false"/>
          <w:color w:val="000000"/>
          <w:sz w:val="24"/>
          <w:u w:val="single"/>
          <w:shd w:fill="FFFFFF" w:val="clear"/>
        </w:rPr>
        <w:t>Enforceability Exceptions</w:t>
      </w:r>
      <w:r>
        <w:rPr>
          <w:color w:val="000000"/>
          <w:shd w:fill="FFFFFF" w:val="clear"/>
        </w:rPr>
        <w:t>”</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93" w:name="i2e4fd929dccc4eebb056e2b5d4e06343"/>
      <w:bookmarkEnd w:id="93"/>
      <w:r>
        <w:rPr>
          <w:rFonts w:ascii="Times New Roman;serif" w:hAnsi="Times New Roman;serif"/>
          <w:b w:val="false"/>
          <w:color w:val="000000"/>
          <w:sz w:val="24"/>
        </w:rPr>
        <w:t>(d)</w:t>
      </w:r>
      <w:r>
        <w:rPr>
          <w:rFonts w:ascii="Times New Roman;serif" w:hAnsi="Times New Roman;serif"/>
          <w:b w:val="false"/>
          <w:color w:val="000000"/>
          <w:sz w:val="24"/>
          <w:shd w:fill="FFFFFF" w:val="clear"/>
        </w:rPr>
        <w:t>Prior to the execution of this Agreement, the Company and the Company Board have taken all actions necessary to exempt under or make not subject to (i) any applicable Takeover Law or (ii) any provision of the Organizational Documents of the Company and its Subsidiaries (including the Company Operating Partnership) that would require any corporate approval other than that otherwise required by the MGCL or other applicable state Law, each of the execution of this Agreement and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94" w:name="i94d457b1f699472da193b5cbc4d51035"/>
      <w:bookmarkEnd w:id="94"/>
      <w:r>
        <w:rPr>
          <w:rFonts w:ascii="Times New Roman;serif" w:hAnsi="Times New Roman;serif"/>
          <w:b w:val="false"/>
          <w:color w:val="000000"/>
          <w:sz w:val="24"/>
        </w:rPr>
        <w:t>4.3.</w:t>
      </w:r>
      <w:r>
        <w:rPr>
          <w:rFonts w:ascii="Times New Roman;serif" w:hAnsi="Times New Roman;serif"/>
          <w:b w:val="false"/>
          <w:color w:val="000000"/>
          <w:sz w:val="24"/>
          <w:u w:val="single"/>
          <w:shd w:fill="FFFFFF" w:val="clear"/>
        </w:rPr>
        <w:t>Consents and Approvals; No Violations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95" w:name="i1b82494e83694ecba063b476222ac8e4"/>
      <w:bookmarkEnd w:id="95"/>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execution and delivery of this Agreement does not, and the consummation of the Transactions will not (with or without notice or lapse of time, or both) </w:t>
      </w:r>
      <w:r>
        <w:rPr>
          <w:rFonts w:ascii="Times New Roman;serif" w:hAnsi="Times New Roman;serif"/>
          <w:b w:val="false"/>
          <w:color w:val="000000"/>
          <w:sz w:val="24"/>
        </w:rPr>
        <w:t>(i)</w:t>
      </w:r>
      <w:bookmarkStart w:id="96" w:name="i94a8a8f322b94e68967d88e4cc3e62f2"/>
      <w:bookmarkEnd w:id="96"/>
      <w:r>
        <w:rPr>
          <w:color w:val="000000"/>
          <w:shd w:fill="FFFFFF" w:val="clear"/>
        </w:rPr>
        <w:t xml:space="preserve"> </w:t>
      </w:r>
      <w:r>
        <w:rPr>
          <w:rFonts w:ascii="Times New Roman;serif" w:hAnsi="Times New Roman;serif"/>
          <w:b w:val="false"/>
          <w:color w:val="000000"/>
          <w:sz w:val="24"/>
          <w:shd w:fill="FFFFFF" w:val="clear"/>
        </w:rPr>
        <w:t>assuming that the Company Merger and this Agreement are approved by the affirmative vote of the holders of a majority of the outstanding shares of Company Common Stock entitled to vote on such matters (the “</w:t>
      </w:r>
      <w:r>
        <w:rPr>
          <w:rFonts w:ascii="Times New Roman;serif" w:hAnsi="Times New Roman;serif"/>
          <w:b w:val="false"/>
          <w:color w:val="000000"/>
          <w:sz w:val="24"/>
          <w:u w:val="single"/>
          <w:shd w:fill="FFFFFF" w:val="clear"/>
        </w:rPr>
        <w:t>Company Stockholder Approval</w:t>
      </w:r>
      <w:r>
        <w:rPr>
          <w:color w:val="000000"/>
          <w:shd w:fill="FFFFFF" w:val="clear"/>
        </w:rPr>
        <w:t>”</w:t>
      </w:r>
      <w:r>
        <w:rPr>
          <w:rFonts w:ascii="Times New Roman;serif" w:hAnsi="Times New Roman;serif"/>
          <w:b w:val="false"/>
          <w:color w:val="000000"/>
          <w:sz w:val="24"/>
          <w:shd w:fill="FFFFFF" w:val="clear"/>
        </w:rPr>
        <w:t xml:space="preserve">) at the Company Stockholders Meeting, contravene, conflict with or result in a violation of any provision of the Organizational Documents of the Company or its Subsidiaries, (ii) result in a violation of, or default under, or acceleration of any material obligation or the loss of a material benefit under, or result in the creation of any Liens (other than Company Permitted Liens) upon any of the properties or assets of the Company or any of its Subsidiaries under, any provision of any Company Material Contract, or (iii) assuming the approvals, consents, clearances, waivers or authorizations referred to in </w:t>
      </w:r>
      <w:r>
        <w:rPr>
          <w:rFonts w:ascii="Times New Roman;serif" w:hAnsi="Times New Roman;serif"/>
          <w:b w:val="false"/>
          <w:color w:val="000000"/>
          <w:sz w:val="24"/>
          <w:u w:val="single"/>
          <w:shd w:fill="FFFFFF" w:val="clear"/>
        </w:rPr>
        <w:t>Section 4.3(b)</w:t>
      </w:r>
      <w:r>
        <w:rPr>
          <w:color w:val="000000"/>
          <w:shd w:fill="FFFFFF" w:val="clear"/>
        </w:rPr>
        <w:t xml:space="preserve"> </w:t>
      </w:r>
      <w:r>
        <w:rPr>
          <w:rFonts w:ascii="Times New Roman;serif" w:hAnsi="Times New Roman;serif"/>
          <w:b w:val="false"/>
          <w:color w:val="000000"/>
          <w:sz w:val="24"/>
          <w:shd w:fill="FFFFFF" w:val="clear"/>
        </w:rPr>
        <w:t xml:space="preserve">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any such contraventions, conflicts, violations, defaults,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60705"/>
                <wp:effectExtent l="0" t="0" r="0" b="0"/>
                <wp:wrapNone/>
                <wp:docPr id="48" name="Frame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acceleration, losses or Liens that would not reasonably be expected to have, individually or in the aggregate, a Company Material Adverse Effect.</w:t>
      </w:r>
    </w:p>
    <w:p>
      <w:pPr>
        <w:pStyle w:val="TextBody"/>
        <w:bidi w:val="0"/>
        <w:spacing w:lineRule="auto" w:line="240" w:before="0" w:after="240"/>
        <w:ind w:left="0" w:right="0" w:firstLine="720"/>
        <w:jc w:val="both"/>
        <w:rPr/>
      </w:pPr>
      <w:bookmarkStart w:id="97" w:name="iee158154b8744c7f916844bdd27142b4"/>
      <w:bookmarkEnd w:id="97"/>
      <w:r>
        <w:rPr>
          <w:rFonts w:ascii="Times New Roman;serif" w:hAnsi="Times New Roman;serif"/>
          <w:b w:val="false"/>
          <w:color w:val="000000"/>
          <w:sz w:val="24"/>
        </w:rPr>
        <w:t>(b)</w:t>
      </w:r>
      <w:r>
        <w:rPr>
          <w:rFonts w:ascii="Times New Roman;serif" w:hAnsi="Times New Roman;serif"/>
          <w:b w:val="false"/>
          <w:color w:val="000000"/>
          <w:sz w:val="24"/>
          <w:shd w:fill="FFFFFF" w:val="clear"/>
        </w:rPr>
        <w:t>No approval, consent, clearance, waiver or authorization from any Governmental Authority is required to be obtained or made by the Company or any of its Subsidiaries in connection with the execution and delivery of this Agreement by the Company or the Company Operating Partnership or the consummation by the Company and the Company Operating Partnership of the Transactions, except for: (i) the filing with the SEC of (A) the Proxy Statement/Prospectus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98" w:name="ibb72e07be4074af18244e4c283074f9f"/>
      <w:bookmarkEnd w:id="98"/>
      <w:r>
        <w:rPr>
          <w:rFonts w:ascii="Times New Roman;serif" w:hAnsi="Times New Roman;serif"/>
          <w:b w:val="false"/>
          <w:color w:val="000000"/>
          <w:sz w:val="24"/>
        </w:rPr>
        <w:t>4.4.</w:t>
      </w:r>
      <w:r>
        <w:rPr>
          <w:rFonts w:ascii="Times New Roman;serif" w:hAnsi="Times New Roman;serif"/>
          <w:b w:val="false"/>
          <w:color w:val="000000"/>
          <w:sz w:val="24"/>
          <w:u w:val="single"/>
          <w:shd w:fill="FFFFFF" w:val="clear"/>
        </w:rPr>
        <w:t>Financial Statements; Internal Controls and Procedures; Investment Company Act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99" w:name="i5b8956dd51e74fec825c5902cc891555"/>
      <w:bookmarkEnd w:id="99"/>
      <w:r>
        <w:rPr>
          <w:rFonts w:ascii="Times New Roman;serif" w:hAnsi="Times New Roman;serif"/>
          <w:b w:val="false"/>
          <w:color w:val="000000"/>
          <w:sz w:val="24"/>
        </w:rPr>
        <w:t>(a)</w:t>
      </w:r>
      <w:r>
        <w:rPr>
          <w:rFonts w:ascii="Times New Roman;serif" w:hAnsi="Times New Roman;serif"/>
          <w:b w:val="false"/>
          <w:color w:val="000000"/>
          <w:sz w:val="24"/>
          <w:shd w:fill="FFFFFF" w:val="clear"/>
        </w:rPr>
        <w:t>Since December 31, 2024, the Company has filed or furnished with the SEC all forms, reports, schedules and statements required to be filed or furnished by the Company under the Securities Act or the Exchange Act, respectively (such forms, reports, schedules and statements, as amended, collectively, the “</w:t>
      </w:r>
      <w:r>
        <w:rPr>
          <w:rFonts w:ascii="Times New Roman;serif" w:hAnsi="Times New Roman;serif"/>
          <w:b w:val="false"/>
          <w:color w:val="000000"/>
          <w:sz w:val="24"/>
          <w:u w:val="single"/>
          <w:shd w:fill="FFFFFF" w:val="clear"/>
        </w:rPr>
        <w:t>Company SEC Documents</w:t>
      </w:r>
      <w:r>
        <w:rPr>
          <w:color w:val="000000"/>
          <w:shd w:fill="FFFFFF" w:val="clear"/>
        </w:rPr>
        <w:t>”</w:t>
      </w:r>
      <w:r>
        <w:rPr>
          <w:rFonts w:ascii="Times New Roman;serif" w:hAnsi="Times New Roman;serif"/>
          <w:b w:val="false"/>
          <w:color w:val="000000"/>
          <w:sz w:val="24"/>
          <w:shd w:fill="FFFFFF" w:val="clear"/>
        </w:rPr>
        <w:t>). As of their respective filing dates, or, if amended prior to the date hereof, as of the date of (and giving effect to) the last such amendment made prior to the date hereof,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bookmarkStart w:id="100" w:name="i86a29d9c05bc4b05a06a12cb38034aeb"/>
      <w:bookmarkEnd w:id="100"/>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consolidated audited and unaudited interim financial statements of the Company included or incorporated by reference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the Company and its Subsidiaries (including the Company Operating Partnership), as of the respective dates thereof and for the respective periods indicated therein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60705"/>
                <wp:effectExtent l="0" t="0" r="0" b="0"/>
                <wp:wrapNone/>
                <wp:docPr id="49" name="Frame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(subject, in the case of unaudited interim financial statements, to absence of notes and normal year-end adjustments). To the Knowledge of the Company, as of the date hereof, none of the Company SEC Documents is the subject of ongoing SEC review and the Company does not have outstanding and unresolved comments from the SEC with respect to any of the Company SEC Documents.</w:t>
      </w:r>
      <w:r>
        <w:rPr>
          <w:color w:val="000000"/>
        </w:rPr>
        <w:t xml:space="preserve"> </w:t>
      </w:r>
    </w:p>
    <w:p>
      <w:pPr>
        <w:pStyle w:val="TextBody"/>
        <w:bidi w:val="0"/>
        <w:spacing w:lineRule="auto" w:line="240" w:before="0" w:after="240"/>
        <w:ind w:left="0" w:right="0" w:firstLine="720"/>
        <w:jc w:val="both"/>
        <w:rPr/>
      </w:pPr>
      <w:bookmarkStart w:id="101" w:name="i29e251dc603a4f6a94e3ee271062e470"/>
      <w:bookmarkEnd w:id="101"/>
      <w:r>
        <w:rPr>
          <w:rFonts w:ascii="Times New Roman;serif" w:hAnsi="Times New Roman;serif"/>
          <w:b w:val="false"/>
          <w:color w:val="000000"/>
          <w:sz w:val="24"/>
        </w:rPr>
        <w:t>(c)</w:t>
      </w:r>
      <w:r>
        <w:rPr>
          <w:rFonts w:ascii="Times New Roman;serif" w:hAnsi="Times New Roman;serif"/>
          <w:b w:val="false"/>
          <w:color w:val="000000"/>
          <w:sz w:val="24"/>
          <w:shd w:fill="FFFFFF" w:val="clear"/>
        </w:rPr>
        <w:t>Other than any off-balance sheet arrangements disclosed in the Company SEC Documents filed or furnished prior to the date hereof, neither the Company nor any Subsidiary of the Company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r>
        <w:rPr>
          <w:color w:val="000000"/>
        </w:rPr>
        <w:t xml:space="preserve"> </w:t>
      </w:r>
    </w:p>
    <w:p>
      <w:pPr>
        <w:pStyle w:val="TextBody"/>
        <w:bidi w:val="0"/>
        <w:spacing w:lineRule="auto" w:line="240" w:before="0" w:after="240"/>
        <w:ind w:left="0" w:right="0" w:firstLine="720"/>
        <w:jc w:val="both"/>
        <w:rPr/>
      </w:pPr>
      <w:bookmarkStart w:id="102" w:name="i2cc649cc2d204853adadaf893d2fd343"/>
      <w:bookmarkEnd w:id="102"/>
      <w:r>
        <w:rPr>
          <w:rFonts w:ascii="Times New Roman;serif" w:hAnsi="Times New Roman;serif"/>
          <w:b w:val="false"/>
          <w:color w:val="000000"/>
          <w:sz w:val="24"/>
        </w:rPr>
        <w:t>(d)</w:t>
      </w:r>
      <w:r>
        <w:rPr>
          <w:rFonts w:ascii="Times New Roman;serif" w:hAnsi="Times New Roman;serif"/>
          <w:b w:val="false"/>
          <w:color w:val="000000"/>
          <w:sz w:val="24"/>
          <w:shd w:fill="FFFFFF" w:val="clear"/>
        </w:rPr>
        <w:t>The Company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the Company’s auditors and the Company Board have not been advised of (i) any significant deficiencies or material weaknesses in the design or operation of internal controls over financial reporting that are reasonably likely to adversely affect in any material respect the Company’s ability to record, process, summarize and report financial information or (ii) any fraud, whether or not material, that involves management or other employees who have a significant role in the Company’s internal controls over financial reporting, and, in each case, neither the Company nor any of its Representatives has failed to disclose such information to the Company’s auditors or the Company Board.</w:t>
      </w:r>
    </w:p>
    <w:p>
      <w:pPr>
        <w:pStyle w:val="TextBody"/>
        <w:bidi w:val="0"/>
        <w:spacing w:lineRule="auto" w:line="240" w:before="0" w:after="240"/>
        <w:ind w:left="0" w:right="0" w:firstLine="720"/>
        <w:jc w:val="both"/>
        <w:rPr/>
      </w:pPr>
      <w:bookmarkStart w:id="103" w:name="i86606c8d4df04a5990285b87f443ee1e"/>
      <w:bookmarkEnd w:id="103"/>
      <w:r>
        <w:rPr>
          <w:rFonts w:ascii="Times New Roman;serif" w:hAnsi="Times New Roman;serif"/>
          <w:b w:val="false"/>
          <w:color w:val="000000"/>
          <w:sz w:val="24"/>
        </w:rPr>
        <w:t>(e)</w:t>
      </w:r>
      <w:r>
        <w:rPr>
          <w:rFonts w:ascii="Times New Roman;serif" w:hAnsi="Times New Roman;serif"/>
          <w:b w:val="false"/>
          <w:color w:val="000000"/>
          <w:sz w:val="24"/>
          <w:shd w:fill="FFFFFF" w:val="clear"/>
        </w:rPr>
        <w:t>Neither the Company nor any of the Subsidiaries of the Company (including the Company Operating Partnership) is, or as of immediately prior to the Company Merger Effective Time will be, required to be registered as an investment company under the Investment Company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04" w:name="i228b24f4464d44659ca4a58dc2c3c83b"/>
      <w:bookmarkEnd w:id="104"/>
      <w:r>
        <w:rPr>
          <w:rFonts w:ascii="Times New Roman;serif" w:hAnsi="Times New Roman;serif"/>
          <w:b w:val="false"/>
          <w:color w:val="000000"/>
          <w:sz w:val="24"/>
        </w:rPr>
        <w:t>4.5.</w:t>
      </w:r>
      <w:r>
        <w:rPr>
          <w:rFonts w:ascii="Times New Roman;serif" w:hAnsi="Times New Roman;serif"/>
          <w:b w:val="false"/>
          <w:color w:val="000000"/>
          <w:sz w:val="24"/>
          <w:u w:val="single"/>
          <w:shd w:fill="FFFFFF" w:val="clear"/>
        </w:rPr>
        <w:t>Proxy Statement/Prospectus; Company Information</w:t>
      </w:r>
      <w:r>
        <w:rPr>
          <w:rFonts w:ascii="Times New Roman;serif" w:hAnsi="Times New Roman;serif"/>
          <w:b w:val="false"/>
          <w:color w:val="000000"/>
          <w:sz w:val="24"/>
        </w:rPr>
        <w:t xml:space="preserve">. The Proxy Statement/Prospectus, when filed, distributed or otherwise disseminated to the Company’s stockholders, as applicable, will comply as to form in all material respects with the applicable requirements of the Exchange Act. None of the information supplied or to be supplied by or on behalf of the Company specifically for inclusion or incorporation by reference in the Proxy Statement/Prospectus, at the time it (and any amendment or supplement thereto) is first filed with the SEC, will contain any untrue statement of a material fact or omit to state any material fact required to be stated therein or necessary in order to make the statements made therein, in light of the circumstances under which they were made, not misleading. For the avoidance of doubt, no representation or warranty is made by the Company with respect to (and nothing in this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 xml:space="preserve">shall apply to) statements made or incorporated by reference in the Proxy Statement/Prospectus based on information (i) supplied by or on behalf of Parent, Merger Sub or any of their Affiliates specifically for inclusion or incorporation by reference therein or (ii) not supplied by or on behalf of the Company and not obtained from or incorporated by reference to the Company’s filings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05" w:name="ib686d633d060415cacfa53e64bc01851"/>
      <w:bookmarkEnd w:id="105"/>
      <w:r>
        <w:rPr>
          <w:rFonts w:ascii="Times New Roman;serif" w:hAnsi="Times New Roman;serif"/>
          <w:b w:val="false"/>
          <w:color w:val="000000"/>
          <w:sz w:val="24"/>
        </w:rPr>
        <w:t>4.6.</w:t>
      </w:r>
      <w:r>
        <w:rPr>
          <w:rFonts w:ascii="Times New Roman;serif" w:hAnsi="Times New Roman;serif"/>
          <w:b w:val="false"/>
          <w:color w:val="000000"/>
          <w:sz w:val="24"/>
          <w:u w:val="single"/>
          <w:shd w:fill="FFFFFF" w:val="clear"/>
        </w:rPr>
        <w:t>No Undisclosed Liabilities</w:t>
      </w:r>
      <w:r>
        <w:rPr>
          <w:rFonts w:ascii="Times New Roman;serif" w:hAnsi="Times New Roman;serif"/>
          <w:b w:val="false"/>
          <w:color w:val="000000"/>
          <w:sz w:val="24"/>
        </w:rPr>
        <w:t xml:space="preserve">. There are no Liabilities of the Company or any of its Subsidiaries that would be required to be reflected on a consolidated balance sheet of the Company and its Subsidiaries prepared in accordance with GAAP, except for (a) Liabilities that are reflected or reserved against on the most recent consolidated balance sheet of the Company and its Subsidiaries included in the Company SEC Documents (including any notes thereto) filed or furnished with the SEC prior to the date hereof, (b) Liabilities arising in connection with the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60705"/>
                <wp:effectExtent l="0" t="0" r="0" b="0"/>
                <wp:wrapNone/>
                <wp:docPr id="50" name="Frame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Transactions, (c) Liabilities incurred in the ordinary course of business since January 1, 2026, and (d) Liabilities which have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06" w:name="i8b19522eb4cc40ba882aa9e439e37f83"/>
      <w:bookmarkEnd w:id="106"/>
      <w:r>
        <w:rPr>
          <w:rFonts w:ascii="Times New Roman;serif" w:hAnsi="Times New Roman;serif"/>
          <w:b w:val="false"/>
          <w:color w:val="000000"/>
          <w:sz w:val="24"/>
        </w:rPr>
        <w:t>4.7.</w:t>
      </w:r>
      <w:r>
        <w:rPr>
          <w:rFonts w:ascii="Times New Roman;serif" w:hAnsi="Times New Roman;serif"/>
          <w:b w:val="false"/>
          <w:color w:val="000000"/>
          <w:sz w:val="24"/>
          <w:u w:val="single"/>
          <w:shd w:fill="FFFFFF" w:val="clear"/>
        </w:rPr>
        <w:t>Intellectual Property</w:t>
      </w:r>
      <w:r>
        <w:rPr>
          <w:rFonts w:ascii="Times New Roman;serif" w:hAnsi="Times New Roman;serif"/>
          <w:b w:val="false"/>
          <w:color w:val="000000"/>
          <w:sz w:val="24"/>
        </w:rPr>
        <w:t>. Except as has not had and would not reasonably be expected to have, individually or in the aggregate, a Company Material Adverse Effect, (a) the Company or its Subsidiaries (including the Company Operating Partnership) own or are licensed or otherwise possess valid rights to use all Company Intellectual Property used in the conduct of the business of the Company and its Subsidiaries (including the Company Operating Partnership) as it is currently conducted; (b) to the Knowledge of the Company, the conduct of the business of the Company and its Subsidiaries (including the Company Operating Partnership) as it is currently conducted does not infringe, misappropriate or otherwise violate the Intellectual Property rights of any Person; (c) there are no pending or, to the Knowledge of the Company, threatened claims with respect to any of the Company Intellectual Property rights owned by the Company or any Subsidiary of the Company; and (d) to the Knowledge of the Company, no Person is currently infringing or misappropriating Company Intellectual Property owned by the Company or any Subsidiary of the Company. The Company and its Subsidiaries (including the Company Operating Partnership) have taken reasonable measures to protect the confidentiality of Trade Secrets used in the businesses of each of the Company and its Subsidiaries (including the Company Operating Partnership) as presently conducted, except where failure to do so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07" w:name="i6d60cb8687c4451faa6f75b403136bc0"/>
      <w:bookmarkEnd w:id="107"/>
      <w:r>
        <w:rPr>
          <w:rFonts w:ascii="Times New Roman;serif" w:hAnsi="Times New Roman;serif"/>
          <w:b w:val="false"/>
          <w:color w:val="000000"/>
          <w:sz w:val="24"/>
        </w:rPr>
        <w:t>4.8.</w:t>
      </w:r>
      <w:r>
        <w:rPr>
          <w:rFonts w:ascii="Times New Roman;serif" w:hAnsi="Times New Roman;serif"/>
          <w:b w:val="false"/>
          <w:color w:val="000000"/>
          <w:sz w:val="24"/>
          <w:u w:val="single"/>
          <w:shd w:fill="FFFFFF" w:val="clear"/>
        </w:rPr>
        <w:t>Contracts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108" w:name="ie3161458a8c74224abae40246dbb13e8"/>
      <w:bookmarkEnd w:id="108"/>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Section 4.8(a)</w:t>
      </w:r>
      <w:r>
        <w:rPr>
          <w:color w:val="000000"/>
          <w:shd w:fill="FFFFFF" w:val="clear"/>
        </w:rPr>
        <w:t xml:space="preserve"> </w:t>
      </w:r>
      <w:r>
        <w:rPr>
          <w:rFonts w:ascii="Times New Roman;serif" w:hAnsi="Times New Roman;serif"/>
          <w:b w:val="false"/>
          <w:color w:val="000000"/>
          <w:sz w:val="24"/>
          <w:shd w:fill="FFFFFF" w:val="clear"/>
        </w:rPr>
        <w:t>of the Company Disclosure Letter contains an accurate and complete list, as of the date of this Agreement, of all Contracts (other than any Company Equity Plan) in effect as of the date hereof, of the following types to which the Company or any of its Subsidiaries (including the Company Operating Partnership) is a party or bound, other than a Benefit Plan (Contracts described in clauses (i) through (xi) are collectively referred to as the “</w:t>
      </w:r>
      <w:r>
        <w:rPr>
          <w:rFonts w:ascii="Times New Roman;serif" w:hAnsi="Times New Roman;serif"/>
          <w:b w:val="false"/>
          <w:color w:val="000000"/>
          <w:sz w:val="24"/>
          <w:u w:val="single"/>
          <w:shd w:fill="FFFFFF" w:val="clear"/>
        </w:rPr>
        <w:t>Company Material Contracts</w:t>
      </w:r>
      <w:r>
        <w:rPr>
          <w:color w:val="000000"/>
          <w:shd w:fill="FFFFFF" w:val="clear"/>
        </w:rPr>
        <w:t>”</w:t>
      </w:r>
      <w:r>
        <w:rPr>
          <w:rFonts w:ascii="Times New Roman;serif" w:hAnsi="Times New Roman;serif"/>
          <w:b w:val="false"/>
          <w:color w:val="000000"/>
          <w:sz w:val="24"/>
          <w:shd w:fill="FFFFFF" w:val="clear"/>
        </w:rPr>
        <w:t>), true and complete copies of which have been made available to Parent prior to date of this Agreement:</w:t>
      </w:r>
      <w:r>
        <w:rPr>
          <w:color w:val="000000"/>
        </w:rPr>
        <w:t xml:space="preserve"> </w:t>
      </w:r>
    </w:p>
    <w:p>
      <w:pPr>
        <w:pStyle w:val="TextBody"/>
        <w:bidi w:val="0"/>
        <w:spacing w:lineRule="auto" w:line="240" w:before="0" w:after="240"/>
        <w:ind w:left="0" w:right="0" w:firstLine="720"/>
        <w:jc w:val="both"/>
        <w:rPr/>
      </w:pPr>
      <w:bookmarkStart w:id="109" w:name="ib5eef840319340d8b5ed436b54bebd65"/>
      <w:bookmarkEnd w:id="109"/>
      <w:r>
        <w:rPr>
          <w:rFonts w:ascii="Times New Roman;serif" w:hAnsi="Times New Roman;serif"/>
          <w:b w:val="false"/>
          <w:color w:val="000000"/>
          <w:sz w:val="24"/>
        </w:rPr>
        <w:t>(i)</w:t>
      </w:r>
      <w:r>
        <w:rPr>
          <w:rFonts w:ascii="Times New Roman;serif" w:hAnsi="Times New Roman;serif"/>
          <w:b w:val="false"/>
          <w:color w:val="000000"/>
          <w:sz w:val="24"/>
          <w:shd w:fill="FFFFFF" w:val="clear"/>
        </w:rPr>
        <w:t>any Contract that is filed by the Company as a material Contract pursuant to Item 601(b)(10) of Regulation S-K of the SEC;</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0" w:name="i66d545349fbd4c369bbebccec055b082"/>
      <w:bookmarkEnd w:id="110"/>
      <w:r>
        <w:rPr>
          <w:rFonts w:ascii="Times New Roman;serif" w:hAnsi="Times New Roman;serif"/>
          <w:b w:val="false"/>
          <w:color w:val="000000"/>
          <w:sz w:val="24"/>
        </w:rPr>
        <w:t>(ii)other than (A) Contracts providing for the acquisition, purchase, sale, funding, pledging, hedging or divestiture of mortgage backed securities and mortgage servicing rights entered into by the Company or its Subsidiaries (including the Company Operating Partnership) that are fully secured by the assets that are the subject of such repurchase agreement and in the ordinary course of business; and (B) repurchase agreements (as in effect as of the date hereof) to finance the purchase price of assets or refinance the Company’s repurchase obligations pursuant to such repurchase agreements, in each case in the ordinary course of the Company’s business, each merger, business combination, acquisition, purchase, sale or divestiture Contract that contains representations, covenants, indemnities or other obligations (including “earnout” or other contingent payment obligations) that would reasonably be expected to result in the receipt or making of future payments in excess of $250,000;</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1" w:name="i8cfe1d500ac4481dabe6d675e31357ef"/>
      <w:bookmarkEnd w:id="111"/>
      <w:r>
        <w:rPr>
          <w:rFonts w:ascii="Times New Roman;serif" w:hAnsi="Times New Roman;serif"/>
          <w:b w:val="false"/>
          <w:color w:val="000000"/>
          <w:sz w:val="24"/>
        </w:rPr>
        <w:t xml:space="preserve">(iii)each Contract that grants any Lien (other than any Company Permitted Lien), including any right of first refusal or right of first offer, or that limits the ability of the Company, any Subsidiary of the Company or any of their respective Affiliates to own, operate, sell, transfer, pledge or otherwise dispose of any businesses, securities or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60705"/>
                <wp:effectExtent l="0" t="0" r="0" b="0"/>
                <wp:wrapNone/>
                <wp:docPr id="51" name="Frame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assets (other than provisions requiring notice of or consent to assignment by any counterparty thereto);</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2" w:name="icf6c22ccbf4a41beb32c69436ab8a5d8"/>
      <w:bookmarkEnd w:id="112"/>
      <w:r>
        <w:rPr>
          <w:rFonts w:ascii="Times New Roman;serif" w:hAnsi="Times New Roman;serif"/>
          <w:b w:val="false"/>
          <w:color w:val="000000"/>
          <w:sz w:val="24"/>
        </w:rPr>
        <w:t>(iv)each Contract relating to outstanding indebtedness (or commitments or guarantees in respect thereof) of the Company or any of its Subsidiaries (including the Company Operating Partnership) (whether incurred, assumed, guaranteed or secured by any asset) in excess of $250,000, other than agreements solely among the Company and its wholly owned Subsidiaries and other than obligations in respect of repurchase agreements that are fully secured by the assets that are the subject of such repurchase agreements, “dollar roll” transactions and similar financing arrangements, in each case entered into in the ordinary course of business;</w:t>
      </w:r>
    </w:p>
    <w:p>
      <w:pPr>
        <w:pStyle w:val="TextBody"/>
        <w:bidi w:val="0"/>
        <w:spacing w:lineRule="auto" w:line="240" w:before="0" w:after="240"/>
        <w:ind w:left="0" w:right="0" w:firstLine="720"/>
        <w:jc w:val="both"/>
        <w:rPr/>
      </w:pPr>
      <w:bookmarkStart w:id="113" w:name="i86d8f8e1ce504db99a64b18ca07f667b"/>
      <w:bookmarkEnd w:id="113"/>
      <w:r>
        <w:rPr>
          <w:rFonts w:ascii="Times New Roman;serif" w:hAnsi="Times New Roman;serif"/>
          <w:b w:val="false"/>
          <w:color w:val="000000"/>
          <w:sz w:val="24"/>
        </w:rPr>
        <w:t xml:space="preserve">(v)each Contract that involves or constitutes an interest rate cap, interest rate collar, interest rate swap or other Contract relating to a forward, swap or other hedging transaction of any type, unless entered into for </w:t>
      </w:r>
      <w:r>
        <w:rPr>
          <w:rFonts w:ascii="Times New Roman;serif" w:hAnsi="Times New Roman;serif"/>
          <w:b w:val="false"/>
          <w:i/>
          <w:color w:val="000000"/>
          <w:sz w:val="24"/>
        </w:rPr>
        <w:t xml:space="preserve">bona fide </w:t>
      </w:r>
      <w:r>
        <w:rPr>
          <w:rFonts w:ascii="Times New Roman;serif" w:hAnsi="Times New Roman;serif"/>
          <w:b w:val="false"/>
          <w:color w:val="000000"/>
          <w:sz w:val="24"/>
        </w:rPr>
        <w:t>hedging purposes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4" w:name="i23c93c39b56845f5978d8c129ab51ee3"/>
      <w:bookmarkEnd w:id="114"/>
      <w:r>
        <w:rPr>
          <w:rFonts w:ascii="Times New Roman;serif" w:hAnsi="Times New Roman;serif"/>
          <w:b w:val="false"/>
          <w:color w:val="000000"/>
          <w:sz w:val="24"/>
        </w:rPr>
        <w:t>(vi)each employment Contract to which the Company or a Subsidiary of the Company is a party other than employment Contracts providing for at-will employment that can be terminated by the Company or its applicable Subsidiary at any time without prior notice and without liability to the Company or any of its Subsidiaries (including the Company Operating Partnership);</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5" w:name="i6dcdae22a2fd490485f1f0f19d251fed"/>
      <w:bookmarkEnd w:id="115"/>
      <w:r>
        <w:rPr>
          <w:rFonts w:ascii="Times New Roman;serif" w:hAnsi="Times New Roman;serif"/>
          <w:b w:val="false"/>
          <w:color w:val="000000"/>
          <w:sz w:val="24"/>
        </w:rPr>
        <w:t>(vii)each Contract containing any non-compete, exclusivity or similar type of provision that materially restricts the ability of the Company or any of its Subsidiaries (including the Company Operating Partnership) (or Parent or its Affiliates upon consummation of the Transactions) to compete in any line of business or with any Person or geographic area;</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6" w:name="i0c26ac583eb44bc08ae1ab84b5320f28"/>
      <w:bookmarkEnd w:id="116"/>
      <w:r>
        <w:rPr>
          <w:rFonts w:ascii="Times New Roman;serif" w:hAnsi="Times New Roman;serif"/>
          <w:b w:val="false"/>
          <w:color w:val="000000"/>
          <w:sz w:val="24"/>
        </w:rPr>
        <w:t>(viii)each material partnership, joint venture, limited liability company or strategic alliance agreement to which the Company or a Subsidiary of the Company is a party (other than any such agreement solely between or among the Company and its wholly owned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7" w:name="i81f629b709ef4048afca884aff90877b"/>
      <w:bookmarkEnd w:id="117"/>
      <w:r>
        <w:rPr>
          <w:rFonts w:ascii="Times New Roman;serif" w:hAnsi="Times New Roman;serif"/>
          <w:b w:val="false"/>
          <w:color w:val="000000"/>
          <w:sz w:val="24"/>
        </w:rPr>
        <w:t xml:space="preserve">(ix)each Contract between or among the Company or any Subsidiary of the Company, on the one hand, and any officer, director or Affiliate (other than a wholly owned Subsidiary of the Company) of the Company or any of its Subsidiaries (including the Company Operating Partnership) or any of their respective “associates” or “immediate family” members (as such terms are defined in Rule 12b-2 and Rule 16a-1 of the Exchange Act), on the other hand; </w:t>
      </w:r>
    </w:p>
    <w:p>
      <w:pPr>
        <w:pStyle w:val="TextBody"/>
        <w:bidi w:val="0"/>
        <w:spacing w:lineRule="auto" w:line="240" w:before="0" w:after="240"/>
        <w:ind w:left="0" w:right="0" w:firstLine="720"/>
        <w:jc w:val="both"/>
        <w:rPr/>
      </w:pPr>
      <w:bookmarkStart w:id="118" w:name="i596e1d90631b438aa7b9c5a9da7ae4b7"/>
      <w:bookmarkEnd w:id="118"/>
      <w:r>
        <w:rPr>
          <w:rFonts w:ascii="Times New Roman;serif" w:hAnsi="Times New Roman;serif"/>
          <w:b w:val="false"/>
          <w:color w:val="000000"/>
          <w:sz w:val="24"/>
        </w:rPr>
        <w:t xml:space="preserve">(x)each vendor, supplier or third-party consulting or similar Contract not otherwise described in this </w:t>
      </w:r>
      <w:r>
        <w:rPr>
          <w:rFonts w:ascii="Times New Roman;serif" w:hAnsi="Times New Roman;serif"/>
          <w:b w:val="false"/>
          <w:color w:val="000000"/>
          <w:sz w:val="24"/>
          <w:u w:val="single"/>
        </w:rPr>
        <w:t>Section 4.8(a)</w:t>
      </w:r>
      <w:r>
        <w:rPr>
          <w:color w:val="000000"/>
        </w:rPr>
        <w:t xml:space="preserve"> </w:t>
      </w:r>
      <w:r>
        <w:rPr>
          <w:rFonts w:ascii="Times New Roman;serif" w:hAnsi="Times New Roman;serif"/>
          <w:b w:val="false"/>
          <w:color w:val="000000"/>
          <w:sz w:val="24"/>
        </w:rPr>
        <w:t>that (A) cannot be voluntarily terminated pursuant to its terms within sixty (60) days after the Company Merger Effective Time and (B) under which it is reasonably expected that the Company or any of its Subsidiaries (including the Company Operating Partnership) will be required to pay fees, expenses or other costs in excess of $250,000 following the Company Merger Effective Time; and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19" w:name="i482faebd2b6d404589c450b08af400e0"/>
      <w:bookmarkEnd w:id="119"/>
      <w:r>
        <w:rPr>
          <w:rFonts w:ascii="Times New Roman;serif" w:hAnsi="Times New Roman;serif"/>
          <w:b w:val="false"/>
          <w:color w:val="000000"/>
          <w:sz w:val="24"/>
        </w:rPr>
        <w:t>(xi)each Contract for the purchase, sale, acquisition, disposition, lease, sublease, license, sublicense, use or occupancy of any real property (including, without limitation, any Leased Real Property or any direct or indirect interest in any real property).</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60705"/>
                <wp:effectExtent l="0" t="0" r="0" b="0"/>
                <wp:wrapNone/>
                <wp:docPr id="52" name="Frame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120" w:name="ib80fa28d40ec48928482fc5afc96e067"/>
      <w:bookmarkEnd w:id="120"/>
      <w:r>
        <w:rPr>
          <w:rFonts w:ascii="Times New Roman;serif" w:hAnsi="Times New Roman;serif"/>
          <w:b w:val="false"/>
          <w:color w:val="000000"/>
          <w:sz w:val="24"/>
        </w:rPr>
        <w:t>(b)</w:t>
      </w:r>
      <w:r>
        <w:rPr>
          <w:rFonts w:ascii="Times New Roman;serif" w:hAnsi="Times New Roman;serif"/>
          <w:b w:val="false"/>
          <w:color w:val="000000"/>
          <w:sz w:val="24"/>
          <w:shd w:fill="FFFFFF" w:val="clear"/>
        </w:rPr>
        <w:t>Neither the Company nor any Subsidiary of the Company is in breach of or default under any Company Material Contract and, to the Knowledge of the Company, as of the date hereof, no other party to any Company Material Contract is in breach of or default under any Company Material Contract, and no event has occurred through the Company’s or any of its Subsidiaries’ (including the Company Operating Partnership’s)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Company Material Contract, in each case except as has not had and would not reasonably be expected to have, individually or in the aggregate, a Company Material Adverse Effect. Each Company Material Contract (i) is a valid and binding obligation of the Company or the Subsidiary of the Company that is party thereto and, to the Knowledge of the Company, of each other party thereto; and (ii) is in full force and effect, subject to the Enforceability Exceptions, in each case except as has not had and would not reasonably be expected to have, individually or in the aggregate, a Company Material Adverse Effect. Neither the Company nor any of its Subsidiaries (including the Company Operating Partnership) has received any written notice of any other party to a Company Material Contract to terminate for default, convenience or otherwise, or not renew, any Company Material Contract, in each case except as has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21" w:name="i40cc616ff1eb45d1aa28c44071f80498"/>
      <w:bookmarkEnd w:id="121"/>
      <w:r>
        <w:rPr>
          <w:rFonts w:ascii="Times New Roman;serif" w:hAnsi="Times New Roman;serif"/>
          <w:b w:val="false"/>
          <w:color w:val="000000"/>
          <w:sz w:val="24"/>
        </w:rPr>
        <w:t>4.9.</w:t>
      </w:r>
      <w:r>
        <w:rPr>
          <w:rFonts w:ascii="Times New Roman;serif" w:hAnsi="Times New Roman;serif"/>
          <w:b w:val="false"/>
          <w:color w:val="000000"/>
          <w:sz w:val="24"/>
          <w:u w:val="single"/>
          <w:shd w:fill="FFFFFF" w:val="clear"/>
        </w:rPr>
        <w:t>Insurance</w:t>
      </w:r>
      <w:r>
        <w:rPr>
          <w:rFonts w:ascii="Times New Roman;serif" w:hAnsi="Times New Roman;serif"/>
          <w:b w:val="false"/>
          <w:color w:val="000000"/>
          <w:sz w:val="24"/>
        </w:rPr>
        <w:t>. Except as has not had and would not reasonably be expected to have, individually or in the aggregate, a Company Material Adverse Effect, the Company maintains insurance with insurers in such amounts and against such risks as the management of the Company has in good faith determined to be prudent and appropriate, all material insurance policies maintained by or for the benefit of the Company or any of its Subsidiaries (including the Company Operating Partnership), or otherwise covering the business of the Company and its Subsidiaries, are in full force and effect in accordance with their terms and, to the Knowledge of the Company, no written notice of cancelation or non-renewal of such policies has been received, and there is no existing breach, default or event which, with or without notice or the lapse of time or both, would constitute a breach or default or permit termination or modification of any such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22" w:name="i96d114135f0043d08ebc50f7030a10d9"/>
      <w:bookmarkEnd w:id="122"/>
      <w:r>
        <w:rPr>
          <w:rFonts w:ascii="Times New Roman;serif" w:hAnsi="Times New Roman;serif"/>
          <w:b w:val="false"/>
          <w:color w:val="000000"/>
          <w:sz w:val="24"/>
        </w:rPr>
        <w:t>4.10.</w:t>
      </w:r>
      <w:r>
        <w:rPr>
          <w:rFonts w:ascii="Times New Roman;serif" w:hAnsi="Times New Roman;serif"/>
          <w:b w:val="false"/>
          <w:color w:val="000000"/>
          <w:sz w:val="24"/>
          <w:u w:val="single"/>
          <w:shd w:fill="FFFFFF" w:val="clear"/>
        </w:rPr>
        <w:t>Employee Benefits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123" w:name="iecd2d424126142ceab84185b72eabce5"/>
      <w:bookmarkEnd w:id="123"/>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Section 4.10(a)</w:t>
      </w:r>
      <w:r>
        <w:rPr>
          <w:color w:val="000000"/>
          <w:shd w:fill="FFFFFF" w:val="clear"/>
        </w:rPr>
        <w:t xml:space="preserve"> </w:t>
      </w:r>
      <w:r>
        <w:rPr>
          <w:rFonts w:ascii="Times New Roman;serif" w:hAnsi="Times New Roman;serif"/>
          <w:b w:val="false"/>
          <w:color w:val="000000"/>
          <w:sz w:val="24"/>
          <w:shd w:fill="FFFFFF" w:val="clear"/>
        </w:rPr>
        <w:t>of the Company Disclosure Letter sets forth an accurate and complete list of each Company Benefit Plan and each PEO Benefit Plan.</w:t>
      </w:r>
    </w:p>
    <w:p>
      <w:pPr>
        <w:pStyle w:val="TextBody"/>
        <w:bidi w:val="0"/>
        <w:spacing w:lineRule="auto" w:line="240" w:before="0" w:after="240"/>
        <w:ind w:left="0" w:right="0" w:firstLine="720"/>
        <w:jc w:val="both"/>
        <w:rPr/>
      </w:pPr>
      <w:bookmarkStart w:id="124" w:name="i35df203a094f474987d5432719e0b64e"/>
      <w:bookmarkEnd w:id="124"/>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With respect to each Company Benefit Plan, the Company has made available to Parent accurate and complete copies of each of the following, to the extent applicable: (i) where the Company Benefit Plan has been reduced to writing, the plan document together with all amendments; (ii) where the Company Benefit Plan has not been reduced to writing, a written summary of all material plan terms; (iii) the most current trust agreements or other funding arrangements, custodial agreements, insurance policies and contracts, administration agreements and similar agreements, and investment management or investment advisory agreements, now in effect; (iv) the most recent summary plan description and any subsequent summaries of material modifications relating to any Company Benefit Plan; (v) in the case of any Company Benefit Plan that is intended to be qualified under Section 401(a) of the Code, the most recent determination, opinion or advisory letter from the Internal Revenue Service; (vi) in the case of any Company Benefit Plan for which a Form 5500 is required to be filed, the three most recently filed Forms 5500, with schedules and financial statements attached (if applicable); (vii) actuarial reports received for any Company Benefit Plan with respect to the three most recently completed plan years; (viii) nondiscrimination testing results for the most recent three years; (ix) Forms 1094 and 1095 and summaries of benefits and coverage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60705"/>
                <wp:effectExtent l="0" t="0" r="0" b="0"/>
                <wp:wrapNone/>
                <wp:docPr id="53" name="Frame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past three years; and (x) any non-routine correspondence with any Governmental Authority within the last three years.</w:t>
      </w:r>
    </w:p>
    <w:p>
      <w:pPr>
        <w:pStyle w:val="TextBody"/>
        <w:bidi w:val="0"/>
        <w:spacing w:lineRule="auto" w:line="240" w:before="0" w:after="240"/>
        <w:ind w:left="0" w:right="0" w:firstLine="720"/>
        <w:jc w:val="both"/>
        <w:rPr/>
      </w:pPr>
      <w:bookmarkStart w:id="125" w:name="if3f4a8a7f6074c5787fe9d439ffb2413"/>
      <w:bookmarkEnd w:id="125"/>
      <w:r>
        <w:rPr>
          <w:rFonts w:ascii="Times New Roman;serif" w:hAnsi="Times New Roman;serif"/>
          <w:b w:val="false"/>
          <w:color w:val="000000"/>
          <w:sz w:val="24"/>
        </w:rPr>
        <w:t>(c)</w:t>
      </w:r>
      <w:r>
        <w:rPr>
          <w:rFonts w:ascii="Times New Roman;serif" w:hAnsi="Times New Roman;serif"/>
          <w:b w:val="false"/>
          <w:color w:val="000000"/>
          <w:sz w:val="24"/>
          <w:shd w:fill="FFFFFF" w:val="clear"/>
        </w:rPr>
        <w:t>Each Company Benefit Plan that is intended to be qualified under Section 401(a) of the Code and, to the Knowledge of the Company, each PEO Benefit Plan that is intended to be qualified under Section 401(a) of the Code, either has received a current favorable determination letter from the IRS as to its qualified status or may rely upon a current favorable prototype opinion letter from the IRS for a prototype plan, and, to the Knowledge of the Company, no fact or event has occurred that would reasonably be expected to adversely affect the qualified status of any such Company Benefit Plan. Each Company Benefit Plan (and any related trust or other funding vehicle) has been established, maintained, funded and administered in all material respects in accordance with its terms and in all material respects in compliance with ERISA, the Code and other applicable Laws, and, to the Knowledge of the Company, no event has occurred and no condition exists with respect to any Company Benefit Plan that would reasonably be expected to result in any material Tax, penalty or other liability or obligation of the Company or any of its Subsidiaries, including with respect to Sections 6055, 6056, 4980B, 4980D and 4980H of the Code.</w:t>
      </w:r>
    </w:p>
    <w:p>
      <w:pPr>
        <w:pStyle w:val="TextBody"/>
        <w:bidi w:val="0"/>
        <w:spacing w:lineRule="auto" w:line="240" w:before="0" w:after="240"/>
        <w:ind w:left="0" w:right="0" w:firstLine="720"/>
        <w:jc w:val="both"/>
        <w:rPr/>
      </w:pPr>
      <w:bookmarkStart w:id="126" w:name="i3badb02abcca417b967332eaa1daf19f"/>
      <w:bookmarkEnd w:id="126"/>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Except as set forth on </w:t>
      </w:r>
      <w:r>
        <w:rPr>
          <w:rFonts w:ascii="Times New Roman;serif" w:hAnsi="Times New Roman;serif"/>
          <w:b w:val="false"/>
          <w:color w:val="000000"/>
          <w:sz w:val="24"/>
          <w:u w:val="single"/>
          <w:shd w:fill="FFFFFF" w:val="clear"/>
        </w:rPr>
        <w:t>Section 4.10(d)</w:t>
      </w:r>
      <w:r>
        <w:rPr>
          <w:color w:val="000000"/>
          <w:shd w:fill="FFFFFF" w:val="clear"/>
        </w:rPr>
        <w:t xml:space="preserve"> </w:t>
      </w:r>
      <w:r>
        <w:rPr>
          <w:rFonts w:ascii="Times New Roman;serif" w:hAnsi="Times New Roman;serif"/>
          <w:b w:val="false"/>
          <w:color w:val="000000"/>
          <w:sz w:val="24"/>
          <w:shd w:fill="FFFFFF" w:val="clear"/>
        </w:rPr>
        <w:t>of the Company Disclosure Letter, no Company Benefit Plan is, and the Company does not maintain, sponsor, participate in, contribute to, or have any obligation to contribute to, or have any other current or contingent liability or obligations (including, solely in the case of clauses (i), (ii) and (iii) below, on account of an ERISA Affiliate) under or with respect to, (i) any “defined benefit plan” as defined in Section 3(35) of ERISA, (ii) any other plan that is or was subject to Section 302 or Title IV of ERISA or Section 412 of the Code, (iii) any Multiemployer Plan, (iv) any multiple employer plan within the meaning of Section 413(c) of the Code or (v) any “multiple employer welfare arrangement” within the meaning of Section 3(40) of ERISA.</w:t>
      </w:r>
    </w:p>
    <w:p>
      <w:pPr>
        <w:pStyle w:val="TextBody"/>
        <w:bidi w:val="0"/>
        <w:spacing w:lineRule="auto" w:line="240" w:before="0" w:after="240"/>
        <w:ind w:left="0" w:right="0" w:firstLine="720"/>
        <w:jc w:val="both"/>
        <w:rPr/>
      </w:pPr>
      <w:bookmarkStart w:id="127" w:name="i21b81edb7a314c3184bb762eaf61a256"/>
      <w:bookmarkEnd w:id="127"/>
      <w:r>
        <w:rPr>
          <w:rFonts w:ascii="Times New Roman;serif" w:hAnsi="Times New Roman;serif"/>
          <w:b w:val="false"/>
          <w:color w:val="000000"/>
          <w:sz w:val="24"/>
        </w:rPr>
        <w:t>(e)</w:t>
      </w:r>
      <w:r>
        <w:rPr>
          <w:rFonts w:ascii="Times New Roman;serif" w:hAnsi="Times New Roman;serif"/>
          <w:b w:val="false"/>
          <w:color w:val="000000"/>
          <w:sz w:val="24"/>
          <w:shd w:fill="FFFFFF" w:val="clear"/>
        </w:rPr>
        <w:t>No Company Benefit Plan provides any current or potential obligation to provide post-employment or retiree health, medical or other welfare benefits coverage, other than health care continuation coverage required by Section 4980B of the Code or other applicable Law for which the recipient pays the full premium cost of coverage or coverage through the end of the calendar month in which a termination of employment occurs.</w:t>
      </w:r>
    </w:p>
    <w:p>
      <w:pPr>
        <w:pStyle w:val="TextBody"/>
        <w:bidi w:val="0"/>
        <w:spacing w:lineRule="auto" w:line="240" w:before="0" w:after="240"/>
        <w:ind w:left="0" w:right="0" w:firstLine="720"/>
        <w:jc w:val="both"/>
        <w:rPr/>
      </w:pPr>
      <w:bookmarkStart w:id="128" w:name="i3d068c0fe36e40e485f14c5d488adfaa"/>
      <w:bookmarkEnd w:id="128"/>
      <w:r>
        <w:rPr>
          <w:rFonts w:ascii="Times New Roman;serif" w:hAnsi="Times New Roman;serif"/>
          <w:b w:val="false"/>
          <w:color w:val="000000"/>
          <w:sz w:val="24"/>
        </w:rPr>
        <w:t>(f)</w:t>
      </w:r>
      <w:r>
        <w:rPr>
          <w:rFonts w:ascii="Times New Roman;serif" w:hAnsi="Times New Roman;serif"/>
          <w:b w:val="false"/>
          <w:color w:val="000000"/>
          <w:sz w:val="24"/>
          <w:shd w:fill="FFFFFF" w:val="clear"/>
        </w:rPr>
        <w:t>To the Knowledge of the Company, there has been no non-exempt “prohibited transaction” within the meaning of Section 4975 of the Code or Section 406 of ERISA or breach of fiduciary duty (as determined under ERISA) with respect to any Company Benefit Plan that is an “employee benefit plan” within the meaning of Section 3(3) of ERISA, and all contributions (including all employer contributions and employee salary reduction contributions), have been timely made, paid or properly accrued in all material respects accordance with the terms of the Company Benefit Plan and the requirements of applicable Law. There is no pending or, to the Knowledge of the Company, threatened in writing action, suit, litigation, arbitration, mediation, investigation, audit, administrative proceeding or other similar legal, regulatory or dispute resolution proceeding relating to any Company Benefit Plan, other than routine claims for benefits and appeals thereof.</w:t>
      </w:r>
    </w:p>
    <w:p>
      <w:pPr>
        <w:pStyle w:val="TextBody"/>
        <w:bidi w:val="0"/>
        <w:spacing w:lineRule="auto" w:line="240" w:before="0" w:after="240"/>
        <w:ind w:left="0" w:right="0" w:firstLine="720"/>
        <w:jc w:val="both"/>
        <w:rPr/>
      </w:pPr>
      <w:bookmarkStart w:id="129" w:name="i2b94c3aa3d5b4adb893947ea6de225c5"/>
      <w:bookmarkEnd w:id="129"/>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Except as set forth in </w:t>
      </w:r>
      <w:r>
        <w:rPr>
          <w:rFonts w:ascii="Times New Roman;serif" w:hAnsi="Times New Roman;serif"/>
          <w:b w:val="false"/>
          <w:color w:val="000000"/>
          <w:sz w:val="24"/>
          <w:u w:val="single"/>
          <w:shd w:fill="FFFFFF" w:val="clear"/>
        </w:rPr>
        <w:t>Section 4.10(g)</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neither the execution by the Company or the Company Operating Partnership of this Agreement nor the consummation of the Transactions could (either alone or in combination with any additional or subsequent events): (i) increase the amount or value of any compensation or benefits (whether in cash, property, the vesting of property or otherwise) due to any Company Service Provider; (ii) result in or cause any acceleration of the time of payment or vesting of any compensation or benefits, or trigger any funding or payment of any compensation or benefits (including funding of compensation or benefits through a trust or otherwise); (iii)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60705"/>
                <wp:effectExtent l="0" t="0" r="0" b="0"/>
                <wp:wrapNone/>
                <wp:docPr id="54" name="Frame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result in any severance, termination or similar types of payments or benefits; (iv) result in any forgiveness of indebtedness to any Company Service Provider; (v) require a contribution by the Company or any of its ERISA Affiliates to any Company Benefit Plan; or (vi) limit or restrict the ability to merge, amend or terminate any Company Benefit Plan. No amounts paid or payable by any of the Company or any of its Subsidiaries is subject to any Tax or penalty imposed under Section 457A of the Code.</w:t>
      </w:r>
    </w:p>
    <w:p>
      <w:pPr>
        <w:pStyle w:val="TextBody"/>
        <w:bidi w:val="0"/>
        <w:spacing w:lineRule="auto" w:line="240" w:before="0" w:after="240"/>
        <w:ind w:left="0" w:right="0" w:firstLine="720"/>
        <w:jc w:val="both"/>
        <w:rPr/>
      </w:pPr>
      <w:bookmarkStart w:id="130" w:name="i93ac0bba3b594cf4877b81f27cdc66e3"/>
      <w:bookmarkEnd w:id="130"/>
      <w:r>
        <w:rPr>
          <w:rFonts w:ascii="Times New Roman;serif" w:hAnsi="Times New Roman;serif"/>
          <w:b w:val="false"/>
          <w:color w:val="000000"/>
          <w:sz w:val="24"/>
        </w:rPr>
        <w:t>(h)</w:t>
      </w:r>
      <w:r>
        <w:rPr>
          <w:rFonts w:ascii="Times New Roman;serif" w:hAnsi="Times New Roman;serif"/>
          <w:b w:val="false"/>
          <w:color w:val="000000"/>
          <w:sz w:val="24"/>
          <w:shd w:fill="FFFFFF" w:val="clear"/>
        </w:rPr>
        <w:t>Each Company Benefit Plan that constitutes in any part a “nonqualified deferred compensation plan” (within the meaning of Section 409A of the Code) been operated and administered in all material respects in operational compliance with, and is in all material respects in documentary compliance with, Section 409A of the Code and applicable guidance thereunder and no amount payable under any such Company Benefit Plan has been or is reasonably expected to be, subject to interest, penalties or additional tax under Section 409A of the Code.</w:t>
      </w:r>
    </w:p>
    <w:p>
      <w:pPr>
        <w:pStyle w:val="TextBody"/>
        <w:bidi w:val="0"/>
        <w:spacing w:lineRule="auto" w:line="240" w:before="0" w:after="240"/>
        <w:ind w:left="0" w:right="0" w:firstLine="720"/>
        <w:jc w:val="both"/>
        <w:rPr/>
      </w:pPr>
      <w:bookmarkStart w:id="131" w:name="idddcd94b6a76424da95127e192e07c14"/>
      <w:bookmarkEnd w:id="131"/>
      <w:r>
        <w:rPr>
          <w:rFonts w:ascii="Times New Roman;serif" w:hAnsi="Times New Roman;serif"/>
          <w:b w:val="false"/>
          <w:color w:val="000000"/>
          <w:sz w:val="24"/>
        </w:rPr>
        <w:t>(i)</w:t>
      </w:r>
      <w:r>
        <w:rPr>
          <w:rFonts w:ascii="Times New Roman;serif" w:hAnsi="Times New Roman;serif"/>
          <w:b w:val="false"/>
          <w:color w:val="000000"/>
          <w:sz w:val="24"/>
          <w:shd w:fill="FFFFFF" w:val="clear"/>
        </w:rPr>
        <w:t>No payment or benefit, individually or together with any other payment or benefit, that could be received (whether in cash, property or the vesting of property), as a result of the Transactions, either alone or in combination with another any other event, by any individual or Company Service Provider shall be nondeductible by reason of Section 280G of the Code or subject to an excise tax under Section 4999 of the Code after taking into account any payment or benefit provided, promised, granted, accelerated or contemplated by the Company or any of its Subsidiaries and, to the extent disclosed in writing to the Company or its Representatives prior to the date of this Agreement, by Parent or any of its Affiliates, or pursuant to any contract, plan, arrangement, agreement, commitment, understanding or other undertaking, entered into by any of the foregoing or their direction, in each case in connection with, contingent upon or otherwise relating to the Transactions. Neither the Company nor any of its ERISA Affiliates has any current or contingent obligation to indemnify, gross- up, reimburse or otherwise make whole any individual for any Taxes or related interest or penalties incurred by such individual, including under Section 409A or 4999 of the Code or otherwise.</w:t>
      </w:r>
    </w:p>
    <w:p>
      <w:pPr>
        <w:pStyle w:val="TextBody"/>
        <w:bidi w:val="0"/>
        <w:spacing w:lineRule="auto" w:line="240" w:before="0" w:after="240"/>
        <w:ind w:left="0" w:right="0" w:firstLine="720"/>
        <w:jc w:val="both"/>
        <w:rPr/>
      </w:pPr>
      <w:bookmarkStart w:id="132" w:name="i026efe8b897f469ab207c746122a0b45"/>
      <w:bookmarkEnd w:id="132"/>
      <w:r>
        <w:rPr>
          <w:rFonts w:ascii="Times New Roman;serif" w:hAnsi="Times New Roman;serif"/>
          <w:b w:val="false"/>
          <w:color w:val="000000"/>
          <w:sz w:val="24"/>
        </w:rPr>
        <w:t>(j)</w:t>
      </w:r>
      <w:r>
        <w:rPr>
          <w:rFonts w:ascii="Times New Roman;serif" w:hAnsi="Times New Roman;serif"/>
          <w:b w:val="false"/>
          <w:color w:val="000000"/>
          <w:sz w:val="24"/>
          <w:shd w:fill="FFFFFF" w:val="clear"/>
        </w:rPr>
        <w:t>To the Knowledge of the Company, each Company Partnership Unit that is intended to constitute a “profits interest” within the meaning of Rev. Proc. 93-27, 1993-2 C.B. 343 and Rev. Proc. 2001-43, 2001-2 C.B. 191 so qualifies and each holder of a Company Partnership Unit made a timely election under Section 83(b) of the Code.</w:t>
      </w:r>
    </w:p>
    <w:p>
      <w:pPr>
        <w:pStyle w:val="TextBody"/>
        <w:bidi w:val="0"/>
        <w:spacing w:lineRule="auto" w:line="240" w:before="0" w:after="240"/>
        <w:ind w:left="0" w:right="0" w:firstLine="720"/>
        <w:jc w:val="both"/>
        <w:rPr/>
      </w:pPr>
      <w:bookmarkStart w:id="133" w:name="icb511ce2ec474172a5456b88821adc87"/>
      <w:bookmarkEnd w:id="133"/>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Each Company RSU Award and each Company PSU Award (i) constitutes a “short-term deferral” within the meaning of, and is exempt from Section 409A of the Code pursuant to, Treasury Regulation Section 1.409A-1(b)(4), and (ii) by its terms is, and at all relevant times has been, required to be settled and paid no later than the fifteenth (15th) day of the third month following the end of the first taxable year in which the applicable award (or the relevant portion thereof) is no longer subject to a substantial risk of forfeiture. No Company RSU Award or Company PSU Award provides for, or is subject to any election permitting, payment or settlement upon or after any date or event (including a separation from service, a specified date or schedule, or a change in control) that could occur later than the end of such short-term deferral period. Accordingly, the vesting, cancellation, conversion, settlement, and payment of the Company RSU Awards and Company PSU Awards as contemplated by Section 3.1(c) will not result in the imposition of any Tax, interest, or penalty under Section 409A of the Code on any holder thereof. The execution and delivery of this Agreement and the consummation of the Transactions (including the Company Merger) constitute, and satisfy the definition of, a “change in control” (or term of similar import) under each Company Equity Plan and under each applicable award or grant agreement governing the Company RSU Awards, Company PSU Awards, and Company Restricted Stock Awards, in each case such that the treatment of such awards set forth in Section 3.1(c) is permitted by, and may be effected in accordance with, the terms of the applicable Company Equity Plan and award or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60705"/>
                <wp:effectExtent l="0" t="0" r="0" b="0"/>
                <wp:wrapNone/>
                <wp:docPr id="55" name="Frame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grant agreement without the consent of any holder and without any acceleration, payment, or settlement that is not otherwise permitted thereunder.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34" w:name="i04740566873b4133851105a43e7b83c5"/>
      <w:bookmarkEnd w:id="134"/>
      <w:r>
        <w:rPr>
          <w:rFonts w:ascii="Times New Roman;serif" w:hAnsi="Times New Roman;serif"/>
          <w:b w:val="false"/>
          <w:color w:val="000000"/>
          <w:sz w:val="24"/>
        </w:rPr>
        <w:t>4.11.</w:t>
      </w:r>
      <w:r>
        <w:rPr>
          <w:rFonts w:ascii="Times New Roman;serif" w:hAnsi="Times New Roman;serif"/>
          <w:b w:val="false"/>
          <w:color w:val="000000"/>
          <w:sz w:val="24"/>
          <w:u w:val="single"/>
          <w:shd w:fill="FFFFFF" w:val="clear"/>
        </w:rPr>
        <w:t>Labor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35" w:name="i4a06ba442f2940f192858e7f18727105"/>
      <w:bookmarkEnd w:id="135"/>
      <w:r>
        <w:rPr>
          <w:rFonts w:ascii="Times New Roman;serif" w:hAnsi="Times New Roman;serif"/>
          <w:b w:val="false"/>
          <w:color w:val="000000"/>
          <w:sz w:val="24"/>
        </w:rPr>
        <w:t>(a)</w:t>
      </w:r>
      <w:r>
        <w:rPr>
          <w:rFonts w:ascii="Times New Roman;serif" w:hAnsi="Times New Roman;serif"/>
          <w:b w:val="false"/>
          <w:color w:val="000000"/>
          <w:sz w:val="24"/>
          <w:shd w:fill="FFFFFF" w:val="clear"/>
        </w:rPr>
        <w:t>Neither the Company nor any of its Subsidiaries is a party to, bound by or negotiating with respect to any collective bargaining agreement or other Contract with a labor union or labor organization, and no labor union or labor organization is representing or, to the Knowledge of the Company, purporting to represent any employee of the Company or any of its Subsidiaries. Neither the Company nor any of its Subsidiaries is, or since November 14, 2024 has been, subject to a material labor dispute, strike or work stoppage.</w:t>
      </w:r>
    </w:p>
    <w:p>
      <w:pPr>
        <w:pStyle w:val="TextBody"/>
        <w:bidi w:val="0"/>
        <w:spacing w:lineRule="auto" w:line="240" w:before="0" w:after="240"/>
        <w:ind w:left="0" w:right="0" w:firstLine="720"/>
        <w:jc w:val="both"/>
        <w:rPr/>
      </w:pPr>
      <w:bookmarkStart w:id="136" w:name="id05d0a266efa4eb0a6f0611a5f3fcc00"/>
      <w:bookmarkEnd w:id="136"/>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would not, individually or in the aggregate, reasonably be likely to have a Company Material Adverse Effect, (i) since November 14, 2024, the Company and each of its Subsidiaries has been in compliance with all applicable employment Laws and (ii) there are no claims pending or, to the Knowledge of the Company, threatened in writing alleging violation of applicable employment Law, and no such claims have been pending or, to the Knowledge of the Company, threatened in writing since November 14, 2024.</w:t>
      </w:r>
    </w:p>
    <w:p>
      <w:pPr>
        <w:pStyle w:val="TextBody"/>
        <w:bidi w:val="0"/>
        <w:spacing w:lineRule="auto" w:line="240" w:before="0" w:after="240"/>
        <w:ind w:left="0" w:right="0" w:firstLine="720"/>
        <w:jc w:val="both"/>
        <w:rPr/>
      </w:pPr>
      <w:bookmarkStart w:id="137" w:name="i8935a4b8a3564d56861994e9cfc70d71"/>
      <w:bookmarkEnd w:id="137"/>
      <w:r>
        <w:rPr>
          <w:rFonts w:ascii="Times New Roman;serif" w:hAnsi="Times New Roman;serif"/>
          <w:b w:val="false"/>
          <w:color w:val="000000"/>
          <w:sz w:val="24"/>
        </w:rPr>
        <w:t>(c)</w:t>
      </w:r>
      <w:r>
        <w:rPr>
          <w:rFonts w:ascii="Times New Roman;serif" w:hAnsi="Times New Roman;serif"/>
          <w:b w:val="false"/>
          <w:color w:val="000000"/>
          <w:sz w:val="24"/>
          <w:shd w:fill="FFFFFF" w:val="clear"/>
        </w:rPr>
        <w:t>As of the date hereof, the Company has provided Parent a true and complete list of each employee of the Company or any of its Subsidiaries that specifies for each such individual, to the extent applicable, his or her: (i) name; (ii) job title; (iii) employing entity; (iv) hire date and service date (if different than hire date); (v) status as exempt or non-exempt under the Fair Labor Standards Act; (vi) current annualized salary or hourly rate of pay, as applicable; (vii) eligibility to receive other compensation (including bonus, severance, commissions, profit-sharing, pension benefits and any other non-wage compensation); (viii) leave status (including type of leave, duration of leave and expected return date); (ix) details of any applicable visa, work permit or other work authorization, including details regarding sponsoring entity and date of expiration, as applicable; and (x) primary location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38" w:name="i123c998f19e34b6d9d3c1d57058567ef"/>
      <w:bookmarkEnd w:id="138"/>
      <w:r>
        <w:rPr>
          <w:rFonts w:ascii="Times New Roman;serif" w:hAnsi="Times New Roman;serif"/>
          <w:b w:val="false"/>
          <w:color w:val="000000"/>
          <w:sz w:val="24"/>
        </w:rPr>
        <w:t>4.12.</w:t>
      </w:r>
      <w:r>
        <w:rPr>
          <w:rFonts w:ascii="Times New Roman;serif" w:hAnsi="Times New Roman;serif"/>
          <w:b w:val="false"/>
          <w:color w:val="000000"/>
          <w:sz w:val="24"/>
          <w:u w:val="single"/>
          <w:shd w:fill="FFFFFF" w:val="clear"/>
        </w:rPr>
        <w:t>Taxes</w:t>
      </w:r>
      <w:r>
        <w:rPr>
          <w:rFonts w:ascii="Times New Roman;serif" w:hAnsi="Times New Roman;serif"/>
          <w:b w:val="false"/>
          <w:color w:val="000000"/>
          <w:sz w:val="24"/>
        </w:rPr>
        <w:t xml:space="preserve">. Except as would not reasonably be expected to have, individually or in the aggregate, a Company Material Adverse Effect, provided that any breach of the representations or warranties in </w:t>
      </w:r>
      <w:r>
        <w:rPr>
          <w:rFonts w:ascii="Times New Roman;serif" w:hAnsi="Times New Roman;serif"/>
          <w:b w:val="false"/>
          <w:color w:val="000000"/>
          <w:sz w:val="24"/>
          <w:u w:val="single"/>
        </w:rPr>
        <w:t>Section 4.12(b)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rPr>
        <w:t>shall be deemed to have a Company Material Adverse Effect:</w:t>
      </w:r>
    </w:p>
    <w:p>
      <w:pPr>
        <w:pStyle w:val="TextBody"/>
        <w:bidi w:val="0"/>
        <w:spacing w:lineRule="auto" w:line="240" w:before="0" w:after="240"/>
        <w:ind w:left="0" w:right="0" w:firstLine="720"/>
        <w:jc w:val="both"/>
        <w:rPr/>
      </w:pPr>
      <w:bookmarkStart w:id="139" w:name="i702200657d0e4c28b46ed58068334e1a"/>
      <w:bookmarkEnd w:id="139"/>
      <w:r>
        <w:rPr>
          <w:rFonts w:ascii="Times New Roman;serif" w:hAnsi="Times New Roman;serif"/>
          <w:b w:val="false"/>
          <w:color w:val="000000"/>
          <w:sz w:val="24"/>
        </w:rPr>
        <w:t>(a)</w:t>
      </w:r>
      <w:r>
        <w:rPr>
          <w:rFonts w:ascii="Times New Roman;serif" w:hAnsi="Times New Roman;serif"/>
          <w:b w:val="false"/>
          <w:color w:val="000000"/>
          <w:sz w:val="24"/>
          <w:shd w:fill="FFFFFF" w:val="clear"/>
        </w:rPr>
        <w:t>The Company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lineRule="auto" w:line="240" w:before="0" w:after="240"/>
        <w:ind w:left="0" w:right="0" w:firstLine="720"/>
        <w:jc w:val="both"/>
        <w:rPr/>
      </w:pPr>
      <w:bookmarkStart w:id="140" w:name="i24500132b09643ae841b9a431851442e"/>
      <w:bookmarkEnd w:id="140"/>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(i) for its taxable years commencing with the Company’s short taxable year that ended on December 31, 2013,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60705"/>
                <wp:effectExtent l="0" t="0" r="0" b="0"/>
                <wp:wrapNone/>
                <wp:docPr id="56" name="Frame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by the IRS or any other Governmental Authority to its qualification as a REIT and, to the Knowledge of the Company, no such challenge is pending or has been threatened in writing.</w:t>
      </w:r>
    </w:p>
    <w:p>
      <w:pPr>
        <w:pStyle w:val="TextBody"/>
        <w:bidi w:val="0"/>
        <w:spacing w:lineRule="auto" w:line="240" w:before="0" w:after="240"/>
        <w:ind w:left="0" w:right="0" w:firstLine="720"/>
        <w:jc w:val="both"/>
        <w:rPr/>
      </w:pPr>
      <w:bookmarkStart w:id="141" w:name="i0f53d72a78c44b6c8f73cf59adeac4ca"/>
      <w:bookmarkEnd w:id="141"/>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Sub-REIT: (i) for its taxable years commencing with the Company Sub-REIT’s taxable year that ended on December 31, 2020,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w:t>
      </w:r>
    </w:p>
    <w:p>
      <w:pPr>
        <w:pStyle w:val="TextBody"/>
        <w:bidi w:val="0"/>
        <w:spacing w:lineRule="auto" w:line="240" w:before="0" w:after="240"/>
        <w:ind w:left="0" w:right="0" w:firstLine="720"/>
        <w:jc w:val="both"/>
        <w:rPr/>
      </w:pPr>
      <w:bookmarkStart w:id="142" w:name="i1f4815b388c747e5b17c68dffc55613e"/>
      <w:bookmarkEnd w:id="142"/>
      <w:r>
        <w:rPr>
          <w:rFonts w:ascii="Times New Roman;serif" w:hAnsi="Times New Roman;serif"/>
          <w:b w:val="false"/>
          <w:color w:val="000000"/>
          <w:sz w:val="24"/>
        </w:rPr>
        <w:t>(d)</w:t>
      </w:r>
      <w:r>
        <w:rPr>
          <w:rFonts w:ascii="Times New Roman;serif" w:hAnsi="Times New Roman;serif"/>
          <w:b w:val="false"/>
          <w:color w:val="000000"/>
          <w:sz w:val="24"/>
          <w:shd w:fill="FFFFFF" w:val="clear"/>
        </w:rPr>
        <w:t>Each of the Company’s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lineRule="auto" w:line="240" w:before="0" w:after="240"/>
        <w:ind w:left="0" w:right="0" w:firstLine="720"/>
        <w:jc w:val="both"/>
        <w:rPr/>
      </w:pPr>
      <w:bookmarkStart w:id="143" w:name="i0b764e527665454184f1b6e2c1bd7f5a"/>
      <w:bookmarkEnd w:id="143"/>
      <w:r>
        <w:rPr>
          <w:rFonts w:ascii="Times New Roman;serif" w:hAnsi="Times New Roman;serif"/>
          <w:b w:val="false"/>
          <w:color w:val="000000"/>
          <w:sz w:val="24"/>
        </w:rPr>
        <w:t>(e)</w:t>
      </w:r>
      <w:r>
        <w:rPr>
          <w:rFonts w:ascii="Times New Roman;serif" w:hAnsi="Times New Roman;serif"/>
          <w:b w:val="false"/>
          <w:color w:val="000000"/>
          <w:sz w:val="24"/>
          <w:shd w:fill="FFFFFF" w:val="clear"/>
        </w:rPr>
        <w:t>The Company has made available to Parent complete and accurate copies of all U.S. federal and all other material Tax Returns filed by or on behalf of the Company or its Subsidiaries for any Tax period ending after December 31, 2016.</w:t>
      </w:r>
    </w:p>
    <w:p>
      <w:pPr>
        <w:pStyle w:val="TextBody"/>
        <w:bidi w:val="0"/>
        <w:spacing w:lineRule="auto" w:line="240" w:before="0" w:after="240"/>
        <w:ind w:left="0" w:right="0" w:firstLine="720"/>
        <w:jc w:val="both"/>
        <w:rPr/>
      </w:pPr>
      <w:bookmarkStart w:id="144" w:name="i93d7f5001e264e5b813b31a8debcb607"/>
      <w:bookmarkEnd w:id="144"/>
      <w:r>
        <w:rPr>
          <w:rFonts w:ascii="Times New Roman;serif" w:hAnsi="Times New Roman;serif"/>
          <w:b w:val="false"/>
          <w:color w:val="000000"/>
          <w:sz w:val="24"/>
        </w:rPr>
        <w:t>(f)</w:t>
      </w:r>
      <w:r>
        <w:rPr>
          <w:rFonts w:ascii="Times New Roman;serif" w:hAnsi="Times New Roman;serif"/>
          <w:b w:val="false"/>
          <w:color w:val="000000"/>
          <w:sz w:val="24"/>
          <w:shd w:fill="FFFFFF" w:val="clear"/>
        </w:rPr>
        <w:t>Neither the Company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lineRule="auto" w:line="240" w:before="0" w:after="240"/>
        <w:ind w:left="0" w:right="0" w:firstLine="720"/>
        <w:jc w:val="both"/>
        <w:rPr/>
      </w:pPr>
      <w:bookmarkStart w:id="145" w:name="ia84248398ea243438802b51b308479c1"/>
      <w:bookmarkEnd w:id="145"/>
      <w:r>
        <w:rPr>
          <w:rFonts w:ascii="Times New Roman;serif" w:hAnsi="Times New Roman;serif"/>
          <w:b w:val="false"/>
          <w:color w:val="000000"/>
          <w:sz w:val="24"/>
        </w:rPr>
        <w:t>(g)</w:t>
      </w:r>
      <w:r>
        <w:rPr>
          <w:rFonts w:ascii="Times New Roman;serif" w:hAnsi="Times New Roman;serif"/>
          <w:b w:val="false"/>
          <w:color w:val="000000"/>
          <w:sz w:val="24"/>
          <w:shd w:fill="FFFFFF" w:val="clear"/>
        </w:rPr>
        <w:t>(i) There are no audits, investigations by any Governmental Authority or other proceedings pending or, to the Knowledge of the Company, threatened with regard to any material Taxes or Tax Returns of the Company or any of its Subsidiaries; (ii) no material deficiency for Taxes of the Company or any of its Subsidiaries has been claimed, proposed or assessed in writing or, to the Knowledge of the Company, threatened, by any Governmental Authority; (iii) neither the Company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the Company nor any of its Subsidiaries is currently the beneficiary of any extension of time within which to file any material Tax Return that remains unfiled (other than pursuant to extensions of time to file Tax Returns obtained in the ordinary course of business); and (v) neither the Company nor any of its Subsidiaries has entered into any “closing agreement” as described in Section 7121 of the Code (or any corresponding or similar provision of state, local or foreign income Tax Law).</w:t>
      </w:r>
    </w:p>
    <w:p>
      <w:pPr>
        <w:pStyle w:val="TextBody"/>
        <w:bidi w:val="0"/>
        <w:spacing w:lineRule="auto" w:line="240" w:before="0" w:after="240"/>
        <w:ind w:left="0" w:right="0" w:firstLine="720"/>
        <w:jc w:val="both"/>
        <w:rPr/>
      </w:pPr>
      <w:bookmarkStart w:id="146" w:name="ia19090cc86f44f0b9a99d2e6f85a908b"/>
      <w:bookmarkEnd w:id="146"/>
      <w:r>
        <w:rPr>
          <w:rFonts w:ascii="Times New Roman;serif" w:hAnsi="Times New Roman;serif"/>
          <w:b w:val="false"/>
          <w:color w:val="000000"/>
          <w:sz w:val="24"/>
        </w:rPr>
        <w:t>(h)</w:t>
      </w:r>
      <w:r>
        <w:rPr>
          <w:rFonts w:ascii="Times New Roman;serif" w:hAnsi="Times New Roman;serif"/>
          <w:b w:val="false"/>
          <w:color w:val="000000"/>
          <w:sz w:val="24"/>
          <w:shd w:fill="FFFFFF" w:val="clear"/>
        </w:rPr>
        <w:t>Since the Company’s formation, (i) neither the Company nor any of its Subsidiaries has incurred any material liability for Taxes under Sections 857(b), 857(f), 860(c) or 4981 of the Code which have not been previously paid and (ii) neither the Company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the Company, no condition or circumstance exists, which presents a material risk that any material amount of Tax described in the previous sentence will be imposed upon the Company or any of</w:t>
      </w:r>
      <w:r>
        <w:rPr>
          <w:color w:val="000000"/>
        </w:rPr>
        <w:t xml:space="preserve"> </w:t>
      </w:r>
      <w:r>
        <w:rPr>
          <w:rFonts w:ascii="Times New Roman;serif" w:hAnsi="Times New Roman;serif"/>
          <w:b w:val="false"/>
          <w:color w:val="000000"/>
          <w:sz w:val="24"/>
          <w:shd w:fill="FFFFFF" w:val="clear"/>
        </w:rPr>
        <w:t>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60705"/>
                <wp:effectExtent l="0" t="0" r="0" b="0"/>
                <wp:wrapNone/>
                <wp:docPr id="57" name="Frame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147" w:name="ic8257e317d184e35af6d164141934231"/>
      <w:bookmarkEnd w:id="147"/>
      <w:r>
        <w:rPr>
          <w:rFonts w:ascii="Times New Roman;serif" w:hAnsi="Times New Roman;serif"/>
          <w:b w:val="false"/>
          <w:color w:val="000000"/>
          <w:sz w:val="24"/>
        </w:rPr>
        <w:t>(i)</w:t>
      </w:r>
      <w:r>
        <w:rPr>
          <w:rFonts w:ascii="Times New Roman;serif" w:hAnsi="Times New Roman;serif"/>
          <w:b w:val="false"/>
          <w:color w:val="000000"/>
          <w:sz w:val="24"/>
          <w:shd w:fill="FFFFFF" w:val="clear"/>
        </w:rPr>
        <w:t>The Company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lineRule="auto" w:line="240" w:before="0" w:after="240"/>
        <w:ind w:left="0" w:right="0" w:firstLine="720"/>
        <w:jc w:val="both"/>
        <w:rPr/>
      </w:pPr>
      <w:bookmarkStart w:id="148" w:name="i4d109c3d9e4f4a31921d38ab84b3f821"/>
      <w:bookmarkEnd w:id="148"/>
      <w:r>
        <w:rPr>
          <w:rFonts w:ascii="Times New Roman;serif" w:hAnsi="Times New Roman;serif"/>
          <w:b w:val="false"/>
          <w:color w:val="000000"/>
          <w:sz w:val="24"/>
        </w:rPr>
        <w:t>(j)</w:t>
      </w:r>
      <w:r>
        <w:rPr>
          <w:rFonts w:ascii="Times New Roman;serif" w:hAnsi="Times New Roman;serif"/>
          <w:b w:val="false"/>
          <w:color w:val="000000"/>
          <w:sz w:val="24"/>
          <w:shd w:fill="FFFFFF" w:val="clear"/>
        </w:rPr>
        <w:t>There are no material Tax Liens upon any property or assets of the Company or any of its Subsidiaries except for Company Permitted Liens.</w:t>
      </w:r>
    </w:p>
    <w:p>
      <w:pPr>
        <w:pStyle w:val="TextBody"/>
        <w:bidi w:val="0"/>
        <w:spacing w:lineRule="auto" w:line="240" w:before="0" w:after="240"/>
        <w:ind w:left="0" w:right="0" w:firstLine="720"/>
        <w:jc w:val="both"/>
        <w:rPr/>
      </w:pPr>
      <w:bookmarkStart w:id="149" w:name="i1e57c2cc0f384144873c098010366368"/>
      <w:bookmarkEnd w:id="149"/>
      <w:r>
        <w:rPr>
          <w:rFonts w:ascii="Times New Roman;serif" w:hAnsi="Times New Roman;serif"/>
          <w:b w:val="false"/>
          <w:color w:val="000000"/>
          <w:sz w:val="24"/>
        </w:rPr>
        <w:t>(k)</w:t>
      </w:r>
      <w:r>
        <w:rPr>
          <w:rFonts w:ascii="Times New Roman;serif" w:hAnsi="Times New Roman;serif"/>
          <w:b w:val="false"/>
          <w:color w:val="000000"/>
          <w:sz w:val="24"/>
          <w:shd w:fill="FFFFFF" w:val="clear"/>
        </w:rPr>
        <w:t>Neither the Company nor any of its Subsidiaries has requested, has received or is subject to any written ruling of a Taxing Authority or has entered into any written agreement with a Taxing Authority.</w:t>
      </w:r>
    </w:p>
    <w:p>
      <w:pPr>
        <w:pStyle w:val="TextBody"/>
        <w:bidi w:val="0"/>
        <w:spacing w:lineRule="auto" w:line="240" w:before="0" w:after="240"/>
        <w:ind w:left="0" w:right="0" w:firstLine="720"/>
        <w:jc w:val="both"/>
        <w:rPr/>
      </w:pPr>
      <w:bookmarkStart w:id="150" w:name="i04560ba58e2840eaa3d39cf1b9ae9f1b"/>
      <w:bookmarkEnd w:id="150"/>
      <w:r>
        <w:rPr>
          <w:rFonts w:ascii="Times New Roman;serif" w:hAnsi="Times New Roman;serif"/>
          <w:b w:val="false"/>
          <w:color w:val="000000"/>
          <w:sz w:val="24"/>
        </w:rPr>
        <w:t>(l)</w:t>
      </w:r>
      <w:r>
        <w:rPr>
          <w:rFonts w:ascii="Times New Roman;serif" w:hAnsi="Times New Roman;serif"/>
          <w:b w:val="false"/>
          <w:color w:val="000000"/>
          <w:sz w:val="24"/>
          <w:shd w:fill="FFFFFF" w:val="clear"/>
        </w:rPr>
        <w:t>There are no Tax allocation, protection or sharing agreements or similar arrangements with respect to or involving the Company or any of its Subsidiaries, and after the Closing Date neither the Company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lineRule="auto" w:line="240" w:before="0" w:after="240"/>
        <w:ind w:left="0" w:right="0" w:firstLine="720"/>
        <w:jc w:val="both"/>
        <w:rPr/>
      </w:pPr>
      <w:bookmarkStart w:id="151" w:name="i753b7d6109b346549073a681384d37ef"/>
      <w:bookmarkEnd w:id="151"/>
      <w:r>
        <w:rPr>
          <w:rFonts w:ascii="Times New Roman;serif" w:hAnsi="Times New Roman;serif"/>
          <w:b w:val="false"/>
          <w:color w:val="000000"/>
          <w:sz w:val="24"/>
        </w:rPr>
        <w:t>(m)</w:t>
      </w:r>
      <w:r>
        <w:rPr>
          <w:rFonts w:ascii="Times New Roman;serif" w:hAnsi="Times New Roman;serif"/>
          <w:b w:val="false"/>
          <w:color w:val="000000"/>
          <w:sz w:val="24"/>
          <w:shd w:fill="FFFFFF" w:val="clear"/>
        </w:rPr>
        <w:t xml:space="preserve">Except as provided in </w:t>
      </w:r>
      <w:r>
        <w:rPr>
          <w:rFonts w:ascii="Times New Roman;serif" w:hAnsi="Times New Roman;serif"/>
          <w:b w:val="false"/>
          <w:color w:val="000000"/>
          <w:sz w:val="24"/>
          <w:u w:val="single"/>
          <w:shd w:fill="FFFFFF" w:val="clear"/>
        </w:rPr>
        <w:t>Section 4.12(m)</w:t>
      </w:r>
      <w:r>
        <w:rPr>
          <w:color w:val="000000"/>
          <w:shd w:fill="FFFFFF" w:val="clear"/>
        </w:rPr>
        <w:t xml:space="preserve"> </w:t>
      </w:r>
      <w:r>
        <w:rPr>
          <w:rFonts w:ascii="Times New Roman;serif" w:hAnsi="Times New Roman;serif"/>
          <w:b w:val="false"/>
          <w:color w:val="000000"/>
          <w:sz w:val="24"/>
          <w:shd w:fill="FFFFFF" w:val="clear"/>
        </w:rPr>
        <w:t>of the Company Disclosure Letter, neither the Company nor any of its Subsidiaries (i) has been a member of an affiliated group filing a consolidated U.S. federal income Tax Return or (ii) has any material liability for the Taxes of any Person (other than the Company or any of its Subsidiaries) under Treasury Regulation Section 1.1502-6 (or any similar provision of state, local or foreign Tax Law), as a transferee or successor, or otherwise by Law or Contract.</w:t>
      </w:r>
    </w:p>
    <w:p>
      <w:pPr>
        <w:pStyle w:val="TextBody"/>
        <w:bidi w:val="0"/>
        <w:spacing w:lineRule="auto" w:line="240" w:before="0" w:after="240"/>
        <w:ind w:left="0" w:right="0" w:firstLine="720"/>
        <w:jc w:val="both"/>
        <w:rPr/>
      </w:pPr>
      <w:bookmarkStart w:id="152" w:name="ib25a88a1662240f683cdaf6f8fba02a5"/>
      <w:bookmarkEnd w:id="152"/>
      <w:r>
        <w:rPr>
          <w:rFonts w:ascii="Times New Roman;serif" w:hAnsi="Times New Roman;serif"/>
          <w:b w:val="false"/>
          <w:color w:val="000000"/>
          <w:sz w:val="24"/>
        </w:rPr>
        <w:t>(n)</w:t>
      </w:r>
      <w:r>
        <w:rPr>
          <w:rFonts w:ascii="Times New Roman;serif" w:hAnsi="Times New Roman;serif"/>
          <w:b w:val="false"/>
          <w:color w:val="000000"/>
          <w:sz w:val="24"/>
          <w:shd w:fill="FFFFFF" w:val="clear"/>
        </w:rPr>
        <w:t>Neither the Company nor any of its Subsidiaries has participated in any “listed transaction” within the meaning of Treasury Regulation Section 1.6011-4(b)(2).</w:t>
      </w:r>
    </w:p>
    <w:p>
      <w:pPr>
        <w:pStyle w:val="TextBody"/>
        <w:bidi w:val="0"/>
        <w:spacing w:lineRule="auto" w:line="240" w:before="0" w:after="240"/>
        <w:ind w:left="0" w:right="0" w:firstLine="720"/>
        <w:jc w:val="both"/>
        <w:rPr/>
      </w:pPr>
      <w:bookmarkStart w:id="153" w:name="i9e72dbe7f2ee401ca317133416dbcecb"/>
      <w:bookmarkEnd w:id="153"/>
      <w:r>
        <w:rPr>
          <w:rFonts w:ascii="Times New Roman;serif" w:hAnsi="Times New Roman;serif"/>
          <w:b w:val="false"/>
          <w:color w:val="000000"/>
          <w:sz w:val="24"/>
        </w:rPr>
        <w:t>(o)</w:t>
      </w:r>
      <w:r>
        <w:rPr>
          <w:rFonts w:ascii="Times New Roman;serif" w:hAnsi="Times New Roman;serif"/>
          <w:b w:val="false"/>
          <w:color w:val="000000"/>
          <w:sz w:val="24"/>
          <w:shd w:fill="FFFFFF" w:val="clear"/>
        </w:rPr>
        <w:t>Neither the Company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lineRule="auto" w:line="240" w:before="0" w:after="240"/>
        <w:ind w:left="0" w:right="0" w:firstLine="720"/>
        <w:jc w:val="both"/>
        <w:rPr/>
      </w:pPr>
      <w:bookmarkStart w:id="154" w:name="ie1ad5e3d3c3949ac80b3652266d055be"/>
      <w:bookmarkEnd w:id="154"/>
      <w:r>
        <w:rPr>
          <w:rFonts w:ascii="Times New Roman;serif" w:hAnsi="Times New Roman;serif"/>
          <w:b w:val="false"/>
          <w:color w:val="000000"/>
          <w:sz w:val="24"/>
        </w:rPr>
        <w:t>(p)</w:t>
      </w:r>
      <w:r>
        <w:rPr>
          <w:rFonts w:ascii="Times New Roman;serif" w:hAnsi="Times New Roman;serif"/>
          <w:b w:val="false"/>
          <w:color w:val="000000"/>
          <w:sz w:val="24"/>
          <w:shd w:fill="FFFFFF" w:val="clear"/>
        </w:rPr>
        <w:t>Neither the Company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lineRule="auto" w:line="240" w:before="0" w:after="240"/>
        <w:ind w:left="0" w:right="0" w:firstLine="720"/>
        <w:jc w:val="both"/>
        <w:rPr/>
      </w:pPr>
      <w:bookmarkStart w:id="155" w:name="if963b8e2aee547389a7c15cbf7d3ab69"/>
      <w:bookmarkEnd w:id="155"/>
      <w:r>
        <w:rPr>
          <w:rFonts w:ascii="Times New Roman;serif" w:hAnsi="Times New Roman;serif"/>
          <w:b w:val="false"/>
          <w:color w:val="000000"/>
          <w:sz w:val="24"/>
        </w:rPr>
        <w:t>(q)</w:t>
      </w:r>
      <w:r>
        <w:rPr>
          <w:rFonts w:ascii="Times New Roman;serif" w:hAnsi="Times New Roman;serif"/>
          <w:b w:val="false"/>
          <w:color w:val="000000"/>
          <w:sz w:val="24"/>
          <w:shd w:fill="FFFFFF" w:val="clear"/>
        </w:rPr>
        <w:t>No written power of attorney that has been granted by the Company or any of its Subsidiaries (other than to the Company or any of its Subsidiaries) is currently in force with respect to any matter relating to Taxes.</w:t>
      </w:r>
    </w:p>
    <w:p>
      <w:pPr>
        <w:pStyle w:val="TextBody"/>
        <w:bidi w:val="0"/>
        <w:spacing w:lineRule="auto" w:line="240" w:before="0" w:after="240"/>
        <w:ind w:left="0" w:right="0" w:firstLine="720"/>
        <w:jc w:val="both"/>
        <w:rPr/>
      </w:pPr>
      <w:bookmarkStart w:id="156" w:name="ib145ffd5e5fe4492bdcb7ff597ddf41d"/>
      <w:bookmarkEnd w:id="156"/>
      <w:r>
        <w:rPr>
          <w:rFonts w:ascii="Times New Roman;serif" w:hAnsi="Times New Roman;serif"/>
          <w:b w:val="false"/>
          <w:color w:val="000000"/>
          <w:sz w:val="24"/>
        </w:rPr>
        <w:t>(r)</w:t>
      </w:r>
      <w:r>
        <w:rPr>
          <w:rFonts w:ascii="Times New Roman;serif" w:hAnsi="Times New Roman;serif"/>
          <w:b w:val="false"/>
          <w:color w:val="000000"/>
          <w:sz w:val="24"/>
          <w:shd w:fill="FFFFFF" w:val="clear"/>
        </w:rPr>
        <w:t>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60705"/>
                <wp:effectExtent l="0" t="0" r="0" b="0"/>
                <wp:wrapNone/>
                <wp:docPr id="58" name="Frame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157" w:name="i4e47996576db4d6db541ba26c0da6493"/>
      <w:bookmarkEnd w:id="157"/>
      <w:r>
        <w:rPr>
          <w:rFonts w:ascii="Times New Roman;serif" w:hAnsi="Times New Roman;serif"/>
          <w:b w:val="false"/>
          <w:color w:val="000000"/>
          <w:sz w:val="24"/>
        </w:rPr>
        <w:t>(s)</w:t>
      </w:r>
      <w:r>
        <w:rPr>
          <w:rFonts w:ascii="Times New Roman;serif" w:hAnsi="Times New Roman;serif"/>
          <w:b w:val="false"/>
          <w:color w:val="000000"/>
          <w:sz w:val="24"/>
          <w:shd w:fill="FFFFFF" w:val="clear"/>
        </w:rPr>
        <w:t>Neither the Company nor any of its Subsidiaries have experienced an ownership change within the meaning of Section 382 of the Code.</w:t>
      </w:r>
      <w:r>
        <w:rPr>
          <w:color w:val="000000"/>
        </w:rPr>
        <w:t xml:space="preserve"> </w:t>
      </w:r>
    </w:p>
    <w:p>
      <w:pPr>
        <w:pStyle w:val="TextBody"/>
        <w:bidi w:val="0"/>
        <w:spacing w:lineRule="auto" w:line="240" w:before="0" w:after="240"/>
        <w:ind w:left="0" w:right="0" w:firstLine="720"/>
        <w:jc w:val="both"/>
        <w:rPr/>
      </w:pPr>
      <w:bookmarkStart w:id="158" w:name="i93f3743f9b934e99b47389772386e8bb"/>
      <w:bookmarkEnd w:id="158"/>
      <w:r>
        <w:rPr>
          <w:rFonts w:ascii="Times New Roman;serif" w:hAnsi="Times New Roman;serif"/>
          <w:b w:val="false"/>
          <w:color w:val="000000"/>
          <w:sz w:val="24"/>
        </w:rPr>
        <w:t>(t)</w:t>
      </w:r>
      <w:r>
        <w:rPr>
          <w:rFonts w:ascii="Times New Roman;serif" w:hAnsi="Times New Roman;serif"/>
          <w:b w:val="false"/>
          <w:color w:val="000000"/>
          <w:sz w:val="24"/>
          <w:shd w:fill="FFFFFF" w:val="clear"/>
        </w:rPr>
        <w:t>Neither the Company nor any of its Subsidiaries has taken any action or failed to take any action which action or failure would reasonably be expected to jeopardize, nor, to the Knowledge of the Company, is there any other fact or circumstance that could be reasonably expected to prevent, the Company Merger from qualifying as a reorganization within the meaning of Section 368(a) of the Code.</w:t>
      </w:r>
    </w:p>
    <w:p>
      <w:pPr>
        <w:pStyle w:val="TextBody"/>
        <w:bidi w:val="0"/>
        <w:spacing w:lineRule="auto" w:line="240" w:before="0" w:after="240"/>
        <w:ind w:left="0" w:right="0" w:firstLine="720"/>
        <w:jc w:val="both"/>
        <w:rPr/>
      </w:pPr>
      <w:bookmarkStart w:id="159" w:name="ie1c8559f101443d1a7ba714b291ed13c"/>
      <w:bookmarkEnd w:id="159"/>
      <w:r>
        <w:rPr>
          <w:rFonts w:ascii="Times New Roman;serif" w:hAnsi="Times New Roman;serif"/>
          <w:b w:val="false"/>
          <w:color w:val="000000"/>
          <w:sz w:val="24"/>
        </w:rPr>
        <w:t>(u)</w:t>
      </w:r>
      <w:r>
        <w:rPr>
          <w:rFonts w:ascii="Times New Roman;serif" w:hAnsi="Times New Roman;serif"/>
          <w:b w:val="false"/>
          <w:color w:val="000000"/>
          <w:sz w:val="24"/>
          <w:shd w:fill="FFFFFF" w:val="clear"/>
        </w:rPr>
        <w:t>Each of the Company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lineRule="auto" w:line="288" w:before="0" w:after="240"/>
        <w:ind w:left="0" w:right="0" w:firstLine="720"/>
        <w:jc w:val="both"/>
        <w:rPr/>
      </w:pPr>
      <w:bookmarkStart w:id="160" w:name="ie570b22aa752428a9e2e16b2d3160695"/>
      <w:bookmarkEnd w:id="160"/>
      <w:r>
        <w:rPr>
          <w:rFonts w:ascii="Times New Roman;serif" w:hAnsi="Times New Roman;serif"/>
          <w:b w:val="false"/>
          <w:color w:val="000000"/>
          <w:sz w:val="24"/>
        </w:rPr>
        <w:t>(v)</w:t>
      </w:r>
      <w:r>
        <w:rPr>
          <w:rFonts w:ascii="Times New Roman;serif" w:hAnsi="Times New Roman;serif"/>
          <w:b w:val="false"/>
          <w:color w:val="000000"/>
          <w:sz w:val="24"/>
          <w:shd w:fill="FFFFFF" w:val="clear"/>
        </w:rPr>
        <w:t xml:space="preserve">Notwithstanding any other provision of this Agreement, it is agreed and understood that no representation or warranty is made by the Company or the Company Operating Partnership in this Agreement with respect to Taxes, other than the representations and warranties of the Company in </w:t>
      </w:r>
      <w:r>
        <w:rPr>
          <w:rFonts w:ascii="Times New Roman;serif" w:hAnsi="Times New Roman;serif"/>
          <w:b w:val="false"/>
          <w:color w:val="000000"/>
          <w:sz w:val="24"/>
          <w:u w:val="single"/>
          <w:shd w:fill="FFFFFF" w:val="clear"/>
        </w:rPr>
        <w:t>Section 4.10</w:t>
      </w:r>
      <w:r>
        <w:rPr>
          <w:color w:val="000000"/>
          <w:shd w:fill="FFFFFF" w:val="clear"/>
        </w:rPr>
        <w:t xml:space="preserve"> </w:t>
      </w:r>
      <w:r>
        <w:rPr>
          <w:rFonts w:ascii="Times New Roman;serif" w:hAnsi="Times New Roman;serif"/>
          <w:b w:val="false"/>
          <w:color w:val="000000"/>
          <w:sz w:val="24"/>
          <w:shd w:fill="FFFFFF" w:val="clear"/>
        </w:rPr>
        <w:t xml:space="preserve">and this </w:t>
      </w:r>
      <w:r>
        <w:rPr>
          <w:rFonts w:ascii="Times New Roman;serif" w:hAnsi="Times New Roman;serif"/>
          <w:b w:val="false"/>
          <w:color w:val="000000"/>
          <w:sz w:val="24"/>
          <w:u w:val="single"/>
          <w:shd w:fill="FFFFFF" w:val="clear"/>
        </w:rPr>
        <w:t>Section 4.12</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61" w:name="i04adcb944a044754a1b492775191b4a0"/>
      <w:bookmarkEnd w:id="161"/>
      <w:r>
        <w:rPr>
          <w:rFonts w:ascii="Times New Roman;serif" w:hAnsi="Times New Roman;serif"/>
          <w:b w:val="false"/>
          <w:color w:val="000000"/>
          <w:sz w:val="24"/>
        </w:rPr>
        <w:t>4.13.</w:t>
      </w:r>
      <w:r>
        <w:rPr>
          <w:rFonts w:ascii="Times New Roman;serif" w:hAnsi="Times New Roman;serif"/>
          <w:b w:val="false"/>
          <w:color w:val="000000"/>
          <w:sz w:val="24"/>
          <w:u w:val="single"/>
          <w:shd w:fill="FFFFFF" w:val="clear"/>
        </w:rPr>
        <w:t>Litigation</w:t>
      </w:r>
      <w:r>
        <w:rPr>
          <w:rFonts w:ascii="Times New Roman;serif" w:hAnsi="Times New Roman;serif"/>
          <w:b w:val="false"/>
          <w:color w:val="000000"/>
          <w:sz w:val="24"/>
        </w:rPr>
        <w:t>. Except as has not had and would not reasonably be expected to have, individually or in the aggregate, a Company Material Adverse Effect, as of the date of this Agreement, (a) none of the Company or its Subsidiaries is subject to any Order, and (b) there is no charge, complaint, claim, action, suit, arbitration, prosecution or proceeding (whether civil, criminal or regulatory) in Law or in equity (“</w:t>
      </w:r>
      <w:r>
        <w:rPr>
          <w:rFonts w:ascii="Times New Roman;serif" w:hAnsi="Times New Roman;serif"/>
          <w:b w:val="false"/>
          <w:color w:val="000000"/>
          <w:sz w:val="24"/>
          <w:u w:val="single"/>
        </w:rPr>
        <w:t>Litigation</w:t>
      </w:r>
      <w:r>
        <w:rPr>
          <w:color w:val="000000"/>
        </w:rPr>
        <w:t>”</w:t>
      </w:r>
      <w:r>
        <w:rPr>
          <w:rFonts w:ascii="Times New Roman;serif" w:hAnsi="Times New Roman;serif"/>
          <w:b w:val="false"/>
          <w:color w:val="000000"/>
          <w:sz w:val="24"/>
        </w:rPr>
        <w:t xml:space="preserve">) before any Governmental Authority, court or quasi-judicial or administrative agency of any federal, state, local or foreign jurisdiction, arbitrator or mediator, pending, or, to the Knowledge of the Company, threatened, against any of the Company or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62" w:name="i050150c53c2140cfa9daa2b2e1aaeb05"/>
      <w:bookmarkEnd w:id="162"/>
      <w:r>
        <w:rPr>
          <w:rFonts w:ascii="Times New Roman;serif" w:hAnsi="Times New Roman;serif"/>
          <w:b w:val="false"/>
          <w:color w:val="000000"/>
          <w:sz w:val="24"/>
        </w:rPr>
        <w:t>4.14.</w:t>
      </w:r>
      <w:r>
        <w:rPr>
          <w:rFonts w:ascii="Times New Roman;serif" w:hAnsi="Times New Roman;serif"/>
          <w:b w:val="false"/>
          <w:color w:val="000000"/>
          <w:sz w:val="24"/>
          <w:u w:val="single"/>
          <w:shd w:fill="FFFFFF" w:val="clear"/>
        </w:rPr>
        <w:t>Compliance with Laws; Permits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163" w:name="idb6f2f8e87d5477d9faf0a3d5c8f7da7"/>
      <w:bookmarkEnd w:id="163"/>
      <w:r>
        <w:rPr>
          <w:rFonts w:ascii="Times New Roman;serif" w:hAnsi="Times New Roman;serif"/>
          <w:b w:val="false"/>
          <w:color w:val="000000"/>
          <w:sz w:val="24"/>
        </w:rPr>
        <w:t>(a)</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the Company and each of its Subsidiaries are, and since January 1, 2024, have been, in compliance in all respects with all applicable federal, state, local and foreign laws (including common law), statutes, codes, ordinances, rules, regulations, judgments, Orders, injunctions, decrees or agency requirements of Governmental Authorities (collectively, “</w:t>
      </w:r>
      <w:r>
        <w:rPr>
          <w:rFonts w:ascii="Times New Roman;serif" w:hAnsi="Times New Roman;serif"/>
          <w:b w:val="false"/>
          <w:color w:val="000000"/>
          <w:sz w:val="24"/>
          <w:u w:val="single"/>
          <w:shd w:fill="FFFFFF" w:val="clear"/>
        </w:rPr>
        <w:t>Laws</w:t>
      </w:r>
      <w:r>
        <w:rPr>
          <w:color w:val="000000"/>
          <w:shd w:fill="FFFFFF" w:val="clear"/>
        </w:rPr>
        <w: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164" w:name="i64e77a0d547a4077804c3dc414b3b2ad"/>
      <w:bookmarkEnd w:id="164"/>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the Company and its Subsidiaries hold all Permits necessary for the Company and its Subsidiaries to own, lease and operate their properties and assets and to carry on and operate their businesses as currently conducted. Except as has not had, and would not reasonably be expected to have, individually or in the aggregate, a Company Material Adverse Effect, or would not reasonably be expected, individually or in the aggregate, to prevent or materially impair or delay the ability of the Company and its Subsidiaries to consummate the Transactions before the Termination Date: (i) all such Permits are in full force and effect; (ii) since January 1, 2024, the Company and each of its Subsidiaries have been in compliance with the terms of all such Permits; and (iii) there is, and since January 1, 2024 has been, no Litigation pending or, to the Knowledge of the Company, threatened in writing asserting any violation of any such Permit or seeking the revocation, cancellation, suspension, limitation or adverse modification of any such Permit.</w:t>
      </w:r>
    </w:p>
    <w:p>
      <w:pPr>
        <w:pStyle w:val="TextBody"/>
        <w:bidi w:val="0"/>
        <w:spacing w:lineRule="auto" w:line="240" w:before="0" w:after="240"/>
        <w:ind w:left="0" w:right="0" w:firstLine="720"/>
        <w:jc w:val="both"/>
        <w:rPr/>
      </w:pPr>
      <w:bookmarkStart w:id="165" w:name="i63b38532106f4fc996c6c8dea437df54"/>
      <w:bookmarkEnd w:id="165"/>
      <w:r>
        <w:rPr>
          <w:rFonts w:ascii="Times New Roman;serif" w:hAnsi="Times New Roman;serif"/>
          <w:b w:val="false"/>
          <w:color w:val="000000"/>
          <w:sz w:val="24"/>
        </w:rPr>
        <w:t>(c)</w:t>
      </w:r>
      <w:r>
        <w:rPr>
          <w:color w:val="000000"/>
          <w:shd w:fill="FFFFFF" w:val="clear"/>
        </w:rPr>
        <w:t>            </w:t>
      </w:r>
      <w:r>
        <w:rPr>
          <w:rFonts w:ascii="Times New Roman;serif" w:hAnsi="Times New Roman;serif"/>
          <w:b w:val="false"/>
          <w:color w:val="000000"/>
          <w:sz w:val="24"/>
          <w:shd w:fill="FFFFFF" w:val="clear"/>
        </w:rPr>
        <w:t xml:space="preserve">Except as has not had, and would not reasonably be expected to have, individually or in the aggregate, a Company Material Adverse Effect, (i) since January 1, 2024 through the date of this Agreement, neither the Company nor any of its Subsidiaries has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60705"/>
                <wp:effectExtent l="0" t="0" r="0" b="0"/>
                <wp:wrapNone/>
                <wp:docPr id="59" name="Frame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received written notice or, to the Knowledge of the Company, any other communication from any Governmental Authority alleging any breach of any Governmental Authorization necessary for the ownership and operation of their businesses, (ii) since January 1, 2024, neither the Company nor any of its Subsidiaries has received written notice or, to the Knowledge of the Company, any other communication from any Governmental Authority regarding any actual or threatened involuntary revocation, withdrawal, suspension, cancellation or termination of any such Governmental Authorization and (iii) to the Knowledge of the Company, no event has occurred and is continuing which would be grounds for revocation, withdrawal, suspension, cancellation, or termination of any such Governmental Authorization.</w:t>
      </w:r>
    </w:p>
    <w:p>
      <w:pPr>
        <w:pStyle w:val="TextBody"/>
        <w:bidi w:val="0"/>
        <w:spacing w:lineRule="auto" w:line="240" w:before="0" w:after="240"/>
        <w:ind w:left="0" w:right="0" w:firstLine="720"/>
        <w:jc w:val="both"/>
        <w:rPr/>
      </w:pPr>
      <w:bookmarkStart w:id="166" w:name="i56870071a35a430798d8a4fd6843861e"/>
      <w:bookmarkEnd w:id="166"/>
      <w:r>
        <w:rPr>
          <w:rFonts w:ascii="Times New Roman;serif" w:hAnsi="Times New Roman;serif"/>
          <w:b w:val="false"/>
          <w:color w:val="000000"/>
          <w:sz w:val="24"/>
        </w:rPr>
        <w:t>(d)</w:t>
      </w:r>
      <w:r>
        <w:rPr>
          <w:rFonts w:ascii="Times New Roman;serif" w:hAnsi="Times New Roman;serif"/>
          <w:b w:val="false"/>
          <w:color w:val="000000"/>
          <w:sz w:val="24"/>
          <w:shd w:fill="FFFFFF" w:val="clear"/>
        </w:rPr>
        <w:t>Other than Aurora Financial Group, Inc. (“</w:t>
      </w:r>
      <w:r>
        <w:rPr>
          <w:rFonts w:ascii="Times New Roman;serif" w:hAnsi="Times New Roman;serif"/>
          <w:b w:val="false"/>
          <w:color w:val="000000"/>
          <w:sz w:val="24"/>
          <w:u w:val="single"/>
          <w:shd w:fill="FFFFFF" w:val="clear"/>
        </w:rPr>
        <w:t>Aurora</w:t>
      </w:r>
      <w:r>
        <w:rPr>
          <w:color w:val="000000"/>
          <w:shd w:fill="FFFFFF" w:val="clear"/>
        </w:rPr>
        <w:t>”</w:t>
      </w:r>
      <w:r>
        <w:rPr>
          <w:rFonts w:ascii="Times New Roman;serif" w:hAnsi="Times New Roman;serif"/>
          <w:b w:val="false"/>
          <w:color w:val="000000"/>
          <w:sz w:val="24"/>
          <w:shd w:fill="FFFFFF" w:val="clear"/>
        </w:rPr>
        <w:t>), no Subsidiary of the Company is required to be licensed or registered with any Governmental Authority as an owner or servicer of Mortgage Loans. Aurora holds all Governmental Authorizations to act as, owner or servicer of Mortgage Loans to the extent required to carry on their businesses as they are now being conducted, except where the failure to have any such Governmental Authorizations has not had, and would not reasonably be expected to have, individually or in the aggregate, a Company Material Adverse Effect and would not reasonably be expected, individually or in the aggregate, to prevent or materially impair or delay the ability of the Company and its Subsidiaries to consummate the Transactions before the Termination Date.</w:t>
      </w:r>
    </w:p>
    <w:p>
      <w:pPr>
        <w:pStyle w:val="TextBody"/>
        <w:bidi w:val="0"/>
        <w:spacing w:lineRule="auto" w:line="240" w:before="0" w:after="240"/>
        <w:ind w:left="0" w:right="0" w:firstLine="720"/>
        <w:jc w:val="both"/>
        <w:rPr/>
      </w:pPr>
      <w:bookmarkStart w:id="167" w:name="i5daba2595eb04d48a2c61f90214ddae2"/>
      <w:bookmarkEnd w:id="167"/>
      <w:r>
        <w:rPr>
          <w:rFonts w:ascii="Times New Roman;serif" w:hAnsi="Times New Roman;serif"/>
          <w:b w:val="false"/>
          <w:color w:val="000000"/>
          <w:sz w:val="24"/>
        </w:rPr>
        <w:t>(e)</w:t>
      </w:r>
      <w:r>
        <w:rPr>
          <w:rFonts w:ascii="Times New Roman;serif" w:hAnsi="Times New Roman;serif"/>
          <w:b w:val="false"/>
          <w:color w:val="000000"/>
          <w:sz w:val="24"/>
          <w:shd w:fill="FFFFFF" w:val="clear"/>
        </w:rPr>
        <w:t>Aurora (i) is approved and in good standing, to the extent applicable to its business, as an issuer of the Government National Mortgage Association, as a seller/servicer or servicer of the Federal National Mortgage Association and the Federal Home Loan Mortgage Corporation, and as a lender of the Federal Housing Administration and the United States Department of Veterans Affairs, and (ii) has not received any written or, to the Knowledge of the Company, any oral or other notice of any actual or threatened cancellation or suspension of, or material limitation on, its status as an approved issuer or seller/servicer, as applicable, from any of the foregoing Governmental Authorities, and to the Knowledge of the Company, no event has occurred and is continuing that would reasonably be expected to result in such cancellation, suspension or material limitation in connection with its activities as a mortgage servicer.</w:t>
      </w:r>
    </w:p>
    <w:p>
      <w:pPr>
        <w:pStyle w:val="TextBody"/>
        <w:bidi w:val="0"/>
        <w:spacing w:lineRule="auto" w:line="240" w:before="0" w:after="240"/>
        <w:ind w:left="0" w:right="0" w:firstLine="720"/>
        <w:jc w:val="both"/>
        <w:rPr/>
      </w:pPr>
      <w:bookmarkStart w:id="168" w:name="i05d33cc3bca045e5839221b92de70e11"/>
      <w:bookmarkEnd w:id="168"/>
      <w:r>
        <w:rPr>
          <w:rFonts w:ascii="Times New Roman;serif" w:hAnsi="Times New Roman;serif"/>
          <w:b w:val="false"/>
          <w:color w:val="000000"/>
          <w:sz w:val="24"/>
        </w:rPr>
        <w:t>(f)</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(i) the Company and its Subsidiaries are, and since January 1, 2024 have been, in compliance with the Company’s and its Subsidiaries’ servicing or, as applicable, subservicing or master servicing, obligations under all Company Applicable Requirements, (ii) through the date of this Agreement, neither the Company nor any of its Subsidiaries has received written or, to the Knowledge of the Company, oral or other notice of any pending or threatened cancellation or termination of any Company Servicing Agreement or Company Subservicing Agreement, and (iii) there has been no servicer default or servicer termination event, and there has been no event, condition, or omission that would reasonably constitute a default or breach, under any such Company Servicing Agreement.</w:t>
      </w:r>
    </w:p>
    <w:p>
      <w:pPr>
        <w:pStyle w:val="TextBody"/>
        <w:bidi w:val="0"/>
        <w:spacing w:lineRule="auto" w:line="240" w:before="0" w:after="240"/>
        <w:ind w:left="0" w:right="0" w:firstLine="720"/>
        <w:jc w:val="both"/>
        <w:rPr/>
      </w:pPr>
      <w:bookmarkStart w:id="169" w:name="i62dc56edc6284c42b0c0d38b72f68aa4"/>
      <w:bookmarkEnd w:id="169"/>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Notwithstanding anything contained in this </w:t>
      </w:r>
      <w:r>
        <w:rPr>
          <w:rFonts w:ascii="Times New Roman;serif" w:hAnsi="Times New Roman;serif"/>
          <w:b w:val="false"/>
          <w:color w:val="000000"/>
          <w:sz w:val="24"/>
          <w:u w:val="single"/>
          <w:shd w:fill="FFFFFF" w:val="clear"/>
        </w:rPr>
        <w:t>Section 4.14</w:t>
      </w:r>
      <w:r>
        <w:rPr>
          <w:rFonts w:ascii="Times New Roman;serif" w:hAnsi="Times New Roman;serif"/>
          <w:b w:val="false"/>
          <w:color w:val="000000"/>
          <w:sz w:val="24"/>
          <w:shd w:fill="FFFFFF" w:val="clear"/>
        </w:rPr>
        <w:t xml:space="preserve">, no representation or warranty shall be deemed to be made in this </w:t>
      </w:r>
      <w:r>
        <w:rPr>
          <w:rFonts w:ascii="Times New Roman;serif" w:hAnsi="Times New Roman;serif"/>
          <w:b w:val="false"/>
          <w:color w:val="000000"/>
          <w:sz w:val="24"/>
          <w:u w:val="single"/>
          <w:shd w:fill="FFFFFF" w:val="clear"/>
        </w:rPr>
        <w:t>Section 4.14</w:t>
      </w:r>
      <w:r>
        <w:rPr>
          <w:color w:val="000000"/>
          <w:shd w:fill="FFFFFF" w:val="clear"/>
        </w:rPr>
        <w:t xml:space="preserve"> </w:t>
      </w:r>
      <w:r>
        <w:rPr>
          <w:rFonts w:ascii="Times New Roman;serif" w:hAnsi="Times New Roman;serif"/>
          <w:b w:val="false"/>
          <w:color w:val="000000"/>
          <w:sz w:val="24"/>
          <w:shd w:fill="FFFFFF" w:val="clear"/>
        </w:rPr>
        <w:t>in respect of Tax, employee benefits or 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70" w:name="iad48be11e5104ac3ab1124321413f95a"/>
      <w:bookmarkEnd w:id="170"/>
      <w:r>
        <w:rPr>
          <w:rFonts w:ascii="Times New Roman;serif" w:hAnsi="Times New Roman;serif"/>
          <w:b w:val="false"/>
          <w:color w:val="000000"/>
          <w:sz w:val="24"/>
        </w:rPr>
        <w:t>4.15.</w:t>
      </w:r>
      <w:r>
        <w:rPr>
          <w:rFonts w:ascii="Times New Roman;serif" w:hAnsi="Times New Roman;serif"/>
          <w:b w:val="false"/>
          <w:color w:val="000000"/>
          <w:sz w:val="24"/>
          <w:u w:val="single"/>
          <w:shd w:fill="FFFFFF" w:val="clear"/>
        </w:rPr>
        <w:t>Absence of Changes</w:t>
      </w:r>
      <w:r>
        <w:rPr>
          <w:rFonts w:ascii="Times New Roman;serif" w:hAnsi="Times New Roman;serif"/>
          <w:b w:val="false"/>
          <w:color w:val="000000"/>
          <w:sz w:val="24"/>
        </w:rPr>
        <w:t>. Since December 31, 2025, through the date of this Agreement, except for the discussion and negotiation of this Agreement, the Company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Company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60705"/>
                <wp:effectExtent l="0" t="0" r="0" b="0"/>
                <wp:wrapNone/>
                <wp:docPr id="60" name="Frame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171" w:name="ie0bdbc843dca4055aaa9e716bc3e60e0"/>
      <w:bookmarkEnd w:id="171"/>
      <w:r>
        <w:rPr>
          <w:rFonts w:ascii="Times New Roman;serif" w:hAnsi="Times New Roman;serif"/>
          <w:b w:val="false"/>
          <w:color w:val="000000"/>
          <w:sz w:val="24"/>
        </w:rPr>
        <w:t>4.16.</w:t>
      </w:r>
      <w:r>
        <w:rPr>
          <w:rFonts w:ascii="Times New Roman;serif" w:hAnsi="Times New Roman;serif"/>
          <w:b w:val="false"/>
          <w:color w:val="000000"/>
          <w:sz w:val="24"/>
          <w:u w:val="single"/>
          <w:shd w:fill="FFFFFF" w:val="clear"/>
        </w:rPr>
        <w:t>Real Property</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72" w:name="i48fe034513114c00b2145f61b6c82eca"/>
      <w:bookmarkEnd w:id="172"/>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Neither the Company nor any Subsidiary of the Company owns any direct or indirect interest in any real property, other than as and to the extent disclosed in </w:t>
      </w:r>
      <w:r>
        <w:rPr>
          <w:rFonts w:ascii="Times New Roman;serif" w:hAnsi="Times New Roman;serif"/>
          <w:b w:val="false"/>
          <w:color w:val="000000"/>
          <w:sz w:val="24"/>
          <w:u w:val="single"/>
          <w:shd w:fill="FFFFFF" w:val="clear"/>
        </w:rPr>
        <w:t>Section 4.16(a)</w:t>
      </w:r>
      <w:r>
        <w:rPr>
          <w:color w:val="000000"/>
          <w:shd w:fill="FFFFFF" w:val="clear"/>
        </w:rPr>
        <w:t xml:space="preserve"> </w:t>
      </w:r>
      <w:r>
        <w:rPr>
          <w:rFonts w:ascii="Times New Roman;serif" w:hAnsi="Times New Roman;serif"/>
          <w:b w:val="false"/>
          <w:color w:val="000000"/>
          <w:sz w:val="24"/>
          <w:shd w:fill="FFFFFF" w:val="clear"/>
        </w:rPr>
        <w:t>of the Company Disclosure Letter, and neither the Company nor any Subsidiary of the Company is a party to any Contract for the purchase or acquisition of any direct or indirect interest in any real property.</w:t>
      </w:r>
      <w:r>
        <w:rPr>
          <w:color w:val="000000"/>
        </w:rPr>
        <w:t xml:space="preserve"> </w:t>
      </w:r>
    </w:p>
    <w:p>
      <w:pPr>
        <w:pStyle w:val="TextBody"/>
        <w:bidi w:val="0"/>
        <w:spacing w:lineRule="auto" w:line="240" w:before="0" w:after="240"/>
        <w:ind w:left="0" w:right="0" w:firstLine="720"/>
        <w:jc w:val="both"/>
        <w:rPr/>
      </w:pPr>
      <w:bookmarkStart w:id="173" w:name="ic47d22ce72174a2caf04dc8166e4437f"/>
      <w:bookmarkEnd w:id="173"/>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Section 4.16(b)</w:t>
      </w:r>
      <w:r>
        <w:rPr>
          <w:color w:val="000000"/>
          <w:shd w:fill="FFFFFF" w:val="clear"/>
        </w:rPr>
        <w:t xml:space="preserve"> </w:t>
      </w:r>
      <w:r>
        <w:rPr>
          <w:rFonts w:ascii="Times New Roman;serif" w:hAnsi="Times New Roman;serif"/>
          <w:b w:val="false"/>
          <w:color w:val="000000"/>
          <w:sz w:val="24"/>
          <w:shd w:fill="FFFFFF" w:val="clear"/>
        </w:rPr>
        <w:t>of the Company Disclosure Letter contains an accurate and complete list of all Contracts (each, together with all amendments, modifications, supplements, renewals, extensions, guaranties and other agreements with respect thereto, collectively, a “</w:t>
      </w:r>
      <w:r>
        <w:rPr>
          <w:rFonts w:ascii="Times New Roman;serif" w:hAnsi="Times New Roman;serif"/>
          <w:b w:val="false"/>
          <w:color w:val="000000"/>
          <w:sz w:val="24"/>
          <w:u w:val="single"/>
          <w:shd w:fill="FFFFFF" w:val="clear"/>
        </w:rPr>
        <w:t>Real Property Lease</w:t>
      </w:r>
      <w:r>
        <w:rPr>
          <w:color w:val="000000"/>
          <w:shd w:fill="FFFFFF" w:val="clear"/>
        </w:rPr>
        <w:t>”</w:t>
      </w:r>
      <w:r>
        <w:rPr>
          <w:rFonts w:ascii="Times New Roman;serif" w:hAnsi="Times New Roman;serif"/>
          <w:b w:val="false"/>
          <w:color w:val="000000"/>
          <w:sz w:val="24"/>
          <w:shd w:fill="FFFFFF" w:val="clear"/>
        </w:rPr>
        <w:t>) pursuant to which the Company or any of the Subsidiaries leases, subleases, licenses, sublicenses, uses or occupies real property as tenant, lessee or sublessee (as applicable) (the “</w:t>
      </w:r>
      <w:r>
        <w:rPr>
          <w:rFonts w:ascii="Times New Roman;serif" w:hAnsi="Times New Roman;serif"/>
          <w:b w:val="false"/>
          <w:color w:val="000000"/>
          <w:sz w:val="24"/>
          <w:u w:val="single"/>
          <w:shd w:fill="FFFFFF" w:val="clear"/>
        </w:rPr>
        <w:t>Leased Real Property</w:t>
      </w:r>
      <w:r>
        <w:rPr>
          <w:color w:val="000000"/>
          <w:shd w:fill="FFFFFF" w:val="clear"/>
        </w:rPr>
        <w:t>”</w:t>
      </w:r>
      <w:r>
        <w:rPr>
          <w:rFonts w:ascii="Times New Roman;serif" w:hAnsi="Times New Roman;serif"/>
          <w:b w:val="false"/>
          <w:color w:val="000000"/>
          <w:sz w:val="24"/>
          <w:shd w:fill="FFFFFF" w:val="clear"/>
        </w:rPr>
        <w:t>) as of the date of this Agreement. Each Real Property Lease (assuming due power and authority of, and due execution and delivery by, the other party or parties thereto) is in full force and effect and is valid, binding and enforceable against the Company or the Subsidiaries, as applicable, and to the Knowledge of the Company, the other parties thereto, in accordance with its respective terms, except as enforceability may be limited by the Enforceability Exceptions. None of the Company, its Subsidiaries or, to the Knowledge of the Company, any other party to each Real Property Lease is in material violation or material breach of, or in material default under, nor has there occurred an event or condition that with the passage of time or giving of notice (or both) would constitute a material default under any Real Property Lease. The Company and each of its Subsidiaries, as applicable, has a good and valid leasehold interest in the Leased Real Property, as applicable, free and clear of all Liens other than Company Permitted Liens. The Leased Real Property comprises all of the real property used in the business of the Company and its Subsidiaries as currently conducted. With respect to each Real Property Lease, (i) neither the Company nor any of its Subsidiaries has subleased, licensed, sublicensed or otherwise granted any Person the right to use or occupy all or any portion of the Leased Real Property under such Real Property Lease, and (ii) neither the Company nor any of its Subsidiaries has collaterally assigned or granted any other security interest in such Real Property Lease or any interest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74" w:name="i41aab1782f0843df93f243655f1a3c5e"/>
      <w:bookmarkEnd w:id="174"/>
      <w:r>
        <w:rPr>
          <w:rFonts w:ascii="Times New Roman;serif" w:hAnsi="Times New Roman;serif"/>
          <w:b w:val="false"/>
          <w:color w:val="000000"/>
          <w:sz w:val="24"/>
        </w:rPr>
        <w:t>4.17.</w:t>
      </w:r>
      <w:r>
        <w:rPr>
          <w:rFonts w:ascii="Times New Roman;serif" w:hAnsi="Times New Roman;serif"/>
          <w:b w:val="false"/>
          <w:color w:val="000000"/>
          <w:sz w:val="24"/>
          <w:u w:val="single"/>
          <w:shd w:fill="FFFFFF" w:val="clear"/>
        </w:rPr>
        <w:t>Related Party Transactions</w:t>
      </w:r>
      <w:r>
        <w:rPr>
          <w:rFonts w:ascii="Times New Roman;serif" w:hAnsi="Times New Roman;serif"/>
          <w:b w:val="false"/>
          <w:color w:val="000000"/>
          <w:sz w:val="24"/>
          <w:shd w:fill="FFFFFF" w:val="clear"/>
        </w:rPr>
        <w:t>. Except as described in the Company SEC Documents filed or furnished on or after January 1, 2026 and prior to the date hereof, no agreements, arrangements or understandings between the Company or any of its Subsidiaries (or binding on any of their respective assets), on the one hand, and any other Person, on the other hand (other than those exclusively among the Company and any of its Subsidiaries), are in existence that are not, but are required to be, disclosed under Item 404 of Regulation S-K promulgated by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75" w:name="id844b980030c493c8a6f398aaf3905df"/>
      <w:bookmarkEnd w:id="175"/>
      <w:r>
        <w:rPr>
          <w:rFonts w:ascii="Times New Roman;serif" w:hAnsi="Times New Roman;serif"/>
          <w:b w:val="false"/>
          <w:color w:val="000000"/>
          <w:sz w:val="24"/>
        </w:rPr>
        <w:t>4.18.</w:t>
      </w:r>
      <w:r>
        <w:rPr>
          <w:rFonts w:ascii="Times New Roman;serif" w:hAnsi="Times New Roman;serif"/>
          <w:b w:val="false"/>
          <w:color w:val="000000"/>
          <w:sz w:val="24"/>
          <w:u w:val="single"/>
          <w:shd w:fill="FFFFFF" w:val="clear"/>
        </w:rPr>
        <w:t>Brokers and Finders</w:t>
      </w:r>
      <w:r>
        <w:rPr>
          <w:rFonts w:ascii="Times New Roman;serif" w:hAnsi="Times New Roman;serif"/>
          <w:b w:val="false"/>
          <w:color w:val="000000"/>
          <w:sz w:val="24"/>
        </w:rPr>
        <w:t xml:space="preserve">. Except for BTIG, LLC, neither the Company nor any of its Subsidiaries has employed any investment banker, broker or finder in connection with the Transactions who would be entitled to any fee or any commission in connection with or upon consummation of the Mergers.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76" w:name="ib01aea353b274f618dd20ff6b40ff1e7"/>
      <w:bookmarkEnd w:id="176"/>
      <w:r>
        <w:rPr>
          <w:rFonts w:ascii="Times New Roman;serif" w:hAnsi="Times New Roman;serif"/>
          <w:b w:val="false"/>
          <w:color w:val="000000"/>
          <w:sz w:val="24"/>
        </w:rPr>
        <w:t>4.19.</w:t>
      </w:r>
      <w:r>
        <w:rPr>
          <w:rFonts w:ascii="Times New Roman;serif" w:hAnsi="Times New Roman;serif"/>
          <w:b w:val="false"/>
          <w:color w:val="000000"/>
          <w:sz w:val="24"/>
          <w:u w:val="single"/>
          <w:shd w:fill="FFFFFF" w:val="clear"/>
        </w:rPr>
        <w:t>Opinion of Financial Advisor</w:t>
      </w:r>
      <w:r>
        <w:rPr>
          <w:rFonts w:ascii="Times New Roman;serif" w:hAnsi="Times New Roman;serif"/>
          <w:b w:val="false"/>
          <w:color w:val="000000"/>
          <w:sz w:val="24"/>
          <w:shd w:fill="FFFFFF" w:val="clear"/>
        </w:rPr>
        <w:t>. The Company Board has received an opinion from BTIG, LLC addressed to the Company Board to the effect that as of the date of such opinion and based on and subject to the various assumptions, limitations, qualifications and other factors set forth therein, the Common Stock Merger Consideration to be received by the holders of Company Common Stock (other than the holders of Canceled Shares) pursuant to this Agreement is fair from a financial point of view to the holders of Company Common Stock (other than holders of Canceled Shares). A copy of such opinion will be promptly provided to Parent for informational purposes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177" w:name="i20cebcf462d54a63a46e45a6aa6e26a2"/>
      <w:bookmarkEnd w:id="177"/>
      <w:r>
        <w:rPr>
          <w:rFonts w:ascii="Times New Roman;serif" w:hAnsi="Times New Roman;serif"/>
          <w:b w:val="false"/>
          <w:color w:val="000000"/>
          <w:sz w:val="24"/>
        </w:rPr>
        <w:t>4.20.</w:t>
      </w:r>
      <w:r>
        <w:rPr>
          <w:rFonts w:ascii="Times New Roman;serif" w:hAnsi="Times New Roman;serif"/>
          <w:b w:val="false"/>
          <w:color w:val="000000"/>
          <w:sz w:val="24"/>
          <w:u w:val="single"/>
          <w:shd w:fill="FFFFFF" w:val="clear"/>
        </w:rPr>
        <w:t>No Additional Representations</w:t>
      </w:r>
      <w:r>
        <w:rPr>
          <w:rFonts w:ascii="Times New Roman;serif" w:hAnsi="Times New Roman;serif"/>
          <w:b w:val="false"/>
          <w:color w:val="000000"/>
          <w:sz w:val="24"/>
        </w:rPr>
        <w:t xml:space="preserve">. The Company and the Company Operating Partnership acknowledge and agree that, except for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(as qualified by the Parent Disclosure Letter) or in any certificate delivered by Parent pursuant to this Agreement (a) Parent and Merger Sub do not make, has and have not made, and the Company and the Company Operating Partnership have not relied on, any express or implied representations or warranties relating to Parent, Merger Sub or their businesses or otherwise and (b) no Person has been authorized by Parent or Merger Sub to make any representation or warranty relating to themselves or their business or otherwise in connection with the Transactions, and if made, such representation or warranty must not be relied upon by the Company or the Company Operating Partnership as having been authorized by such party. The Company and the Company Operating Partnership further acknowledge and agree that any estimates, projections, predictions, data, financial information, memoranda, presentations or any other materials or information provided or addressed to the Company or the Company Operating Partnership or any of their Representatives are not and shall not be deemed to be or include representations or warranties unless and only to the extent that any such materials or information is the subject of any express representation or warranty set forth in </w:t>
      </w:r>
      <w:r>
        <w:rPr>
          <w:rFonts w:ascii="Times New Roman;serif" w:hAnsi="Times New Roman;serif"/>
          <w:b w:val="false"/>
          <w:color w:val="000000"/>
          <w:sz w:val="24"/>
          <w:u w:val="single"/>
        </w:rPr>
        <w:t xml:space="preserve">Article V </w:t>
      </w:r>
      <w:r>
        <w:rPr>
          <w:rFonts w:ascii="Times New Roman;serif" w:hAnsi="Times New Roman;serif"/>
          <w:b w:val="false"/>
          <w:color w:val="000000"/>
          <w:sz w:val="24"/>
        </w:rPr>
        <w:t xml:space="preserve">or in any certificate delivered by Parent pursuant to this Agreement. Without limiting the foregoing, the Company and the Company Operating Partnership acknowledge and agree that, except for any remedies available under this Agreement with respect to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(as qualified by the Parent Disclosure Letter) or in any certificate delivered by Parent pursuant to this Agreement, neither Parent, Merger Sub nor any other Person will have or be subject to any Liability or other obligation to the Company or the Company Operating Partnership or their Representatives or Affiliates or any other Person resulting from the Company’s, the Company Operating Partnership’s or their Representatives’ or Affiliates’ use of any information, documents, projections, forecasts or other material made available to the Company, the Company Operating Partnership or their Representatives or Affiliates in connection with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pPr>
      <w:bookmarkStart w:id="178" w:name="if62e0cc0fd2b48558aa3035099381bac"/>
      <w:bookmarkEnd w:id="178"/>
      <w:r>
        <w:rPr>
          <w:rFonts w:ascii="Times New Roman;serif" w:hAnsi="Times New Roman;serif"/>
          <w:b w:val="false"/>
          <w:color w:val="000000"/>
          <w:sz w:val="24"/>
        </w:rPr>
        <w:t>Article V</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REPRESENTATIONS AND WARRANTIES OF PARENT, MERGER SUB AND PARENT MANAGER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Except as disclosed in the Parent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factual information contained within such statements) (provided, however, that nothing disclosed in the Parent SEC Documents shall be deemed to qualify or modify the representations and warranties set forth in Section 5.1, Section 5.2 or Section 5.17), or as disclosed in the disclosure schedule delivered by Parent to the Company immediately prior to the execution and delivery of this Agreement (the “</w:t>
      </w:r>
      <w:r>
        <w:rPr>
          <w:rFonts w:ascii="Times New Roman;serif" w:hAnsi="Times New Roman;serif"/>
          <w:b w:val="false"/>
          <w:color w:val="000000"/>
          <w:sz w:val="24"/>
          <w:u w:val="single"/>
        </w:rPr>
        <w:t>Parent Disclosure Letter</w:t>
      </w:r>
      <w:r>
        <w:rPr>
          <w:color w:val="000000"/>
        </w:rPr>
        <w:t>”</w:t>
      </w:r>
      <w:r>
        <w:rPr>
          <w:rFonts w:ascii="Times New Roman;serif" w:hAnsi="Times New Roman;serif"/>
          <w:b w:val="false"/>
          <w:color w:val="000000"/>
          <w:sz w:val="24"/>
        </w:rPr>
        <w:t xml:space="preserve">), Parent and, Merger Sub, jointly and severally, and Parent Manager, severally and only with respect to itself, as applicable, represent and warrant to the Company and the Company Operating Partnership that: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79" w:name="i824793cd1c3645dbb8b6f5619f9e5fdf"/>
      <w:bookmarkEnd w:id="179"/>
      <w:r>
        <w:rPr>
          <w:rFonts w:ascii="Times New Roman;serif" w:hAnsi="Times New Roman;serif"/>
          <w:b w:val="false"/>
          <w:color w:val="000000"/>
          <w:sz w:val="24"/>
        </w:rPr>
        <w:t>5.1.</w:t>
      </w:r>
      <w:r>
        <w:rPr>
          <w:rFonts w:ascii="Times New Roman;serif" w:hAnsi="Times New Roman;serif"/>
          <w:b w:val="false"/>
          <w:color w:val="000000"/>
          <w:sz w:val="24"/>
          <w:u w:val="single"/>
          <w:shd w:fill="FFFFFF" w:val="clear"/>
        </w:rPr>
        <w:t>Due Incorporation; Capitalization</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180" w:name="i4f7d11a0afe44c7eb53f9bcd83bc8f15"/>
      <w:bookmarkEnd w:id="180"/>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Parent, Merger Sub and Parent Manager is duly organized, validly existing and, where such concept is applicable, in good standing under the Laws of the jurisdiction of its incorporation or organization and has all requisite corporate power and authority to own, lease and operate its properties and assets and to carry on its business as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presently conducted, except as has not had and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w:t>
      </w:r>
    </w:p>
    <w:p>
      <w:pPr>
        <w:pStyle w:val="TextBody"/>
        <w:bidi w:val="0"/>
        <w:spacing w:lineRule="auto" w:line="240" w:before="0" w:after="240"/>
        <w:ind w:left="0" w:right="0" w:firstLine="720"/>
        <w:jc w:val="both"/>
        <w:rPr/>
      </w:pPr>
      <w:bookmarkStart w:id="181" w:name="i0f0f6fa84e9a464d94113f079f85a17f"/>
      <w:bookmarkEnd w:id="181"/>
      <w:r>
        <w:rPr>
          <w:rFonts w:ascii="Times New Roman;serif" w:hAnsi="Times New Roman;serif"/>
          <w:b w:val="false"/>
          <w:color w:val="000000"/>
          <w:sz w:val="24"/>
        </w:rPr>
        <w:t>(b)</w:t>
      </w:r>
      <w:r>
        <w:rPr>
          <w:rFonts w:ascii="Times New Roman;serif" w:hAnsi="Times New Roman;serif"/>
          <w:b w:val="false"/>
          <w:color w:val="000000"/>
          <w:sz w:val="24"/>
          <w:shd w:fill="FFFFFF" w:val="clear"/>
        </w:rPr>
        <w:t>Each of Parent, Merger Sub and Parent Manager is duly qualified or licensed to do business in each jurisdiction in which the ownership or leasing of its property or the conduct of its business requires such qualification and/or licensing, except where any failure to be so qualified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 Parent has made available to the Company prior to the date of this Agreement a true and complete copy of its Organizational Documents, in each case, as amended through the date hereof. Parent’s Organizational Documents are in full force and effect, and Parent is not in material violation of any of their provisions. All of the issued and outstanding equity interests of Merger Sub are owned by Parent free and clear of Liens.</w:t>
      </w:r>
    </w:p>
    <w:p>
      <w:pPr>
        <w:pStyle w:val="TextBody"/>
        <w:bidi w:val="0"/>
        <w:spacing w:lineRule="auto" w:line="240" w:before="0" w:after="240"/>
        <w:ind w:left="0" w:right="0" w:firstLine="720"/>
        <w:jc w:val="both"/>
        <w:rPr/>
      </w:pPr>
      <w:bookmarkStart w:id="182" w:name="if79677de40cd4aad870ad30c0308737b"/>
      <w:bookmarkEnd w:id="182"/>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Capitalization</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183" w:name="ic8d49b288acc41d089ab4eac8b146a70"/>
      <w:bookmarkEnd w:id="183"/>
      <w:r>
        <w:rPr>
          <w:rFonts w:ascii="Times New Roman;serif" w:hAnsi="Times New Roman;serif"/>
          <w:b w:val="false"/>
          <w:color w:val="000000"/>
          <w:sz w:val="24"/>
        </w:rPr>
        <w:t>(i)</w:t>
      </w:r>
      <w:r>
        <w:rPr>
          <w:rFonts w:ascii="Times New Roman;serif" w:hAnsi="Times New Roman;serif"/>
          <w:b w:val="false"/>
          <w:color w:val="000000"/>
          <w:sz w:val="24"/>
          <w:shd w:fill="FFFFFF" w:val="clear"/>
        </w:rPr>
        <w:t>The entire authorized capital stock of Parent is (A) Four Hundred Fifty Million (450,000,000) shares of common stock, par value $0.01 per share (the “</w:t>
      </w:r>
      <w:r>
        <w:rPr>
          <w:rFonts w:ascii="Times New Roman;serif" w:hAnsi="Times New Roman;serif"/>
          <w:b w:val="false"/>
          <w:color w:val="000000"/>
          <w:sz w:val="24"/>
          <w:u w:val="single"/>
          <w:shd w:fill="FFFFFF" w:val="clear"/>
        </w:rPr>
        <w:t>Parent Common Stock</w:t>
      </w:r>
      <w:r>
        <w:rPr>
          <w:color w:val="000000"/>
          <w:shd w:fill="FFFFFF" w:val="clear"/>
        </w:rPr>
        <w:t>”</w:t>
      </w:r>
      <w:r>
        <w:rPr>
          <w:rFonts w:ascii="Times New Roman;serif" w:hAnsi="Times New Roman;serif"/>
          <w:b w:val="false"/>
          <w:color w:val="000000"/>
          <w:sz w:val="24"/>
          <w:shd w:fill="FFFFFF" w:val="clear"/>
        </w:rPr>
        <w:t>); and (B) Fifty Million (50,000,000) shares of preferred stock, $0.01 par value per share (“</w:t>
      </w:r>
      <w:r>
        <w:rPr>
          <w:rFonts w:ascii="Times New Roman;serif" w:hAnsi="Times New Roman;serif"/>
          <w:b w:val="false"/>
          <w:color w:val="000000"/>
          <w:sz w:val="24"/>
          <w:u w:val="single"/>
          <w:shd w:fill="FFFFFF" w:val="clear"/>
        </w:rPr>
        <w:t>Parent Preferred Stock</w:t>
      </w:r>
      <w:r>
        <w:rPr>
          <w:color w:val="000000"/>
          <w:shd w:fill="FFFFFF" w:val="clear"/>
        </w:rPr>
        <w:t>”</w:t>
      </w:r>
      <w:r>
        <w:rPr>
          <w:rFonts w:ascii="Times New Roman;serif" w:hAnsi="Times New Roman;serif"/>
          <w:b w:val="false"/>
          <w:color w:val="000000"/>
          <w:sz w:val="24"/>
          <w:shd w:fill="FFFFFF" w:val="clear"/>
        </w:rPr>
        <w:t>), of which (1) 3,000,000 shares have been designated as 8.25% Series A Cumulative Redeemable Preferred Stock, $0.01 par value per share (“</w:t>
      </w:r>
      <w:r>
        <w:rPr>
          <w:rFonts w:ascii="Times New Roman;serif" w:hAnsi="Times New Roman;serif"/>
          <w:b w:val="false"/>
          <w:color w:val="000000"/>
          <w:sz w:val="24"/>
          <w:u w:val="single"/>
          <w:shd w:fill="FFFFFF" w:val="clear"/>
        </w:rPr>
        <w:t>Parent Series A Preferred Stock</w:t>
      </w:r>
      <w:r>
        <w:rPr>
          <w:color w:val="000000"/>
          <w:shd w:fill="FFFFFF" w:val="clear"/>
        </w:rPr>
        <w:t>”</w:t>
      </w:r>
      <w:r>
        <w:rPr>
          <w:rFonts w:ascii="Times New Roman;serif" w:hAnsi="Times New Roman;serif"/>
          <w:b w:val="false"/>
          <w:color w:val="000000"/>
          <w:sz w:val="24"/>
          <w:shd w:fill="FFFFFF" w:val="clear"/>
        </w:rPr>
        <w:t>), (2) 6,000,000 shares have been designated as 8.00% Series B Cumulative Redeemable Preferred Stock, $0.01 par value per share (“</w:t>
      </w:r>
      <w:r>
        <w:rPr>
          <w:rFonts w:ascii="Times New Roman;serif" w:hAnsi="Times New Roman;serif"/>
          <w:b w:val="false"/>
          <w:color w:val="000000"/>
          <w:sz w:val="24"/>
          <w:u w:val="single"/>
          <w:shd w:fill="FFFFFF" w:val="clear"/>
        </w:rPr>
        <w:t>Parent Series B Preferred Stock</w:t>
      </w:r>
      <w:r>
        <w:rPr>
          <w:color w:val="000000"/>
          <w:shd w:fill="FFFFFF" w:val="clear"/>
        </w:rPr>
        <w:t>”</w:t>
      </w:r>
      <w:r>
        <w:rPr>
          <w:rFonts w:ascii="Times New Roman;serif" w:hAnsi="Times New Roman;serif"/>
          <w:b w:val="false"/>
          <w:color w:val="000000"/>
          <w:sz w:val="24"/>
          <w:shd w:fill="FFFFFF" w:val="clear"/>
        </w:rPr>
        <w:t>) and (3) 4,600,000 shares have been designated as 8.000% Series C Fixed-to-Floating Rate Cumulative Redeemable Preferred Stock, $0.01 par value per share (“</w:t>
      </w:r>
      <w:r>
        <w:rPr>
          <w:rFonts w:ascii="Times New Roman;serif" w:hAnsi="Times New Roman;serif"/>
          <w:b w:val="false"/>
          <w:color w:val="000000"/>
          <w:sz w:val="24"/>
          <w:u w:val="single"/>
          <w:shd w:fill="FFFFFF" w:val="clear"/>
        </w:rPr>
        <w:t>Parent Series C Preferred Stock</w:t>
      </w:r>
      <w:r>
        <w:rPr>
          <w:color w:val="000000"/>
          <w:shd w:fill="FFFFFF" w:val="clear"/>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84" w:name="ia4ace5372a304c5384a13c65f8bbf4d8"/>
      <w:bookmarkEnd w:id="184"/>
      <w:r>
        <w:rPr>
          <w:rFonts w:ascii="Times New Roman;serif" w:hAnsi="Times New Roman;serif"/>
          <w:b w:val="false"/>
          <w:color w:val="000000"/>
          <w:sz w:val="24"/>
        </w:rPr>
        <w:t>(ii)As of August 7, 2026 (the “</w:t>
      </w:r>
      <w:r>
        <w:rPr>
          <w:rFonts w:ascii="Times New Roman;serif" w:hAnsi="Times New Roman;serif"/>
          <w:b w:val="false"/>
          <w:color w:val="000000"/>
          <w:sz w:val="24"/>
          <w:u w:val="single"/>
        </w:rPr>
        <w:t>Parent Capitalization Date</w:t>
      </w:r>
      <w:r>
        <w:rPr>
          <w:color w:val="000000"/>
        </w:rPr>
        <w:t>”</w:t>
      </w:r>
      <w:r>
        <w:rPr>
          <w:rFonts w:ascii="Times New Roman;serif" w:hAnsi="Times New Roman;serif"/>
          <w:b w:val="false"/>
          <w:color w:val="000000"/>
          <w:sz w:val="24"/>
        </w:rPr>
        <w:t xml:space="preserve">), (A) 31,803,475 shares of Parent Common Stock were issued and outstanding (including 139,169 shares of Parent Common Stock subject to outstanding unvested Parent restricted stock awards); (B) 0 shares of Parent Common Stock were held by Parent in treasury; (C) 17,386 shares of Parent Common Stock were subject to equity or equity-based awards; (D) 914,821 shares of Parent Common Stock were reserved for issuance and available for grants of future awards under Parent’s equity or equity-based award plans; (E) 1,663,193 shares of Parent Series A Preferred Stock were issued and outstanding; (F) 3,727,641 shares of Parent Series B Preferred Stock were issued and outstanding; (G) 3,728,795 shares of Parent Series C Preferred Stock were issued and outstanding; and (H) no other shares of capital stock or other voting securities were issued, reserved for issuance or outstanding, and from the Parent Capitalization Date through the date of this Agreement, Parent has not issued any shares of Parent Common Stock or any other shares of capital stock or securities convertible or exchangeable into, or exercisable for, any shares of its capital stock other than shares of Parent Common Stock pursuant to equity or equity-based awards outstanding as of the Parent Capitalization Date. All of the outstanding shares of Parent Common Stock and Parent Preferred Stock are, and all shares of Parent Common Stock and Parent Preferred Stock that may be issued prior to the Company Merger Effective Time will be, duly authorized, validly issued, fully paid and nonassessable. No shares of Parent Common Stock are subject to or were issued in violation of applicable Law or the preemptive rights of any stockholder or any purchase option, call option, right of first refusal, subscription right or any similar right under any provision of the MGCL,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60705"/>
                <wp:effectExtent l="0" t="0" r="0" b="0"/>
                <wp:wrapNone/>
                <wp:docPr id="63" name="Frame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 applicable Laws, Parent’s Organizational Documents or any agreement to which Parent is a party or otherwise bound. </w:t>
      </w:r>
    </w:p>
    <w:p>
      <w:pPr>
        <w:pStyle w:val="TextBody"/>
        <w:bidi w:val="0"/>
        <w:spacing w:lineRule="auto" w:line="240" w:before="0" w:after="240"/>
        <w:ind w:left="0" w:right="0" w:firstLine="720"/>
        <w:jc w:val="both"/>
        <w:rPr/>
      </w:pPr>
      <w:bookmarkStart w:id="185" w:name="i27d32dbced5141ffbee63b28818a2253"/>
      <w:bookmarkEnd w:id="185"/>
      <w:r>
        <w:rPr>
          <w:rFonts w:ascii="Times New Roman;serif" w:hAnsi="Times New Roman;serif"/>
          <w:b w:val="false"/>
          <w:color w:val="000000"/>
          <w:sz w:val="24"/>
        </w:rPr>
        <w:t xml:space="preserve">(iii)Except as set forth in </w:t>
      </w:r>
      <w:r>
        <w:rPr>
          <w:rFonts w:ascii="Times New Roman;serif" w:hAnsi="Times New Roman;serif"/>
          <w:b w:val="false"/>
          <w:color w:val="000000"/>
          <w:sz w:val="24"/>
          <w:u w:val="single"/>
        </w:rPr>
        <w:t>Section 5.1(c)(i)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5.1(c)(ii)</w:t>
      </w:r>
      <w:r>
        <w:rPr>
          <w:rFonts w:ascii="Times New Roman;serif" w:hAnsi="Times New Roman;serif"/>
          <w:b w:val="false"/>
          <w:color w:val="000000"/>
          <w:sz w:val="24"/>
        </w:rPr>
        <w:t xml:space="preserve">, as of the Parent Capitalization Date, there are no (A) issued and </w:t>
      </w:r>
      <w:r>
        <w:rPr>
          <w:rFonts w:ascii="Times New Roman;serif" w:hAnsi="Times New Roman;serif"/>
          <w:b w:val="false"/>
          <w:color w:val="000000"/>
          <w:sz w:val="24"/>
          <w:shd w:fill="FFFFFF" w:val="clear"/>
        </w:rPr>
        <w:t>outstanding</w:t>
      </w:r>
      <w:r>
        <w:rPr>
          <w:color w:val="000000"/>
        </w:rPr>
        <w:t xml:space="preserve"> </w:t>
      </w:r>
      <w:r>
        <w:rPr>
          <w:rFonts w:ascii="Times New Roman;serif" w:hAnsi="Times New Roman;serif"/>
          <w:b w:val="false"/>
          <w:color w:val="000000"/>
          <w:sz w:val="24"/>
        </w:rPr>
        <w:t xml:space="preserve">shares of capital stock of or other voting or equity interests in Parent; (B) securities of Parent or its Subsidiaries convertible into or exercisable or exchangeable for shares of capital stock of or other voting or equity interests in Parent; (C) options, warrants, calls or other rights or agreements to acquire from Parent or its Subsidiaries, or other obligation of Parent or its Subsidiaries to issue, deliver, transfer or sell, or cause to be issued, delivered, transferred or sold, any shares of capital stock of or other voting or equity interests in Parent or securities convertible into or exercisable or exchangeable for shares of capital stock of or other voting or equity interests in Parent; (D) voting trusts, proxies or other similar agreements to which Parent or any of its Subsidiaries is a party or by which Parent or any of its Subsidiaries is bound with respect to the voting of any shares of capital stock of or other voting or equity interests in Parent; or (E) obligations requiring the registration for sale of any shares of capital stock of or other voting or equity interests in Parent (including the Company Operating Partnership) (the items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being referred to collectively as the “</w:t>
      </w:r>
      <w:r>
        <w:rPr>
          <w:rFonts w:ascii="Times New Roman;serif" w:hAnsi="Times New Roman;serif"/>
          <w:b w:val="false"/>
          <w:color w:val="000000"/>
          <w:sz w:val="24"/>
          <w:u w:val="single"/>
        </w:rPr>
        <w:t>Parent Securities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86" w:name="i64a2abd70d364c929648a7f78bf9bd15"/>
      <w:bookmarkEnd w:id="186"/>
      <w:r>
        <w:rPr>
          <w:rFonts w:ascii="Times New Roman;serif" w:hAnsi="Times New Roman;serif"/>
          <w:b w:val="false"/>
          <w:color w:val="000000"/>
          <w:sz w:val="24"/>
        </w:rPr>
        <w:t xml:space="preserve">(iv)As of the date hereof, there are no outstanding obligations of Parent or any of its Subsidiaries to repurchase, redeem or otherwise acquire any Parent Securities (other than issuances in connection with the purchase, vesting or settlement of Parent equity awards in accordance with their terms, or as set forth in Parent’s Organizational Documents). No Subsidiary of Parent owns any shares of capital stock of Parent.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87" w:name="i86e2af83fca141c5956384189c3396bb"/>
      <w:bookmarkEnd w:id="187"/>
      <w:r>
        <w:rPr>
          <w:rFonts w:ascii="Times New Roman;serif" w:hAnsi="Times New Roman;serif"/>
          <w:b w:val="false"/>
          <w:color w:val="000000"/>
          <w:sz w:val="24"/>
        </w:rPr>
        <w:t>5.2.</w:t>
      </w:r>
      <w:r>
        <w:rPr>
          <w:rFonts w:ascii="Times New Roman;serif" w:hAnsi="Times New Roman;serif"/>
          <w:b w:val="false"/>
          <w:color w:val="000000"/>
          <w:sz w:val="24"/>
          <w:u w:val="single"/>
          <w:shd w:fill="FFFFFF" w:val="clear"/>
        </w:rPr>
        <w:t>Due Authorization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88" w:name="i6a1c782189604734b1cd905d77313e0a"/>
      <w:bookmarkEnd w:id="188"/>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Parent, Merger Sub and Parent Manager has all requisite corporate or other organizational power and authority to execute and deliver this Agreement, to perform its obligations hereunder and, subject to the filings under </w:t>
      </w:r>
      <w:r>
        <w:rPr>
          <w:rFonts w:ascii="Times New Roman;serif" w:hAnsi="Times New Roman;serif"/>
          <w:b w:val="false"/>
          <w:color w:val="000000"/>
          <w:sz w:val="24"/>
          <w:u w:val="single"/>
          <w:shd w:fill="FFFFFF" w:val="clear"/>
        </w:rPr>
        <w:t>Section 2.3</w:t>
      </w:r>
      <w:r>
        <w:rPr>
          <w:rFonts w:ascii="Times New Roman;serif" w:hAnsi="Times New Roman;serif"/>
          <w:b w:val="false"/>
          <w:color w:val="000000"/>
          <w:sz w:val="24"/>
          <w:shd w:fill="FFFFFF" w:val="clear"/>
        </w:rPr>
        <w:t>, to consummate the Transactions, and except for obtaining the Parent Stockholder Approval, no other corporate actions or proceedings on the part of Parent or its stockholders shall be necessary to authorize this Agreement and the Transactions. The execution, delivery and performance by Parent, Merger Sub and Parent Manager of this Agreement, and the consummation by them of the Company Merger, have been duly authorized by the Parent Board and the Merger Sub Sole Member and the sole member of Parent Manager and, except for filing the Certificate of Merger with the Delaware Secretary pursuant to the DLLCA and the Articles of Merger with the Maryland Department pursuant to the MGCL, no other corporate action on the part of Parent, Merger Sub or Parent Manager is necessary to authorize the execution, delivery and performance by Parent, Merger Sub or Parent Manager of this Agreement and the Transactions.</w:t>
      </w:r>
    </w:p>
    <w:p>
      <w:pPr>
        <w:pStyle w:val="TextBody"/>
        <w:bidi w:val="0"/>
        <w:spacing w:lineRule="auto" w:line="240" w:before="0" w:after="240"/>
        <w:ind w:left="0" w:right="0" w:firstLine="720"/>
        <w:jc w:val="both"/>
        <w:rPr/>
      </w:pPr>
      <w:bookmarkStart w:id="189" w:name="i57d7ba454e1849738066ff2d0a033151"/>
      <w:bookmarkEnd w:id="189"/>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Parent Board has unanimously (i) determined that this Agreement and the Transactions, including the Company Merger, are advisable, fair to and in the best interests of Parent and Parent’s stockholders; (ii) adopted this Agreement and approved the Transactions, including the Company Merger; (iii) directed that the Parent Common Stock Issuance be submitted for consideration at the Parent Stockholders Meeting; and (iv) resolved, subject to </w:t>
      </w:r>
      <w:r>
        <w:rPr>
          <w:rFonts w:ascii="Times New Roman;serif" w:hAnsi="Times New Roman;serif"/>
          <w:b w:val="false"/>
          <w:color w:val="000000"/>
          <w:sz w:val="24"/>
          <w:u w:val="single"/>
          <w:shd w:fill="FFFFFF" w:val="clear"/>
        </w:rPr>
        <w:t>Section 6.7</w:t>
      </w:r>
      <w:r>
        <w:rPr>
          <w:rFonts w:ascii="Times New Roman;serif" w:hAnsi="Times New Roman;serif"/>
          <w:b w:val="false"/>
          <w:color w:val="000000"/>
          <w:sz w:val="24"/>
          <w:shd w:fill="FFFFFF" w:val="clear"/>
        </w:rPr>
        <w:t>, to recommend that the Parent’s stockholders approve the Parent Common Stock Issuance (the “</w:t>
      </w:r>
      <w:r>
        <w:rPr>
          <w:rFonts w:ascii="Times New Roman;serif" w:hAnsi="Times New Roman;serif"/>
          <w:b w:val="false"/>
          <w:color w:val="000000"/>
          <w:sz w:val="24"/>
          <w:u w:val="single"/>
          <w:shd w:fill="FFFFFF" w:val="clear"/>
        </w:rPr>
        <w:t>Parent Recommendation</w:t>
      </w:r>
      <w:r>
        <w:rPr>
          <w:color w:val="000000"/>
          <w:shd w:fill="FFFFFF" w:val="clear"/>
        </w:rPr>
        <w:t>”</w:t>
      </w:r>
      <w:r>
        <w:rPr>
          <w:rFonts w:ascii="Times New Roman;serif" w:hAnsi="Times New Roman;serif"/>
          <w:b w:val="false"/>
          <w:color w:val="000000"/>
          <w:sz w:val="24"/>
          <w:shd w:fill="FFFFFF" w:val="clear"/>
        </w:rPr>
        <w:t>), in each case, on the terms and subject to the conditions of this Agreement. The affirmative vote of a majority of the votes cast by the holders of the outstanding shares of Parent Common Stock in favor of issuing Parent Common Stock in connection with the Transactions at the meeting of the stockholders of Parent (the “</w:t>
      </w:r>
      <w:r>
        <w:rPr>
          <w:rFonts w:ascii="Times New Roman;serif" w:hAnsi="Times New Roman;serif"/>
          <w:b w:val="false"/>
          <w:color w:val="000000"/>
          <w:sz w:val="24"/>
          <w:u w:val="single"/>
          <w:shd w:fill="FFFFFF" w:val="clear"/>
        </w:rPr>
        <w:t>Parent Stockholder Approval</w:t>
      </w:r>
      <w:r>
        <w:rPr>
          <w:color w:val="000000"/>
          <w:shd w:fill="FFFFFF" w:val="clear"/>
        </w:rPr>
        <w:t>”</w:t>
      </w:r>
      <w:r>
        <w:rPr>
          <w:rFonts w:ascii="Times New Roman;serif" w:hAnsi="Times New Roman;serif"/>
          <w:b w:val="false"/>
          <w:color w:val="000000"/>
          <w:sz w:val="24"/>
          <w:shd w:fill="FFFFFF" w:val="clear"/>
        </w:rPr>
        <w:t xml:space="preserve">) is the only vote of the stockholders of Parent or the holders of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60705"/>
                <wp:effectExtent l="0" t="0" r="0" b="0"/>
                <wp:wrapNone/>
                <wp:docPr id="64" name="Frame6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any other securities of Parent (equity or otherwise) required by any applicable Law or the Organizational Documents of Parent or the applicable rules of any exchange on which securities of Parent are traded, in order for Parent to consummate the Transactions.</w:t>
      </w:r>
      <w:r>
        <w:rPr>
          <w:color w:val="000000"/>
        </w:rPr>
        <w:t xml:space="preserve"> </w:t>
      </w:r>
    </w:p>
    <w:p>
      <w:pPr>
        <w:pStyle w:val="TextBody"/>
        <w:bidi w:val="0"/>
        <w:spacing w:lineRule="auto" w:line="240" w:before="0" w:after="240"/>
        <w:ind w:left="0" w:right="0" w:firstLine="720"/>
        <w:jc w:val="both"/>
        <w:rPr/>
      </w:pPr>
      <w:bookmarkStart w:id="190" w:name="i9f1ce09fb8094588bd5de7c94db2d128"/>
      <w:bookmarkEnd w:id="190"/>
      <w:r>
        <w:rPr>
          <w:rFonts w:ascii="Times New Roman;serif" w:hAnsi="Times New Roman;serif"/>
          <w:b w:val="false"/>
          <w:color w:val="000000"/>
          <w:sz w:val="24"/>
        </w:rPr>
        <w:t>(c)</w:t>
      </w:r>
      <w:r>
        <w:rPr>
          <w:rFonts w:ascii="Times New Roman;serif" w:hAnsi="Times New Roman;serif"/>
          <w:b w:val="false"/>
          <w:color w:val="000000"/>
          <w:sz w:val="24"/>
          <w:shd w:fill="FFFFFF" w:val="clear"/>
        </w:rPr>
        <w:t>Each of Parent, Merger Sub and Parent Manager has duly and validly executed and delivered this Agreement. Assuming the due authorization, execution and delivery hereof by the Company and the Company Operating Partnership, this Agreement constitutes a legal, valid and binding obligation of each of Parent, Merger Sub and Parent Manager, enforceable against them in accordance with its terms, subject to the Enforceability Exceptions. The shares of Parent Common Stock and the Preferred Stock Merger Consideration to be issued pursuant to the Transactions, when issued in accordance with the terms hereof, will be duly authorized, validly issued, fully paid and nonassessable and not subject to any preemptive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91" w:name="i415570a8c24f4542bc331a4d51e7d9e0"/>
      <w:bookmarkEnd w:id="191"/>
      <w:r>
        <w:rPr>
          <w:rFonts w:ascii="Times New Roman;serif" w:hAnsi="Times New Roman;serif"/>
          <w:b w:val="false"/>
          <w:color w:val="000000"/>
          <w:sz w:val="24"/>
        </w:rPr>
        <w:t>5.3.</w:t>
      </w:r>
      <w:r>
        <w:rPr>
          <w:rFonts w:ascii="Times New Roman;serif" w:hAnsi="Times New Roman;serif"/>
          <w:b w:val="false"/>
          <w:color w:val="000000"/>
          <w:sz w:val="24"/>
          <w:u w:val="single"/>
          <w:shd w:fill="FFFFFF" w:val="clear"/>
        </w:rPr>
        <w:t>Consents and Approvals; No Violations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192" w:name="i1bf402e965754760b2c73b15526c9751"/>
      <w:bookmarkEnd w:id="192"/>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execution and delivery of this Agreement does not, and the consummation of the Transactions will not (with or without notice or lapse of time, or both) (i) assuming that the Parent Stockholder Approval is obtained, contravene, conflict with or result in a violation of any provision of the Organizational Documents of the Parent, Merger Sub or Parent Manager, (ii) result in a violation of, or default under, or acceleration of any material obligation or the loss of a material benefit under, or result in the creation of any Liens (other than Parent Permitted Liens) upon any of the properties or assets of Parent, Merger Sub or Parent Manager under, any provision of any material Contract pursuant to which such party is a party, or (iii) assuming the approvals, consents, clearances, waivers or authorizations referred to in </w:t>
      </w:r>
      <w:r>
        <w:rPr>
          <w:rFonts w:ascii="Times New Roman;serif" w:hAnsi="Times New Roman;serif"/>
          <w:b w:val="false"/>
          <w:color w:val="000000"/>
          <w:sz w:val="24"/>
          <w:u w:val="single"/>
          <w:shd w:fill="FFFFFF" w:val="clear"/>
        </w:rPr>
        <w:t>Section 5.3(b)</w:t>
      </w:r>
      <w:r>
        <w:rPr>
          <w:color w:val="000000"/>
          <w:shd w:fill="FFFFFF" w:val="clear"/>
        </w:rPr>
        <w:t xml:space="preserve"> </w:t>
      </w:r>
      <w:r>
        <w:rPr>
          <w:rFonts w:ascii="Times New Roman;serif" w:hAnsi="Times New Roman;serif"/>
          <w:b w:val="false"/>
          <w:color w:val="000000"/>
          <w:sz w:val="24"/>
          <w:shd w:fill="FFFFFF" w:val="clear"/>
        </w:rPr>
        <w:t xml:space="preserve">are duly and timely obtained or made and the Parent Stockholder Approval has been obtained, contravene, conflict with or result in a violation of any Law applicable to Parent, Merger Sub or Parent Manager or any of their respective properties or assets, other than, in the case of clauses (ii) and (iii), any such contraventions, conflicts, violations, defaults, acceleration, losses or Liens that would not reasonably be expected to have, individually or in the aggregate, a Parent Material Adverse Effect or, in the case of Parent Manager, prevent or materially impair or delay the ability of Parent Manager to consummate the Transactions before the Termination Date. </w:t>
      </w:r>
    </w:p>
    <w:p>
      <w:pPr>
        <w:pStyle w:val="TextBody"/>
        <w:bidi w:val="0"/>
        <w:spacing w:lineRule="auto" w:line="240" w:before="0" w:after="240"/>
        <w:ind w:left="0" w:right="0" w:firstLine="720"/>
        <w:jc w:val="both"/>
        <w:rPr/>
      </w:pPr>
      <w:bookmarkStart w:id="193" w:name="i737f1e2aaa9d4d5091524094551fa649"/>
      <w:bookmarkEnd w:id="193"/>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 approval, consent, clearance, waiver or authorization from any Governmental Authority is required to be obtained or made by Parent, Merger Sub or Parent Manager in connection with the execution and delivery of this Agreement by Parent, Merger Sub or Parent Manager or the consummation by Parent, Merger Sub or Parent Manager of the Transactions, except for: (i) the filing with the SEC of (A) the Proxy Statement/Prospectus (including the Form S-4)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with respect to the Partnership Merger,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Parent Material Adverse Effect or, in the case of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60705"/>
                <wp:effectExtent l="0" t="0" r="0" b="0"/>
                <wp:wrapNone/>
                <wp:docPr id="65" name="Frame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Parent Manager, prevent or materially impair or delay the ability of Parent Manager to consummate the Transactions before the Termination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194" w:name="i02d5bf53456f4c7d9776137c1082e505"/>
      <w:bookmarkEnd w:id="194"/>
      <w:r>
        <w:rPr>
          <w:rFonts w:ascii="Times New Roman;serif" w:hAnsi="Times New Roman;serif"/>
          <w:b w:val="false"/>
          <w:color w:val="000000"/>
          <w:sz w:val="24"/>
        </w:rPr>
        <w:t>5.4.</w:t>
      </w:r>
      <w:r>
        <w:rPr>
          <w:rFonts w:ascii="Times New Roman;serif" w:hAnsi="Times New Roman;serif"/>
          <w:b w:val="false"/>
          <w:color w:val="000000"/>
          <w:sz w:val="24"/>
          <w:u w:val="single"/>
          <w:shd w:fill="FFFFFF" w:val="clear"/>
        </w:rPr>
        <w:t>Financial Statements; Internal Controls and Procedures; Investment Company Act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195" w:name="ia2d7bfacedc6425caf62825cd1fe325e"/>
      <w:bookmarkEnd w:id="195"/>
      <w:r>
        <w:rPr>
          <w:rFonts w:ascii="Times New Roman;serif" w:hAnsi="Times New Roman;serif"/>
          <w:b w:val="false"/>
          <w:color w:val="000000"/>
          <w:sz w:val="24"/>
        </w:rPr>
        <w:t>(a)</w:t>
      </w:r>
      <w:r>
        <w:rPr>
          <w:rFonts w:ascii="Times New Roman;serif" w:hAnsi="Times New Roman;serif"/>
          <w:b w:val="false"/>
          <w:color w:val="000000"/>
          <w:sz w:val="24"/>
          <w:shd w:fill="FFFFFF" w:val="clear"/>
        </w:rPr>
        <w:t>Since December 31, 2024, Parent has filed or furnished with the SEC all forms, reports, schedules and statements required to be filed or furnished by Parent under the Securities Act or the Exchange Act, respectively (such forms, reports, schedules and statements, as amended, collectively, the “</w:t>
      </w:r>
      <w:r>
        <w:rPr>
          <w:rFonts w:ascii="Times New Roman;serif" w:hAnsi="Times New Roman;serif"/>
          <w:b w:val="false"/>
          <w:color w:val="000000"/>
          <w:sz w:val="24"/>
          <w:u w:val="single"/>
          <w:shd w:fill="FFFFFF" w:val="clear"/>
        </w:rPr>
        <w:t>Parent SEC Documents</w:t>
      </w:r>
      <w:r>
        <w:rPr>
          <w:color w:val="000000"/>
          <w:shd w:fill="FFFFFF" w:val="clear"/>
        </w:rPr>
        <w:t>”</w:t>
      </w:r>
      <w:r>
        <w:rPr>
          <w:rFonts w:ascii="Times New Roman;serif" w:hAnsi="Times New Roman;serif"/>
          <w:b w:val="false"/>
          <w:color w:val="000000"/>
          <w:sz w:val="24"/>
          <w:shd w:fill="FFFFFF" w:val="clear"/>
        </w:rPr>
        <w:t>). As of their respective filing dates, or, if amended prior to the date hereof, as of the date of (and giving effect to) the last such amendment made prior to the date hereof, each of the Parent SEC Documents, as amended, complied as to form in all material respects with the applicable requirements of the Securities Act or the Exchange Act, as the case may be, and the rules and regulations of the SEC thereunder applicable to such Parent SEC Documents,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bookmarkStart w:id="196" w:name="i8df2f8ad1ad24c59802e3fbf9357b573"/>
      <w:bookmarkEnd w:id="196"/>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consolidated audited and unaudited interim financial statements of Parent included or incorporated by reference in the Parent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Parent and its Subsidiaries, as of the respective dates thereof and for the respective periods indicated therein (subject, in the case of unaudited interim financial statements, to absence of notes and normal year-end adjustments). To the Knowledge of Parent, as of the date hereof, none of the Parent SEC Documents is the subject of ongoing SEC review and Parent does not have outstanding and unresolved comments from the SEC with respect to any of the Parent SEC Documents. </w:t>
      </w:r>
    </w:p>
    <w:p>
      <w:pPr>
        <w:pStyle w:val="TextBody"/>
        <w:bidi w:val="0"/>
        <w:spacing w:lineRule="auto" w:line="240" w:before="0" w:after="240"/>
        <w:ind w:left="0" w:right="0" w:firstLine="720"/>
        <w:jc w:val="both"/>
        <w:rPr/>
      </w:pPr>
      <w:bookmarkStart w:id="197" w:name="i10b2b218222f40db8707979ffc09c2d2"/>
      <w:bookmarkEnd w:id="197"/>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Other than any off-balance sheet arrangements disclosed in the Parent SEC Documents filed or furnished prior to the date hereof, neither Parent nor any Subsidiary of Parent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Parent in Parent’s published financial statements or any Parent SEC Documents. </w:t>
      </w:r>
    </w:p>
    <w:p>
      <w:pPr>
        <w:pStyle w:val="TextBody"/>
        <w:bidi w:val="0"/>
        <w:spacing w:lineRule="auto" w:line="240" w:before="0" w:after="240"/>
        <w:ind w:left="0" w:right="0" w:firstLine="720"/>
        <w:jc w:val="both"/>
        <w:rPr/>
      </w:pPr>
      <w:bookmarkStart w:id="198" w:name="i84ebfaf452ab43edb33d818ad2383b74"/>
      <w:bookmarkEnd w:id="198"/>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Parent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Parent’s auditors and the board of directors of Parent have not been advised of (i) any significant deficiencies or material weaknesses in the design or operation of internal controls over financial reporting that are reasonably likely to adversely affect in any material respect Parent’s ability to record, process, summarize and report financial information or (ii) any fraud, whether or not material, that involves management or other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60705"/>
                <wp:effectExtent l="0" t="0" r="0" b="0"/>
                <wp:wrapNone/>
                <wp:docPr id="66" name="Frame6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employees who have a significant role in Parent’s internal controls over financial reporting, and, in each case, neither Parent nor any of its Representatives has failed to disclose such information to Parent’s auditors or the Parent Board.</w:t>
      </w:r>
    </w:p>
    <w:p>
      <w:pPr>
        <w:pStyle w:val="TextBody"/>
        <w:bidi w:val="0"/>
        <w:spacing w:lineRule="auto" w:line="240" w:before="0" w:after="240"/>
        <w:ind w:left="0" w:right="0" w:firstLine="720"/>
        <w:jc w:val="both"/>
        <w:rPr/>
      </w:pPr>
      <w:bookmarkStart w:id="199" w:name="ib0d088ac8db94cb1b171a22fd39881d4"/>
      <w:bookmarkEnd w:id="199"/>
      <w:r>
        <w:rPr>
          <w:rFonts w:ascii="Times New Roman;serif" w:hAnsi="Times New Roman;serif"/>
          <w:b w:val="false"/>
          <w:color w:val="000000"/>
          <w:sz w:val="24"/>
        </w:rPr>
        <w:t>(e)</w:t>
      </w:r>
      <w:r>
        <w:rPr>
          <w:rFonts w:ascii="Times New Roman;serif" w:hAnsi="Times New Roman;serif"/>
          <w:b w:val="false"/>
          <w:color w:val="000000"/>
          <w:sz w:val="24"/>
          <w:shd w:fill="FFFFFF" w:val="clear"/>
        </w:rPr>
        <w:t>Neither the Parent nor any of the Subsidiaries of the Parent is, or as of immediately prior to the Company Merger Effective Time will be, required to be registered as an investment company under the Investment Company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00" w:name="ibfab85fad9dd436f89a1b798c6bdc503"/>
      <w:bookmarkEnd w:id="200"/>
      <w:r>
        <w:rPr>
          <w:rFonts w:ascii="Times New Roman;serif" w:hAnsi="Times New Roman;serif"/>
          <w:b w:val="false"/>
          <w:color w:val="000000"/>
          <w:sz w:val="24"/>
        </w:rPr>
        <w:t>5.5.</w:t>
      </w:r>
      <w:r>
        <w:rPr>
          <w:rFonts w:ascii="Times New Roman;serif" w:hAnsi="Times New Roman;serif"/>
          <w:b w:val="false"/>
          <w:color w:val="000000"/>
          <w:sz w:val="24"/>
          <w:u w:val="single"/>
          <w:shd w:fill="FFFFFF" w:val="clear"/>
        </w:rPr>
        <w:t>Proxy Statement/Prospectus; Parent, Merger Sub and Parent Manager Information</w:t>
      </w:r>
      <w:r>
        <w:rPr>
          <w:rFonts w:ascii="Times New Roman;serif" w:hAnsi="Times New Roman;serif"/>
          <w:b w:val="false"/>
          <w:color w:val="000000"/>
          <w:sz w:val="24"/>
          <w:shd w:fill="FFFFFF" w:val="clear"/>
        </w:rPr>
        <w:t xml:space="preserve">. The Proxy Statement/Prospectus, when filed, distributed or otherwise disseminated to the Company’s stockholders or Parent’s stockholders, as applicable, will comply as to form in all material respects with the applicable requirements of the Securities Act and the Exchange Act. None of the information supplied or to be supplied by or on behalf of Parent, Merger Sub or Parent Manager specifically for inclusion or incorporation by reference in the Proxy Statement/Prospectus, at the time it (and any amendment or supplement thereto) is first mailed to the Company’s stockholders and to Parent’s stockholders and at the time of the Company Stockholders Meeting and the Parent Stockholders Meeting, will contain any untrue statement of a material fact or omit to state any material fact required to be stated therein or necessary in order to make the statements therein, in light of the circumstances under which they are made, not misleading. For the avoidance of doubt, no representation or warranty is made by Parent, Merger Sub or Parent Manager with respect to (and nothing in this </w:t>
      </w:r>
      <w:r>
        <w:rPr>
          <w:rFonts w:ascii="Times New Roman;serif" w:hAnsi="Times New Roman;serif"/>
          <w:b w:val="false"/>
          <w:color w:val="000000"/>
          <w:sz w:val="24"/>
          <w:u w:val="single"/>
          <w:shd w:fill="FFFFFF" w:val="clear"/>
        </w:rPr>
        <w:t>Section 5.5</w:t>
      </w:r>
      <w:r>
        <w:rPr>
          <w:color w:val="000000"/>
          <w:shd w:fill="FFFFFF" w:val="clear"/>
        </w:rPr>
        <w:t xml:space="preserve"> </w:t>
      </w:r>
      <w:r>
        <w:rPr>
          <w:rFonts w:ascii="Times New Roman;serif" w:hAnsi="Times New Roman;serif"/>
          <w:b w:val="false"/>
          <w:color w:val="000000"/>
          <w:sz w:val="24"/>
          <w:shd w:fill="FFFFFF" w:val="clear"/>
        </w:rPr>
        <w:t>shall apply to) statements made or incorporated by reference in the Proxy Statement/Prospectus based on information (i) supplied by or on behalf of the Company or any of its Subsidiaries or (ii) not supplied by or on behalf of Parent and not obtained from or incorporated by reference to Parent’s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01" w:name="i17ecc84d4f8943949623db2fd1307ebe"/>
      <w:bookmarkEnd w:id="201"/>
      <w:r>
        <w:rPr>
          <w:rFonts w:ascii="Times New Roman;serif" w:hAnsi="Times New Roman;serif"/>
          <w:b w:val="false"/>
          <w:color w:val="000000"/>
          <w:sz w:val="24"/>
        </w:rPr>
        <w:t>5.6.</w:t>
      </w:r>
      <w:r>
        <w:rPr>
          <w:rFonts w:ascii="Times New Roman;serif" w:hAnsi="Times New Roman;serif"/>
          <w:b w:val="false"/>
          <w:color w:val="000000"/>
          <w:sz w:val="24"/>
          <w:u w:val="single"/>
          <w:shd w:fill="FFFFFF" w:val="clear"/>
        </w:rPr>
        <w:t>No Undisclosed Liabilities</w:t>
      </w:r>
      <w:r>
        <w:rPr>
          <w:rFonts w:ascii="Times New Roman;serif" w:hAnsi="Times New Roman;serif"/>
          <w:b w:val="false"/>
          <w:color w:val="000000"/>
          <w:sz w:val="24"/>
          <w:shd w:fill="FFFFFF" w:val="clear"/>
        </w:rPr>
        <w:t>. There are no Liabilities of Parent or any of its Subsidiaries that would be required to be reflected on a consolidated balance sheet of Parent and its Subsidiaries prepared in accordance with GAAP, except for (a) Liabilities that are reflected or reserved against on the consolidated balance sheet of Parent and its Subsidiaries included in the Parent SEC Documents (including any notes thereto), (b) Liabilities arising in connection with the Transactions, (c) Liabilities incurred in the ordinary course of business consistent with past practice since January 1, 2026, and (d) Liabilities which have not had and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02" w:name="i5100d2fa4d7b4c57b9ef0be8f36de382"/>
      <w:bookmarkEnd w:id="202"/>
      <w:r>
        <w:rPr>
          <w:rFonts w:ascii="Times New Roman;serif" w:hAnsi="Times New Roman;serif"/>
          <w:b w:val="false"/>
          <w:color w:val="000000"/>
          <w:sz w:val="24"/>
        </w:rPr>
        <w:t>5.7.</w:t>
      </w:r>
      <w:r>
        <w:rPr>
          <w:rFonts w:ascii="Times New Roman;serif" w:hAnsi="Times New Roman;serif"/>
          <w:b w:val="false"/>
          <w:color w:val="000000"/>
          <w:sz w:val="24"/>
          <w:u w:val="single"/>
          <w:shd w:fill="FFFFFF" w:val="clear"/>
        </w:rPr>
        <w:t>Taxes</w:t>
      </w:r>
      <w:r>
        <w:rPr>
          <w:rFonts w:ascii="Times New Roman;serif" w:hAnsi="Times New Roman;serif"/>
          <w:b w:val="false"/>
          <w:color w:val="000000"/>
          <w:sz w:val="24"/>
        </w:rPr>
        <w:t xml:space="preserve">. Except as would not reasonably be expected to have, individually or in the aggregate, a Parent Material Adverse Effect, provided that any breach of the representations or warranties in </w:t>
      </w:r>
      <w:r>
        <w:rPr>
          <w:rFonts w:ascii="Times New Roman;serif" w:hAnsi="Times New Roman;serif"/>
          <w:b w:val="false"/>
          <w:color w:val="000000"/>
          <w:sz w:val="24"/>
          <w:u w:val="single"/>
        </w:rPr>
        <w:t>Section 5.7(b)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rPr>
        <w:t>shall be deemed to have a Parent Material Adverse Effect:</w:t>
      </w:r>
    </w:p>
    <w:p>
      <w:pPr>
        <w:pStyle w:val="TextBody"/>
        <w:bidi w:val="0"/>
        <w:spacing w:lineRule="auto" w:line="240" w:before="0" w:after="240"/>
        <w:ind w:left="0" w:right="0" w:firstLine="720"/>
        <w:jc w:val="both"/>
        <w:rPr/>
      </w:pPr>
      <w:bookmarkStart w:id="203" w:name="i308d14cd4f11421ca86171c2031550ff"/>
      <w:bookmarkEnd w:id="203"/>
      <w:r>
        <w:rPr>
          <w:rFonts w:ascii="Times New Roman;serif" w:hAnsi="Times New Roman;serif"/>
          <w:b w:val="false"/>
          <w:color w:val="000000"/>
          <w:sz w:val="24"/>
        </w:rPr>
        <w:t>(a)</w:t>
      </w:r>
      <w:r>
        <w:rPr>
          <w:rFonts w:ascii="Times New Roman;serif" w:hAnsi="Times New Roman;serif"/>
          <w:b w:val="false"/>
          <w:color w:val="000000"/>
          <w:sz w:val="24"/>
          <w:shd w:fill="FFFFFF" w:val="clear"/>
        </w:rPr>
        <w:t>Parent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lineRule="auto" w:line="240" w:before="0" w:after="240"/>
        <w:ind w:left="0" w:right="0" w:firstLine="720"/>
        <w:jc w:val="both"/>
        <w:rPr/>
      </w:pPr>
      <w:bookmarkStart w:id="204" w:name="ib3a6e8cdf97643b5afa1f1b9ed1ecc7c"/>
      <w:bookmarkEnd w:id="204"/>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Parent: (i) for its taxable years commencing with Parent’s taxable year that ended December 31, 2011, and through and including its taxable year ended December 31, 2025, has been subject to taxation as a REIT and has satisfied all requirements to qualify as a REIT in such years; (ii) has operated since January 1, 2026, until the date hereof in a manner consistent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60705"/>
                <wp:effectExtent l="0" t="0" r="0" b="0"/>
                <wp:wrapNone/>
                <wp:docPr id="67" name="Frame6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bookmarkStart w:id="205" w:name="ib60b3941261b43e1a386cc48799d544d"/>
      <w:bookmarkEnd w:id="205"/>
      <w:r>
        <w:rPr>
          <w:rFonts w:ascii="Times New Roman;serif" w:hAnsi="Times New Roman;serif"/>
          <w:b w:val="false"/>
          <w:color w:val="000000"/>
          <w:sz w:val="24"/>
        </w:rPr>
        <w:t>(c)</w:t>
      </w:r>
      <w:r>
        <w:rPr>
          <w:rFonts w:ascii="Times New Roman;serif" w:hAnsi="Times New Roman;serif"/>
          <w:b w:val="false"/>
          <w:color w:val="000000"/>
          <w:sz w:val="24"/>
          <w:shd w:fill="FFFFFF" w:val="clear"/>
        </w:rPr>
        <w:t>Mortgage Acquisition Trust I LLC: (i) for its taxable years commencing with Parent’s taxable year that ended on December 31, 2019,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bookmarkStart w:id="206" w:name="i59f1601573734e628667c0f1fd266cf4"/>
      <w:bookmarkEnd w:id="206"/>
      <w:r>
        <w:rPr>
          <w:rFonts w:ascii="Times New Roman;serif" w:hAnsi="Times New Roman;serif"/>
          <w:b w:val="false"/>
          <w:color w:val="000000"/>
          <w:sz w:val="24"/>
        </w:rPr>
        <w:t>(d)</w:t>
      </w:r>
      <w:r>
        <w:rPr>
          <w:rFonts w:ascii="Times New Roman;serif" w:hAnsi="Times New Roman;serif"/>
          <w:b w:val="false"/>
          <w:color w:val="000000"/>
          <w:sz w:val="24"/>
          <w:shd w:fill="FFFFFF" w:val="clear"/>
        </w:rPr>
        <w:t>WMC Residential Mortgage Sub-REIT I LLC: (i) for its taxable years commencing with Parent’s taxable year that ended on December 31, 2023,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bookmarkStart w:id="207" w:name="ib0f714adcff24a1cb5aa4d3de8dfd811"/>
      <w:bookmarkEnd w:id="207"/>
      <w:r>
        <w:rPr>
          <w:rFonts w:ascii="Times New Roman;serif" w:hAnsi="Times New Roman;serif"/>
          <w:b w:val="false"/>
          <w:color w:val="000000"/>
          <w:sz w:val="24"/>
        </w:rPr>
        <w:t>(e)</w:t>
      </w:r>
      <w:r>
        <w:rPr>
          <w:rFonts w:ascii="Times New Roman;serif" w:hAnsi="Times New Roman;serif"/>
          <w:b w:val="false"/>
          <w:color w:val="000000"/>
          <w:sz w:val="24"/>
          <w:shd w:fill="FFFFFF" w:val="clear"/>
        </w:rPr>
        <w:t>Each of Parent’s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lineRule="auto" w:line="240" w:before="0" w:after="240"/>
        <w:ind w:left="0" w:right="0" w:firstLine="720"/>
        <w:jc w:val="both"/>
        <w:rPr/>
      </w:pPr>
      <w:bookmarkStart w:id="208" w:name="ia8ca29ad444543c3adfcbb7c6e499c9f"/>
      <w:bookmarkEnd w:id="208"/>
      <w:r>
        <w:rPr>
          <w:rFonts w:ascii="Times New Roman;serif" w:hAnsi="Times New Roman;serif"/>
          <w:b w:val="false"/>
          <w:color w:val="000000"/>
          <w:sz w:val="24"/>
        </w:rPr>
        <w:t>(f)</w:t>
      </w:r>
      <w:r>
        <w:rPr>
          <w:rFonts w:ascii="Times New Roman;serif" w:hAnsi="Times New Roman;serif"/>
          <w:b w:val="false"/>
          <w:color w:val="000000"/>
          <w:sz w:val="24"/>
          <w:shd w:fill="FFFFFF" w:val="clear"/>
        </w:rPr>
        <w:t>Parent has made available to the Company complete and accurate copies of all U.S. federal and all other material Tax Returns filed by or on behalf of Parent or its Subsidiaries for any Tax period ending after December 31, 2020.</w:t>
      </w:r>
    </w:p>
    <w:p>
      <w:pPr>
        <w:pStyle w:val="TextBody"/>
        <w:bidi w:val="0"/>
        <w:spacing w:lineRule="auto" w:line="240" w:before="0" w:after="240"/>
        <w:ind w:left="0" w:right="0" w:firstLine="720"/>
        <w:jc w:val="both"/>
        <w:rPr/>
      </w:pPr>
      <w:bookmarkStart w:id="209" w:name="ic0575f274d044bee9c1745e3399a8f12"/>
      <w:bookmarkEnd w:id="209"/>
      <w:r>
        <w:rPr>
          <w:rFonts w:ascii="Times New Roman;serif" w:hAnsi="Times New Roman;serif"/>
          <w:b w:val="false"/>
          <w:color w:val="000000"/>
          <w:sz w:val="24"/>
        </w:rPr>
        <w:t>(g)</w:t>
      </w:r>
      <w:r>
        <w:rPr>
          <w:rFonts w:ascii="Times New Roman;serif" w:hAnsi="Times New Roman;serif"/>
          <w:b w:val="false"/>
          <w:color w:val="000000"/>
          <w:sz w:val="24"/>
          <w:shd w:fill="FFFFFF" w:val="clear"/>
        </w:rPr>
        <w:t>Neither Parent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lineRule="auto" w:line="240" w:before="0" w:after="240"/>
        <w:ind w:left="0" w:right="0" w:firstLine="720"/>
        <w:jc w:val="both"/>
        <w:rPr/>
      </w:pPr>
      <w:bookmarkStart w:id="210" w:name="i6f62c0974fc842af9aa5989832b23b53"/>
      <w:bookmarkEnd w:id="210"/>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There are no audits, investigations by any Governmental Authority or other proceedings pending or, to the Knowledge of Parent, threatened with regard to any material Taxes or Tax Returns of Parent or any of its Subsidiaries; (ii) no material deficiency for Taxes of Parent or any of its Subsidiaries has been claimed, proposed or assessed in writing or, to the Knowledge of Parent, threatened, by any Governmental Authority; (iii) neither Parent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Parent nor any of its Subsidiaries is currently the beneficiary of any extension of time within which to file any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60705"/>
                <wp:effectExtent l="0" t="0" r="0" b="0"/>
                <wp:wrapNone/>
                <wp:docPr id="68" name="Frame6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material Tax Return that remains unfiled (other than pursuant to extensions of time to file Tax Returns obtained in the ordinary course of business); and (v) neither Parent nor any of its Subsidiaries has entered into any “closing agreement” as described in Section 7121 of the Code (or any corresponding or similar provision of state, local or foreign income Tax Law).</w:t>
      </w:r>
    </w:p>
    <w:p>
      <w:pPr>
        <w:pStyle w:val="TextBody"/>
        <w:bidi w:val="0"/>
        <w:spacing w:lineRule="auto" w:line="240" w:before="0" w:after="240"/>
        <w:ind w:left="0" w:right="0" w:firstLine="720"/>
        <w:jc w:val="both"/>
        <w:rPr/>
      </w:pPr>
      <w:bookmarkStart w:id="211" w:name="ia8caf4c7bc7948f7ac0f542041335027"/>
      <w:bookmarkEnd w:id="211"/>
      <w:r>
        <w:rPr>
          <w:rFonts w:ascii="Times New Roman;serif" w:hAnsi="Times New Roman;serif"/>
          <w:b w:val="false"/>
          <w:color w:val="000000"/>
          <w:sz w:val="24"/>
        </w:rPr>
        <w:t>(i)</w:t>
      </w:r>
      <w:r>
        <w:rPr>
          <w:rFonts w:ascii="Times New Roman;serif" w:hAnsi="Times New Roman;serif"/>
          <w:b w:val="false"/>
          <w:color w:val="000000"/>
          <w:sz w:val="24"/>
          <w:shd w:fill="FFFFFF" w:val="clear"/>
        </w:rPr>
        <w:t>Since Parent’s formation, (i) neither Parent nor any of its Subsidiaries has incurred any material liability for Taxes under Sections 857(b), 857(f), 860(c) or 4981 of the Code which have not been previously paid and (ii) neither Parent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Parent, no condition or circumstance exists, which presents a material risk that any material amount of Tax described in the previous sentence will be imposed upon Parent or any of</w:t>
      </w:r>
      <w:r>
        <w:rPr>
          <w:color w:val="000000"/>
        </w:rPr>
        <w:t xml:space="preserve"> </w:t>
      </w:r>
      <w:r>
        <w:rPr>
          <w:rFonts w:ascii="Times New Roman;serif" w:hAnsi="Times New Roman;serif"/>
          <w:b w:val="false"/>
          <w:color w:val="000000"/>
          <w:sz w:val="24"/>
          <w:shd w:fill="FFFFFF" w:val="clear"/>
        </w:rPr>
        <w:t>its Subsidiaries.</w:t>
      </w:r>
    </w:p>
    <w:p>
      <w:pPr>
        <w:pStyle w:val="TextBody"/>
        <w:bidi w:val="0"/>
        <w:spacing w:lineRule="auto" w:line="240" w:before="0" w:after="240"/>
        <w:ind w:left="0" w:right="0" w:firstLine="720"/>
        <w:jc w:val="both"/>
        <w:rPr/>
      </w:pPr>
      <w:bookmarkStart w:id="212" w:name="ifda55d9c8c064a3bba08e4c41a9c5f3d"/>
      <w:bookmarkEnd w:id="212"/>
      <w:r>
        <w:rPr>
          <w:rFonts w:ascii="Times New Roman;serif" w:hAnsi="Times New Roman;serif"/>
          <w:b w:val="false"/>
          <w:color w:val="000000"/>
          <w:sz w:val="24"/>
        </w:rPr>
        <w:t>(j)</w:t>
      </w:r>
      <w:r>
        <w:rPr>
          <w:rFonts w:ascii="Times New Roman;serif" w:hAnsi="Times New Roman;serif"/>
          <w:b w:val="false"/>
          <w:color w:val="000000"/>
          <w:sz w:val="24"/>
          <w:shd w:fill="FFFFFF" w:val="clear"/>
        </w:rPr>
        <w:t>Parent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lineRule="auto" w:line="240" w:before="0" w:after="240"/>
        <w:ind w:left="0" w:right="0" w:firstLine="720"/>
        <w:jc w:val="both"/>
        <w:rPr/>
      </w:pPr>
      <w:bookmarkStart w:id="213" w:name="ic53f2dea27904cb291b45d7a47d7af56"/>
      <w:bookmarkEnd w:id="213"/>
      <w:r>
        <w:rPr>
          <w:rFonts w:ascii="Times New Roman;serif" w:hAnsi="Times New Roman;serif"/>
          <w:b w:val="false"/>
          <w:color w:val="000000"/>
          <w:sz w:val="24"/>
        </w:rPr>
        <w:t>(k)</w:t>
      </w:r>
      <w:r>
        <w:rPr>
          <w:rFonts w:ascii="Times New Roman;serif" w:hAnsi="Times New Roman;serif"/>
          <w:b w:val="false"/>
          <w:color w:val="000000"/>
          <w:sz w:val="24"/>
          <w:shd w:fill="FFFFFF" w:val="clear"/>
        </w:rPr>
        <w:t>There are no material Tax Liens upon any property or assets of Parent or any of its Subsidiaries except for Parent Permitted Liens.</w:t>
      </w:r>
    </w:p>
    <w:p>
      <w:pPr>
        <w:pStyle w:val="TextBody"/>
        <w:bidi w:val="0"/>
        <w:spacing w:lineRule="auto" w:line="240" w:before="0" w:after="240"/>
        <w:ind w:left="0" w:right="0" w:firstLine="720"/>
        <w:jc w:val="both"/>
        <w:rPr/>
      </w:pPr>
      <w:bookmarkStart w:id="214" w:name="i9d2258c2a6d5455d8abf6c7dcc730550"/>
      <w:bookmarkEnd w:id="214"/>
      <w:r>
        <w:rPr>
          <w:rFonts w:ascii="Times New Roman;serif" w:hAnsi="Times New Roman;serif"/>
          <w:b w:val="false"/>
          <w:color w:val="000000"/>
          <w:sz w:val="24"/>
        </w:rPr>
        <w:t>(l)</w:t>
      </w:r>
      <w:r>
        <w:rPr>
          <w:rFonts w:ascii="Times New Roman;serif" w:hAnsi="Times New Roman;serif"/>
          <w:b w:val="false"/>
          <w:color w:val="000000"/>
          <w:sz w:val="24"/>
          <w:shd w:fill="FFFFFF" w:val="clear"/>
        </w:rPr>
        <w:t>Neither Parent nor any of its Subsidiaries has requested, has received or is subject to any written ruling of a Taxing Authority or has entered into any written agreement with a Taxing Authority.</w:t>
      </w:r>
    </w:p>
    <w:p>
      <w:pPr>
        <w:pStyle w:val="TextBody"/>
        <w:bidi w:val="0"/>
        <w:spacing w:lineRule="auto" w:line="240" w:before="0" w:after="240"/>
        <w:ind w:left="0" w:right="0" w:firstLine="720"/>
        <w:jc w:val="both"/>
        <w:rPr/>
      </w:pPr>
      <w:bookmarkStart w:id="215" w:name="idb22b72d99684d079e28e409053455a2"/>
      <w:bookmarkEnd w:id="215"/>
      <w:r>
        <w:rPr>
          <w:rFonts w:ascii="Times New Roman;serif" w:hAnsi="Times New Roman;serif"/>
          <w:b w:val="false"/>
          <w:color w:val="000000"/>
          <w:sz w:val="24"/>
        </w:rPr>
        <w:t>(m)</w:t>
      </w:r>
      <w:r>
        <w:rPr>
          <w:rFonts w:ascii="Times New Roman;serif" w:hAnsi="Times New Roman;serif"/>
          <w:b w:val="false"/>
          <w:color w:val="000000"/>
          <w:sz w:val="24"/>
          <w:shd w:fill="FFFFFF" w:val="clear"/>
        </w:rPr>
        <w:t>There are no Tax allocation, protection or sharing agreements or similar arrangements with respect to or involving Parent or any of its Subsidiaries, and after the Closing Date neither Parent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lineRule="auto" w:line="240" w:before="0" w:after="240"/>
        <w:ind w:left="0" w:right="0" w:firstLine="720"/>
        <w:jc w:val="both"/>
        <w:rPr/>
      </w:pPr>
      <w:bookmarkStart w:id="216" w:name="i32bd9d8f284c418383349d4370c441bb"/>
      <w:bookmarkEnd w:id="216"/>
      <w:r>
        <w:rPr>
          <w:rFonts w:ascii="Times New Roman;serif" w:hAnsi="Times New Roman;serif"/>
          <w:b w:val="false"/>
          <w:color w:val="000000"/>
          <w:sz w:val="24"/>
        </w:rPr>
        <w:t>(n)</w:t>
      </w:r>
      <w:r>
        <w:rPr>
          <w:rFonts w:ascii="Times New Roman;serif" w:hAnsi="Times New Roman;serif"/>
          <w:b w:val="false"/>
          <w:color w:val="000000"/>
          <w:sz w:val="24"/>
          <w:shd w:fill="FFFFFF" w:val="clear"/>
        </w:rPr>
        <w:t>Neither Parent nor any of its Subsidiaries (i) has been a member of an affiliated group filing a consolidated U.S. federal income Tax Return or (ii) has any material liability for the Taxes of any Person (other than Parent or any of its Subsidiaries) under Treasury Regulation Section 1.1502-6 (or any similar provision of state, local or foreign Tax Law), as a transferee or successor, or otherwise by Law or Contract.</w:t>
      </w:r>
    </w:p>
    <w:p>
      <w:pPr>
        <w:pStyle w:val="TextBody"/>
        <w:bidi w:val="0"/>
        <w:spacing w:lineRule="auto" w:line="240" w:before="0" w:after="240"/>
        <w:ind w:left="0" w:right="0" w:firstLine="720"/>
        <w:jc w:val="both"/>
        <w:rPr/>
      </w:pPr>
      <w:bookmarkStart w:id="217" w:name="i31cb4c21f1fc459aaaba4ae502e23dab"/>
      <w:bookmarkEnd w:id="217"/>
      <w:r>
        <w:rPr>
          <w:rFonts w:ascii="Times New Roman;serif" w:hAnsi="Times New Roman;serif"/>
          <w:b w:val="false"/>
          <w:color w:val="000000"/>
          <w:sz w:val="24"/>
        </w:rPr>
        <w:t>(o)</w:t>
      </w:r>
      <w:r>
        <w:rPr>
          <w:rFonts w:ascii="Times New Roman;serif" w:hAnsi="Times New Roman;serif"/>
          <w:b w:val="false"/>
          <w:color w:val="000000"/>
          <w:sz w:val="24"/>
          <w:shd w:fill="FFFFFF" w:val="clear"/>
        </w:rPr>
        <w:t>Neither Parent nor any of its Subsidiaries has participated in any “listed transaction” within the meaning of Treasury Regulation Section 1.6011-4(b)(2).</w:t>
      </w:r>
    </w:p>
    <w:p>
      <w:pPr>
        <w:pStyle w:val="TextBody"/>
        <w:bidi w:val="0"/>
        <w:spacing w:lineRule="auto" w:line="240" w:before="0" w:after="240"/>
        <w:ind w:left="0" w:right="0" w:firstLine="720"/>
        <w:jc w:val="both"/>
        <w:rPr/>
      </w:pPr>
      <w:bookmarkStart w:id="218" w:name="ie317fd5211794d72b09723a9dfbff135"/>
      <w:bookmarkEnd w:id="218"/>
      <w:r>
        <w:rPr>
          <w:rFonts w:ascii="Times New Roman;serif" w:hAnsi="Times New Roman;serif"/>
          <w:b w:val="false"/>
          <w:color w:val="000000"/>
          <w:sz w:val="24"/>
        </w:rPr>
        <w:t>(p)</w:t>
      </w:r>
      <w:r>
        <w:rPr>
          <w:rFonts w:ascii="Times New Roman;serif" w:hAnsi="Times New Roman;serif"/>
          <w:b w:val="false"/>
          <w:color w:val="000000"/>
          <w:sz w:val="24"/>
          <w:shd w:fill="FFFFFF" w:val="clear"/>
        </w:rPr>
        <w:t>Neither Parent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lineRule="auto" w:line="240" w:before="0" w:after="240"/>
        <w:ind w:left="0" w:right="0" w:firstLine="720"/>
        <w:jc w:val="both"/>
        <w:rPr/>
      </w:pPr>
      <w:bookmarkStart w:id="219" w:name="ic09ac4390da84e26a6208b65ed7180a4"/>
      <w:bookmarkEnd w:id="219"/>
      <w:r>
        <w:rPr>
          <w:rFonts w:ascii="Times New Roman;serif" w:hAnsi="Times New Roman;serif"/>
          <w:b w:val="false"/>
          <w:color w:val="000000"/>
          <w:sz w:val="24"/>
        </w:rPr>
        <w:t>(q)</w:t>
      </w:r>
      <w:r>
        <w:rPr>
          <w:rFonts w:ascii="Times New Roman;serif" w:hAnsi="Times New Roman;serif"/>
          <w:b w:val="false"/>
          <w:color w:val="000000"/>
          <w:sz w:val="24"/>
          <w:shd w:fill="FFFFFF" w:val="clear"/>
        </w:rPr>
        <w:t>Neither Parent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60705"/>
                <wp:effectExtent l="0" t="0" r="0" b="0"/>
                <wp:wrapNone/>
                <wp:docPr id="69" name="Frame6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20" w:name="i3d39399e067f4fb0884689de9828f93b"/>
      <w:bookmarkEnd w:id="220"/>
      <w:r>
        <w:rPr>
          <w:rFonts w:ascii="Times New Roman;serif" w:hAnsi="Times New Roman;serif"/>
          <w:b w:val="false"/>
          <w:color w:val="000000"/>
          <w:sz w:val="24"/>
        </w:rPr>
        <w:t>(r)</w:t>
      </w:r>
      <w:r>
        <w:rPr>
          <w:rFonts w:ascii="Times New Roman;serif" w:hAnsi="Times New Roman;serif"/>
          <w:b w:val="false"/>
          <w:color w:val="000000"/>
          <w:sz w:val="24"/>
          <w:shd w:fill="FFFFFF" w:val="clear"/>
        </w:rPr>
        <w:t>No written power of attorney that has been granted by Parent or any of its Subsidiaries (other than to Parent or any of its Subsidiaries) is currently in force with respect to any matter relating to Taxes.</w:t>
      </w:r>
    </w:p>
    <w:p>
      <w:pPr>
        <w:pStyle w:val="TextBody"/>
        <w:bidi w:val="0"/>
        <w:spacing w:lineRule="auto" w:line="240" w:before="0" w:after="240"/>
        <w:ind w:left="0" w:right="0" w:firstLine="720"/>
        <w:jc w:val="both"/>
        <w:rPr/>
      </w:pPr>
      <w:bookmarkStart w:id="221" w:name="i5a2128a7ee084be6b4acb215e8f8466a"/>
      <w:bookmarkEnd w:id="221"/>
      <w:r>
        <w:rPr>
          <w:rFonts w:ascii="Times New Roman;serif" w:hAnsi="Times New Roman;serif"/>
          <w:b w:val="false"/>
          <w:color w:val="000000"/>
          <w:sz w:val="24"/>
        </w:rPr>
        <w:t>(s)</w:t>
      </w:r>
      <w:r>
        <w:rPr>
          <w:rFonts w:ascii="Times New Roman;serif" w:hAnsi="Times New Roman;serif"/>
          <w:b w:val="false"/>
          <w:color w:val="000000"/>
          <w:sz w:val="24"/>
          <w:shd w:fill="FFFFFF" w:val="clear"/>
        </w:rPr>
        <w:t>Neither Parent nor any of its Subsidiaries have experienced an ownership change within the meaning of Section 382 of the Code.</w:t>
      </w:r>
    </w:p>
    <w:p>
      <w:pPr>
        <w:pStyle w:val="TextBody"/>
        <w:bidi w:val="0"/>
        <w:spacing w:lineRule="auto" w:line="240" w:before="0" w:after="240"/>
        <w:ind w:left="0" w:right="0" w:firstLine="720"/>
        <w:jc w:val="both"/>
        <w:rPr/>
      </w:pPr>
      <w:bookmarkStart w:id="222" w:name="ie086a76c71834ae68df1fa3cd0b73a8c"/>
      <w:bookmarkEnd w:id="222"/>
      <w:r>
        <w:rPr>
          <w:rFonts w:ascii="Times New Roman;serif" w:hAnsi="Times New Roman;serif"/>
          <w:b w:val="false"/>
          <w:color w:val="000000"/>
          <w:sz w:val="24"/>
        </w:rPr>
        <w:t>(t)</w:t>
      </w:r>
      <w:r>
        <w:rPr>
          <w:rFonts w:ascii="Times New Roman;serif" w:hAnsi="Times New Roman;serif"/>
          <w:b w:val="false"/>
          <w:color w:val="000000"/>
          <w:sz w:val="24"/>
          <w:shd w:fill="FFFFFF" w:val="clear"/>
        </w:rPr>
        <w:t>Neither Parent nor any of its Subsidiaries has taken any action or failed to take any action which action or failure would reasonably be expected to jeopardize, nor to the Knowledge of Parent is there any other fact or circumstance that could be reasonably expected to prevent, the Company Merger from qualifying as a reorganization within the meaning of Section 368(a) of the Code.</w:t>
      </w:r>
    </w:p>
    <w:p>
      <w:pPr>
        <w:pStyle w:val="TextBody"/>
        <w:bidi w:val="0"/>
        <w:spacing w:lineRule="auto" w:line="240" w:before="0" w:after="240"/>
        <w:ind w:left="0" w:right="0" w:firstLine="720"/>
        <w:jc w:val="both"/>
        <w:rPr/>
      </w:pPr>
      <w:bookmarkStart w:id="223" w:name="i2699970e33c2487789ccff20809f4eb4"/>
      <w:bookmarkEnd w:id="223"/>
      <w:r>
        <w:rPr>
          <w:rFonts w:ascii="Times New Roman;serif" w:hAnsi="Times New Roman;serif"/>
          <w:b w:val="false"/>
          <w:color w:val="000000"/>
          <w:sz w:val="24"/>
        </w:rPr>
        <w:t>(u)</w:t>
      </w:r>
      <w:r>
        <w:rPr>
          <w:rFonts w:ascii="Times New Roman;serif" w:hAnsi="Times New Roman;serif"/>
          <w:b w:val="false"/>
          <w:color w:val="000000"/>
          <w:sz w:val="24"/>
          <w:shd w:fill="FFFFFF" w:val="clear"/>
        </w:rPr>
        <w:t>Neither Parent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w:t>
      </w:r>
    </w:p>
    <w:p>
      <w:pPr>
        <w:pStyle w:val="TextBody"/>
        <w:bidi w:val="0"/>
        <w:spacing w:lineRule="auto" w:line="240" w:before="0" w:after="240"/>
        <w:ind w:left="0" w:right="0" w:firstLine="720"/>
        <w:jc w:val="both"/>
        <w:rPr/>
      </w:pPr>
      <w:bookmarkStart w:id="224" w:name="i77f7401725e8430b88046e31911a39bb"/>
      <w:bookmarkEnd w:id="224"/>
      <w:r>
        <w:rPr>
          <w:rFonts w:ascii="Times New Roman;serif" w:hAnsi="Times New Roman;serif"/>
          <w:b w:val="false"/>
          <w:color w:val="000000"/>
          <w:sz w:val="24"/>
        </w:rPr>
        <w:t>(v)</w:t>
      </w:r>
      <w:r>
        <w:rPr>
          <w:rFonts w:ascii="Times New Roman;serif" w:hAnsi="Times New Roman;serif"/>
          <w:b w:val="false"/>
          <w:color w:val="000000"/>
          <w:sz w:val="24"/>
          <w:shd w:fill="FFFFFF" w:val="clear"/>
        </w:rPr>
        <w:t>Each of Parent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lineRule="auto" w:line="240" w:before="0" w:after="240"/>
        <w:ind w:left="0" w:right="0" w:firstLine="720"/>
        <w:jc w:val="both"/>
        <w:rPr/>
      </w:pPr>
      <w:bookmarkStart w:id="225" w:name="i4d39aed939774c7daee475c421bdb592"/>
      <w:bookmarkEnd w:id="225"/>
      <w:r>
        <w:rPr>
          <w:rFonts w:ascii="Times New Roman;serif" w:hAnsi="Times New Roman;serif"/>
          <w:b w:val="false"/>
          <w:color w:val="000000"/>
          <w:sz w:val="24"/>
        </w:rPr>
        <w:t>(w)</w:t>
      </w:r>
      <w:r>
        <w:rPr>
          <w:rFonts w:ascii="Times New Roman;serif" w:hAnsi="Times New Roman;serif"/>
          <w:b w:val="false"/>
          <w:color w:val="000000"/>
          <w:sz w:val="24"/>
          <w:shd w:fill="FFFFFF" w:val="clear"/>
        </w:rPr>
        <w:t xml:space="preserve">Notwithstanding any other provision of this Agreement, it is agreed and understood that no representation or warranty is made by Parent, Merger Sub or Parent Manager in this Agreement with respect to Taxes, other than the representations and warranties of Parent in this </w:t>
      </w:r>
      <w:r>
        <w:rPr>
          <w:rFonts w:ascii="Times New Roman;serif" w:hAnsi="Times New Roman;serif"/>
          <w:b w:val="false"/>
          <w:color w:val="000000"/>
          <w:sz w:val="24"/>
          <w:u w:val="single"/>
          <w:shd w:fill="FFFFFF" w:val="clear"/>
        </w:rPr>
        <w:t>Section 5.7</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26" w:name="i86be666601fc4db58bee940eb2b4e70e"/>
      <w:bookmarkEnd w:id="226"/>
      <w:r>
        <w:rPr>
          <w:rFonts w:ascii="Times New Roman;serif" w:hAnsi="Times New Roman;serif"/>
          <w:b w:val="false"/>
          <w:color w:val="000000"/>
          <w:sz w:val="24"/>
        </w:rPr>
        <w:t>5.8.</w:t>
      </w:r>
      <w:r>
        <w:rPr>
          <w:rFonts w:ascii="Times New Roman;serif" w:hAnsi="Times New Roman;serif"/>
          <w:b w:val="false"/>
          <w:color w:val="000000"/>
          <w:sz w:val="24"/>
          <w:u w:val="single"/>
          <w:shd w:fill="FFFFFF" w:val="clear"/>
        </w:rPr>
        <w:t>Contracts</w:t>
      </w:r>
      <w:r>
        <w:rPr>
          <w:rFonts w:ascii="Times New Roman;serif" w:hAnsi="Times New Roman;serif"/>
          <w:b w:val="false"/>
          <w:color w:val="000000"/>
          <w:sz w:val="24"/>
        </w:rPr>
        <w:t>. Neither Parent nor any Subsidiary of Parent is in breach of or default under any Parent Material Contract and, to the Knowledge of Parent, as of the date hereof, no other party to any Parent Material Contract is in breach of or default under any Parent Material Contract, and no event has occurred through Parent’s or any of its Subsidiaries’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Parent Material Contract, in each case except as has not had and would not reasonably be expected to have, individually or in the aggregate, a Parent Material Adverse Effect. Except as has not had and would not reasonably be expected to have, individually or in the aggregate, a Parent Material Adverse Effect, each Parent Material Contract (i) is a valid and binding obligation of Parent or the Subsidiary of Parent that is party thereto and, to the Knowledge of Parent, of each other party thereto; and (ii) is in full force and effect, subject to the Enforceability Exceptions. Neither Parent nor any of its Subsidiaries has received any written notice of any other party to a Parent Material Contract to terminate for default, convenience or otherwise, or not renew, any Parent Material Contract, in each case except as has not had and would not reasonably be expected to have, individually or in the aggregate, a Parent Material Adverse Effect.</w:t>
      </w:r>
    </w:p>
    <w:p>
      <w:pPr>
        <w:pStyle w:val="TextBody"/>
        <w:bidi w:val="0"/>
        <w:spacing w:lineRule="auto" w:line="288" w:before="0" w:after="240"/>
        <w:jc w:val="both"/>
        <w:rPr>
          <w:rFonts w:ascii="Times New Roman;serif" w:hAnsi="Times New Roman;serif"/>
          <w:b w:val="false"/>
          <w:color w:val="000000"/>
          <w:sz w:val="24"/>
        </w:rPr>
      </w:pPr>
      <w:bookmarkStart w:id="227" w:name="ie8a27d0cc2f544b0a0639b5bfb79d19a"/>
      <w:bookmarkEnd w:id="227"/>
      <w:r>
        <w:rPr>
          <w:rFonts w:ascii="Times New Roman;serif" w:hAnsi="Times New Roman;serif"/>
          <w:b w:val="false"/>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60705"/>
                <wp:effectExtent l="0" t="0" r="0" b="0"/>
                <wp:wrapNone/>
                <wp:docPr id="70" name="Frame7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28" w:name="i57f230cae41548168fea545c86ab75dc"/>
      <w:bookmarkEnd w:id="228"/>
      <w:r>
        <w:rPr>
          <w:rFonts w:ascii="Times New Roman;serif" w:hAnsi="Times New Roman;serif"/>
          <w:b w:val="false"/>
          <w:color w:val="000000"/>
          <w:sz w:val="24"/>
        </w:rPr>
        <w:t>5.9.</w:t>
      </w:r>
      <w:r>
        <w:rPr>
          <w:rFonts w:ascii="Times New Roman;serif" w:hAnsi="Times New Roman;serif"/>
          <w:b w:val="false"/>
          <w:color w:val="000000"/>
          <w:sz w:val="24"/>
          <w:u w:val="single"/>
          <w:shd w:fill="FFFFFF" w:val="clear"/>
        </w:rPr>
        <w:t>Litigation</w:t>
      </w:r>
      <w:r>
        <w:rPr>
          <w:rFonts w:ascii="Times New Roman;serif" w:hAnsi="Times New Roman;serif"/>
          <w:b w:val="false"/>
          <w:color w:val="000000"/>
          <w:sz w:val="24"/>
        </w:rPr>
        <w:t>. Except as has not had and would not reasonably be expected to have, individually or in the aggregate, a Parent Material Adverse Effect, as of the date hereof, (a) none of Parent or any of its Subsidiaries is subject to any Order, and (b) there is no Litigation before any Governmental Authority, court or quasi-judicial or administrative agency of any federal, state, local or foreign jurisdiction, arbitrator or mediator, pending or, to the Knowledge of Parent, threatened, against Parent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29" w:name="i91e3816994c645ef9e3629dfb1760cbd"/>
      <w:bookmarkEnd w:id="229"/>
      <w:r>
        <w:rPr>
          <w:rFonts w:ascii="Times New Roman;serif" w:hAnsi="Times New Roman;serif"/>
          <w:b w:val="false"/>
          <w:color w:val="000000"/>
          <w:sz w:val="24"/>
        </w:rPr>
        <w:t>5.10.</w:t>
      </w:r>
      <w:r>
        <w:rPr>
          <w:rFonts w:ascii="Times New Roman;serif" w:hAnsi="Times New Roman;serif"/>
          <w:b w:val="false"/>
          <w:color w:val="000000"/>
          <w:sz w:val="24"/>
          <w:u w:val="single"/>
          <w:shd w:fill="FFFFFF" w:val="clear"/>
        </w:rPr>
        <w:t>Compliance with Laws; Permits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30" w:name="i11d0d006b72a4cd59ae232b2c7b6abcf"/>
      <w:bookmarkEnd w:id="230"/>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Except as would not reasonably be expected to have, individually or in the aggregate, a Parent Material Adverse Effect, Parent and each of its Subsidiaries are, and since January 1, 2024, have been, in compliance in all respects with all applicable Laws. </w:t>
      </w:r>
    </w:p>
    <w:p>
      <w:pPr>
        <w:pStyle w:val="TextBody"/>
        <w:bidi w:val="0"/>
        <w:spacing w:lineRule="auto" w:line="240" w:before="0" w:after="240"/>
        <w:ind w:left="0" w:right="0" w:firstLine="720"/>
        <w:jc w:val="both"/>
        <w:rPr/>
      </w:pPr>
      <w:bookmarkStart w:id="231" w:name="ie89cb2a819384484837e89f3127685cd"/>
      <w:bookmarkEnd w:id="231"/>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would not reasonably be expected to have, individually or in the aggregate, a Parent Material Adverse Effect, Parent and its Subsidiaries hold all Permits necessary for Parent and its Subsidiaries to own, lease and operate their properties and assets, and to carry on and operate their businesses as currently conducted. Except as has not had, and would not reasonably be expected to have, individually or in the aggregate, a Parent Material Adverse Effect: (i) all such Permits are in full force and effect; (ii) since January 1, 2024, Parent and each of its Subsidiaries have been in compliance with the terms of all such Permits; and (iii) there is, and since January 1, 2024 has been, no Litigation pending or, to the Knowledge of Parent, threatened in writing asserting any violation of any such Permit or seeking the revocation, cancellation, suspension, limitation or adverse modification of any such Permit.</w:t>
      </w:r>
    </w:p>
    <w:p>
      <w:pPr>
        <w:pStyle w:val="TextBody"/>
        <w:bidi w:val="0"/>
        <w:spacing w:lineRule="auto" w:line="240" w:before="0" w:after="240"/>
        <w:ind w:left="0" w:right="0" w:firstLine="720"/>
        <w:jc w:val="both"/>
        <w:rPr/>
      </w:pPr>
      <w:bookmarkStart w:id="232" w:name="iebebd6851ba446afa85805a892d04a64"/>
      <w:bookmarkEnd w:id="232"/>
      <w:r>
        <w:rPr>
          <w:rFonts w:ascii="Times New Roman;serif" w:hAnsi="Times New Roman;serif"/>
          <w:b w:val="false"/>
          <w:color w:val="000000"/>
          <w:sz w:val="24"/>
        </w:rPr>
        <w:t>(c)</w:t>
      </w:r>
      <w:r>
        <w:rPr>
          <w:rFonts w:ascii="Times New Roman;serif" w:hAnsi="Times New Roman;serif"/>
          <w:b w:val="false"/>
          <w:color w:val="000000"/>
          <w:sz w:val="24"/>
          <w:shd w:fill="FFFFFF" w:val="clear"/>
        </w:rPr>
        <w:t>Except as has not had, and would not reasonably be expected to have, individually or in the aggregate, a Parent Material Adverse Effect, (i) since January 1, 2024 through the date of this Agreement, neither Parent nor any of its Subsidiaries has received written notice or, to the Knowledge of Parent, any other communication from any Governmental Authority alleging any breach of any Governmental Authorization necessary for the ownership and operation of their businesses, (ii) since January 1, 2024, neither Parent nor any of its Subsidiaries has received written notice or, to the Knowledge of Parent, any other communication from any Governmental Authority regarding any actual or threatened involuntary revocation, withdrawal, suspension, cancellation or termination of any such Governmental Authorization and (iii) to the Knowledge of Parent, no event has occurred and is continuing which would be grounds for revocation, withdrawal, suspension, cancellation, or termination of any such Governmental Authorization.</w:t>
      </w:r>
    </w:p>
    <w:p>
      <w:pPr>
        <w:pStyle w:val="TextBody"/>
        <w:bidi w:val="0"/>
        <w:spacing w:lineRule="auto" w:line="240" w:before="0" w:after="240"/>
        <w:ind w:left="0" w:right="0" w:firstLine="720"/>
        <w:jc w:val="both"/>
        <w:rPr/>
      </w:pPr>
      <w:bookmarkStart w:id="233" w:name="ic2aeec67b1bc474787f548dc235a66dc"/>
      <w:bookmarkEnd w:id="233"/>
      <w:r>
        <w:rPr>
          <w:rFonts w:ascii="Times New Roman;serif" w:hAnsi="Times New Roman;serif"/>
          <w:b w:val="false"/>
          <w:color w:val="000000"/>
          <w:sz w:val="24"/>
        </w:rPr>
        <w:t>(d)</w:t>
      </w:r>
      <w:r>
        <w:rPr>
          <w:rFonts w:ascii="Times New Roman;serif" w:hAnsi="Times New Roman;serif"/>
          <w:b w:val="false"/>
          <w:color w:val="000000"/>
          <w:sz w:val="24"/>
          <w:shd w:fill="FFFFFF" w:val="clear"/>
        </w:rPr>
        <w:t>No Subsidiary of Parent is required as of the date hereof to be licensed or registered with any Governmental Authority as an owner or servicer of Mortgage Loans.</w:t>
      </w:r>
    </w:p>
    <w:p>
      <w:pPr>
        <w:pStyle w:val="TextBody"/>
        <w:bidi w:val="0"/>
        <w:spacing w:lineRule="auto" w:line="240" w:before="0" w:after="240"/>
        <w:ind w:left="0" w:right="0" w:firstLine="720"/>
        <w:jc w:val="both"/>
        <w:rPr/>
      </w:pPr>
      <w:bookmarkStart w:id="234" w:name="id5228d6400b748df88e670b8287c550f"/>
      <w:bookmarkEnd w:id="234"/>
      <w:r>
        <w:rPr>
          <w:rFonts w:ascii="Times New Roman;serif" w:hAnsi="Times New Roman;serif"/>
          <w:b w:val="false"/>
          <w:color w:val="000000"/>
          <w:sz w:val="24"/>
        </w:rPr>
        <w:t>(e)</w:t>
      </w:r>
      <w:r>
        <w:rPr>
          <w:rFonts w:ascii="Times New Roman;serif" w:hAnsi="Times New Roman;serif"/>
          <w:b w:val="false"/>
          <w:color w:val="000000"/>
          <w:sz w:val="24"/>
          <w:shd w:fill="FFFFFF" w:val="clear"/>
        </w:rPr>
        <w:t>Except as has not had, and would not reasonably be expected to have, individually or in the aggregate, a Parent Material Adverse Effect, (i) Parent and its Subsidiaries are, and since January 1, 2024 have been, in compliance with the Parent’s and its Subsidiaries’ servicing or, as applicable, subservicing or master servicing, obligations under all Parent Applicable Requirements, (ii) through the date of this Agreement, neither Parent nor any of its Subsidiaries has received written or, to the Knowledge of Parent, oral or other notice of any pending or threatened cancellation or termination of any Parent Servicing Agreement or Parent Subservicing Agreement, and (iii) there has been no servicer default or servicer termination event, and there has been no event, condition or omission that would reasonably constitute a default or breach, under any such Parent Servicing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71" name="Frame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35" w:name="i6c00aed2473a4158a2bf4f221520c10b"/>
      <w:bookmarkEnd w:id="235"/>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anything contained in this </w:t>
      </w:r>
      <w:r>
        <w:rPr>
          <w:rFonts w:ascii="Times New Roman;serif" w:hAnsi="Times New Roman;serif"/>
          <w:b w:val="false"/>
          <w:color w:val="000000"/>
          <w:sz w:val="24"/>
          <w:u w:val="single"/>
          <w:shd w:fill="FFFFFF" w:val="clear"/>
        </w:rPr>
        <w:t>Section 5.10</w:t>
      </w:r>
      <w:r>
        <w:rPr>
          <w:rFonts w:ascii="Times New Roman;serif" w:hAnsi="Times New Roman;serif"/>
          <w:b w:val="false"/>
          <w:color w:val="000000"/>
          <w:sz w:val="24"/>
          <w:shd w:fill="FFFFFF" w:val="clear"/>
        </w:rPr>
        <w:t xml:space="preserve">, no representation or warranty shall be deemed to be made in this </w:t>
      </w:r>
      <w:r>
        <w:rPr>
          <w:rFonts w:ascii="Times New Roman;serif" w:hAnsi="Times New Roman;serif"/>
          <w:b w:val="false"/>
          <w:color w:val="000000"/>
          <w:sz w:val="24"/>
          <w:u w:val="single"/>
          <w:shd w:fill="FFFFFF" w:val="clear"/>
        </w:rPr>
        <w:t>Section 5.10</w:t>
      </w:r>
      <w:r>
        <w:rPr>
          <w:color w:val="000000"/>
          <w:shd w:fill="FFFFFF" w:val="clear"/>
        </w:rPr>
        <w:t xml:space="preserve"> </w:t>
      </w:r>
      <w:r>
        <w:rPr>
          <w:rFonts w:ascii="Times New Roman;serif" w:hAnsi="Times New Roman;serif"/>
          <w:b w:val="false"/>
          <w:color w:val="000000"/>
          <w:sz w:val="24"/>
          <w:shd w:fill="FFFFFF" w:val="clear"/>
        </w:rPr>
        <w:t>in respect of Tax, employee benefits or 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36" w:name="i380ff63617824672b31d6c29bc462c1c"/>
      <w:bookmarkEnd w:id="236"/>
      <w:r>
        <w:rPr>
          <w:rFonts w:ascii="Times New Roman;serif" w:hAnsi="Times New Roman;serif"/>
          <w:b w:val="false"/>
          <w:color w:val="000000"/>
          <w:sz w:val="24"/>
        </w:rPr>
        <w:t>5.11.</w:t>
      </w:r>
      <w:r>
        <w:rPr>
          <w:rFonts w:ascii="Times New Roman;serif" w:hAnsi="Times New Roman;serif"/>
          <w:b w:val="false"/>
          <w:color w:val="000000"/>
          <w:sz w:val="24"/>
          <w:u w:val="single"/>
          <w:shd w:fill="FFFFFF" w:val="clear"/>
        </w:rPr>
        <w:t>Compensation; Benefits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37" w:name="i180fbe0a774242449a48aeaa0e129e04"/>
      <w:bookmarkEnd w:id="237"/>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Other than as set forth on </w:t>
      </w:r>
      <w:r>
        <w:rPr>
          <w:rFonts w:ascii="Times New Roman;serif" w:hAnsi="Times New Roman;serif"/>
          <w:b w:val="false"/>
          <w:color w:val="000000"/>
          <w:sz w:val="24"/>
          <w:u w:val="single"/>
          <w:shd w:fill="FFFFFF" w:val="clear"/>
        </w:rPr>
        <w:t>Schedule 5.11(a)</w:t>
      </w:r>
      <w:r>
        <w:rPr>
          <w:color w:val="000000"/>
          <w:shd w:fill="FFFFFF" w:val="clear"/>
        </w:rPr>
        <w:t xml:space="preserve"> </w:t>
      </w:r>
      <w:r>
        <w:rPr>
          <w:rFonts w:ascii="Times New Roman;serif" w:hAnsi="Times New Roman;serif"/>
          <w:b w:val="false"/>
          <w:color w:val="000000"/>
          <w:sz w:val="24"/>
          <w:shd w:fill="FFFFFF" w:val="clear"/>
        </w:rPr>
        <w:t>of the Parent Disclosure Letter, neither Parent nor any of its Subsidiaries maintain, sponsor, contribute to or have any material liability (whether actual or contingent) with respect to, and since January 1, 2024, have never maintained, sponsored, contributed to or had any material liability (whether actual or contingent) with respect to, any material employee benefit plan.</w:t>
      </w:r>
      <w:r>
        <w:rPr>
          <w:color w:val="000000"/>
        </w:rPr>
        <w:t xml:space="preserve"> </w:t>
      </w:r>
    </w:p>
    <w:p>
      <w:pPr>
        <w:pStyle w:val="TextBody"/>
        <w:bidi w:val="0"/>
        <w:spacing w:lineRule="auto" w:line="240" w:before="0" w:after="240"/>
        <w:ind w:left="0" w:right="0" w:firstLine="720"/>
        <w:jc w:val="both"/>
        <w:rPr/>
      </w:pPr>
      <w:bookmarkStart w:id="238" w:name="i08efbb26b1d1483590fce697058ed165"/>
      <w:bookmarkEnd w:id="238"/>
      <w:r>
        <w:rPr>
          <w:rFonts w:ascii="Times New Roman;serif" w:hAnsi="Times New Roman;serif"/>
          <w:b w:val="false"/>
          <w:color w:val="000000"/>
          <w:sz w:val="24"/>
        </w:rPr>
        <w:t>(b)</w:t>
      </w:r>
      <w:r>
        <w:rPr>
          <w:rFonts w:ascii="Times New Roman;serif" w:hAnsi="Times New Roman;serif"/>
          <w:b w:val="false"/>
          <w:color w:val="000000"/>
          <w:sz w:val="24"/>
          <w:shd w:fill="FFFFFF" w:val="clear"/>
        </w:rPr>
        <w:t>Neither Parent nor any of its Subsidiaries contributes to or has an obligation to contribute to, or has any actual or potential liability in respect of, (i) a plan subject to Title IV of ERISA (including a Multiemployer Plan), Section 302 of ERISA, or Section 412 of the Code, (ii) a “multiple employer plan” within the meaning of Section 210(a) of ERISA or Section 413(c) of the Code or (iii) a “multiple employer welfare arrangement” as defined in Section 3(40) of ERISA.</w:t>
      </w:r>
    </w:p>
    <w:p>
      <w:pPr>
        <w:pStyle w:val="TextBody"/>
        <w:bidi w:val="0"/>
        <w:spacing w:lineRule="auto" w:line="240" w:before="0" w:after="240"/>
        <w:ind w:left="0" w:right="0" w:firstLine="720"/>
        <w:jc w:val="both"/>
        <w:rPr/>
      </w:pPr>
      <w:bookmarkStart w:id="239" w:name="i50e8b4f81ff04b36ba259f9759a201c2"/>
      <w:bookmarkEnd w:id="239"/>
      <w:r>
        <w:rPr>
          <w:rFonts w:ascii="Times New Roman;serif" w:hAnsi="Times New Roman;serif"/>
          <w:b w:val="false"/>
          <w:color w:val="000000"/>
          <w:sz w:val="24"/>
        </w:rPr>
        <w:t>(c)</w:t>
      </w:r>
      <w:r>
        <w:rPr>
          <w:rFonts w:ascii="Times New Roman;serif" w:hAnsi="Times New Roman;serif"/>
          <w:b w:val="false"/>
          <w:color w:val="000000"/>
          <w:sz w:val="24"/>
          <w:shd w:fill="FFFFFF" w:val="clear"/>
        </w:rPr>
        <w:t>Neither Parent nor any of its Subsidiaries has any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0" w:name="i4556df1da0bc4848b2b13c591ed87cfc"/>
      <w:bookmarkEnd w:id="240"/>
      <w:r>
        <w:rPr>
          <w:rFonts w:ascii="Times New Roman;serif" w:hAnsi="Times New Roman;serif"/>
          <w:b w:val="false"/>
          <w:color w:val="000000"/>
          <w:sz w:val="24"/>
        </w:rPr>
        <w:t>5.12.</w:t>
      </w:r>
      <w:r>
        <w:rPr>
          <w:rFonts w:ascii="Times New Roman;serif" w:hAnsi="Times New Roman;serif"/>
          <w:b w:val="false"/>
          <w:color w:val="000000"/>
          <w:sz w:val="24"/>
          <w:u w:val="single"/>
          <w:shd w:fill="FFFFFF" w:val="clear"/>
        </w:rPr>
        <w:t>Absence of Changes</w:t>
      </w:r>
      <w:r>
        <w:rPr>
          <w:rFonts w:ascii="Times New Roman;serif" w:hAnsi="Times New Roman;serif"/>
          <w:b w:val="false"/>
          <w:color w:val="000000"/>
          <w:sz w:val="24"/>
        </w:rPr>
        <w:t>. Since December 31, 2025 through the date of this Agreement, except for events giving rise to, and the discussion and negotiation of, this Agreement, Parent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Parent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1" w:name="i48b450ba2155459f8ec195b6bcba4028"/>
      <w:bookmarkEnd w:id="241"/>
      <w:r>
        <w:rPr>
          <w:rFonts w:ascii="Times New Roman;serif" w:hAnsi="Times New Roman;serif"/>
          <w:b w:val="false"/>
          <w:color w:val="000000"/>
          <w:sz w:val="24"/>
        </w:rPr>
        <w:t>5.13.</w:t>
      </w:r>
      <w:r>
        <w:rPr>
          <w:rFonts w:ascii="Times New Roman;serif" w:hAnsi="Times New Roman;serif"/>
          <w:b w:val="false"/>
          <w:color w:val="000000"/>
          <w:sz w:val="24"/>
          <w:u w:val="single"/>
          <w:shd w:fill="FFFFFF" w:val="clear"/>
        </w:rPr>
        <w:t>Operations of Merger Sub</w:t>
      </w:r>
      <w:r>
        <w:rPr>
          <w:rFonts w:ascii="Times New Roman;serif" w:hAnsi="Times New Roman;serif"/>
          <w:b w:val="false"/>
          <w:color w:val="000000"/>
          <w:sz w:val="24"/>
        </w:rPr>
        <w:t xml:space="preserve">. Merger Sub was formed specifically for the Transactions. Since its date of incorporation, Merger Sub has not, and prior to the Company Merger Effective Time will not have, carried on any business or conducted any operations other than the execution of this Agreement, the performance of its obligations hereunder and matters ancillary thereto and has, and prior to the Company Merger Effective Time will have, no assets, liabilities or obligations of any nature other than those incident to its formation and pursuant to this Agreement and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2" w:name="i25414eb5821d441490e792b90cbf51c1"/>
      <w:bookmarkEnd w:id="242"/>
      <w:r>
        <w:rPr>
          <w:rFonts w:ascii="Times New Roman;serif" w:hAnsi="Times New Roman;serif"/>
          <w:b w:val="false"/>
          <w:color w:val="000000"/>
          <w:sz w:val="24"/>
        </w:rPr>
        <w:t>5.14.</w:t>
      </w:r>
      <w:r>
        <w:rPr>
          <w:rFonts w:ascii="Times New Roman;serif" w:hAnsi="Times New Roman;serif"/>
          <w:b w:val="false"/>
          <w:color w:val="000000"/>
          <w:sz w:val="24"/>
          <w:u w:val="single"/>
          <w:shd w:fill="FFFFFF" w:val="clear"/>
        </w:rPr>
        <w:t>Ownership of Company Common Stock, Company Preferred Stock or Company Partnership Units</w:t>
      </w:r>
      <w:r>
        <w:rPr>
          <w:rFonts w:ascii="Times New Roman;serif" w:hAnsi="Times New Roman;serif"/>
          <w:b w:val="false"/>
          <w:color w:val="000000"/>
          <w:sz w:val="24"/>
          <w:shd w:fill="FFFFFF" w:val="clear"/>
        </w:rPr>
        <w:t xml:space="preserve">. Except as set forth on </w:t>
      </w:r>
      <w:r>
        <w:rPr>
          <w:rFonts w:ascii="Times New Roman;serif" w:hAnsi="Times New Roman;serif"/>
          <w:b w:val="false"/>
          <w:color w:val="000000"/>
          <w:sz w:val="24"/>
          <w:u w:val="single"/>
          <w:shd w:fill="FFFFFF" w:val="clear"/>
        </w:rPr>
        <w:t>Section 5.14</w:t>
      </w:r>
      <w:r>
        <w:rPr>
          <w:color w:val="000000"/>
          <w:shd w:fill="FFFFFF" w:val="clear"/>
        </w:rPr>
        <w:t xml:space="preserve"> </w:t>
      </w:r>
      <w:r>
        <w:rPr>
          <w:rFonts w:ascii="Times New Roman;serif" w:hAnsi="Times New Roman;serif"/>
          <w:b w:val="false"/>
          <w:color w:val="000000"/>
          <w:sz w:val="24"/>
          <w:shd w:fill="FFFFFF" w:val="clear"/>
        </w:rPr>
        <w:t>of the Parent Disclosure Letter none of Parent, Merger Sub or any of their respective Subsidiaries or Affiliates beneficially owns, directly or indirectly (including pursuant to a derivative contract), any shares of Company Common Stock or Company Preferred Stock or any Company Partnership Units, or other securities convertible into, exchangeable for or exercisable for shares of Company Common Stock or Company Preferred Stock or Company Partnership Units or any other securities of the Company or any securities of any Subsidiary of the Company, and none of Parent, Merger Sub or any of their respective Subsidiaries or Affiliates has any rights to acquire, directly or indirectly, any shares of Company Common Stock or Company Preferred Stock or Company Partnership Units or any of the foregoing securities, except pursuant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3" w:name="if9d0d86429004903a2d1a31d8c775228"/>
      <w:bookmarkEnd w:id="243"/>
      <w:r>
        <w:rPr>
          <w:rFonts w:ascii="Times New Roman;serif" w:hAnsi="Times New Roman;serif"/>
          <w:b w:val="false"/>
          <w:color w:val="000000"/>
          <w:sz w:val="24"/>
        </w:rPr>
        <w:t>5.15.</w:t>
      </w:r>
      <w:r>
        <w:rPr>
          <w:rFonts w:ascii="Times New Roman;serif" w:hAnsi="Times New Roman;serif"/>
          <w:b w:val="false"/>
          <w:color w:val="000000"/>
          <w:sz w:val="24"/>
          <w:u w:val="single"/>
          <w:shd w:fill="FFFFFF" w:val="clear"/>
        </w:rPr>
        <w:t>Available Funds</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244" w:name="i92d5da6b3248496582f15a77b26f2d07"/>
      <w:bookmarkEnd w:id="244"/>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Parent’s obligations under this Agreement are not subject to a condition regarding Parent’s obtaining of funds to pay the aggregate Per Share Parent Cash Consideration. Parent has, as of the date of this Agreement, and Parent will continue to have from the date hereof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60705"/>
                <wp:effectExtent l="0" t="0" r="0" b="0"/>
                <wp:wrapNone/>
                <wp:docPr id="72" name="Frame7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through the Company Merger Effective Time, access to immediately available funds sufficient to enable Parent to make all payments contemplated by this Agreement, including the payment of the Per Share Parent Cash Consideration.</w:t>
      </w:r>
    </w:p>
    <w:p>
      <w:pPr>
        <w:pStyle w:val="TextBody"/>
        <w:bidi w:val="0"/>
        <w:spacing w:lineRule="auto" w:line="240" w:before="0" w:after="240"/>
        <w:ind w:left="0" w:right="0" w:firstLine="720"/>
        <w:jc w:val="both"/>
        <w:rPr/>
      </w:pPr>
      <w:bookmarkStart w:id="245" w:name="i4737e9a01f4a497b92f648eca20e85c6"/>
      <w:bookmarkEnd w:id="245"/>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Manager’s obligations under this Agreement are not subject to a condition regarding Parent Manager’s obtaining funds to pay the aggregate Per Share Additional Manager Consideration. Parent Manager has, as of the date of this Agreement, and Parent Manager will continue to have from the date hereof through the Company Merger Effective Time, access to immediately available funds sufficient to enable Parent Manager to make all payments contemplated by this Agreement, including the payment of the Per Share Additional Manager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6" w:name="iea597d5671a4435ca7a06e29a9cd92ac"/>
      <w:bookmarkEnd w:id="246"/>
      <w:r>
        <w:rPr>
          <w:rFonts w:ascii="Times New Roman;serif" w:hAnsi="Times New Roman;serif"/>
          <w:b w:val="false"/>
          <w:color w:val="000000"/>
          <w:sz w:val="24"/>
        </w:rPr>
        <w:t>5.16.</w:t>
      </w:r>
      <w:r>
        <w:rPr>
          <w:rFonts w:ascii="Times New Roman;serif" w:hAnsi="Times New Roman;serif"/>
          <w:b w:val="false"/>
          <w:color w:val="000000"/>
          <w:sz w:val="24"/>
          <w:u w:val="single"/>
          <w:shd w:fill="FFFFFF" w:val="clear"/>
        </w:rPr>
        <w:t>Support Agreement</w:t>
      </w:r>
      <w:r>
        <w:rPr>
          <w:rFonts w:ascii="Times New Roman;serif" w:hAnsi="Times New Roman;serif"/>
          <w:b w:val="false"/>
          <w:color w:val="000000"/>
          <w:sz w:val="24"/>
          <w:shd w:fill="FFFFFF" w:val="clear"/>
        </w:rPr>
        <w:t>. On or prior to the date hereof, Parent has delivered to the Company a true and complete copy of the Support Agreement, dated as of the date of this Agreement, which has been duly executed and validly delivered by AG MIT, LLC. The Support Agreement constitutes a legal, valid and binding obligation of AG MIT, LLC enforceable against AG MIT, LLC in accordance with the Support Agreement’s terms, subject to the Enforceability Exceptions. No event has occurred or circumstance exists that, with or without notice, lapse of time or both, would constitute a breach or default on the part of AG MIT, LLC under the Support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7" w:name="idaffed631fc34c97ba68a3c4ca229a0e"/>
      <w:bookmarkEnd w:id="247"/>
      <w:r>
        <w:rPr>
          <w:rFonts w:ascii="Times New Roman;serif" w:hAnsi="Times New Roman;serif"/>
          <w:b w:val="false"/>
          <w:color w:val="000000"/>
          <w:sz w:val="24"/>
        </w:rPr>
        <w:t>5.17.</w:t>
      </w:r>
      <w:r>
        <w:rPr>
          <w:rFonts w:ascii="Times New Roman;serif" w:hAnsi="Times New Roman;serif"/>
          <w:b w:val="false"/>
          <w:color w:val="000000"/>
          <w:sz w:val="24"/>
          <w:u w:val="single"/>
          <w:shd w:fill="FFFFFF" w:val="clear"/>
        </w:rPr>
        <w:t>Brokers and Finders</w:t>
      </w:r>
      <w:r>
        <w:rPr>
          <w:rFonts w:ascii="Times New Roman;serif" w:hAnsi="Times New Roman;serif"/>
          <w:b w:val="false"/>
          <w:color w:val="000000"/>
          <w:sz w:val="24"/>
        </w:rPr>
        <w:t>. Except for Piper Sandler &amp; Co., neither Parent nor any of Parent’s Subsidiaries has employed any investment banker, broker or finder in connection with the Transactions who would be entitled to any fee or any commission in connection with or upon consummation of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8" w:name="i96d4bc0a2ed54c0593c839d93db6233e"/>
      <w:bookmarkEnd w:id="248"/>
      <w:r>
        <w:rPr>
          <w:rFonts w:ascii="Times New Roman;serif" w:hAnsi="Times New Roman;serif"/>
          <w:b w:val="false"/>
          <w:color w:val="000000"/>
          <w:sz w:val="24"/>
        </w:rPr>
        <w:t>5.18.</w:t>
      </w:r>
      <w:r>
        <w:rPr>
          <w:rFonts w:ascii="Times New Roman;serif" w:hAnsi="Times New Roman;serif"/>
          <w:b w:val="false"/>
          <w:color w:val="000000"/>
          <w:sz w:val="24"/>
          <w:u w:val="single"/>
          <w:shd w:fill="FFFFFF" w:val="clear"/>
        </w:rPr>
        <w:t>Opinion of Financial Advisor</w:t>
      </w:r>
      <w:r>
        <w:rPr>
          <w:rFonts w:ascii="Times New Roman;serif" w:hAnsi="Times New Roman;serif"/>
          <w:b w:val="false"/>
          <w:color w:val="000000"/>
          <w:sz w:val="24"/>
          <w:shd w:fill="FFFFFF" w:val="clear"/>
        </w:rPr>
        <w:t>. The Parent Board has received the opinion of Piper Sandler &amp; Co. addressed to the Parent Board to the effect that, based upon and subject to the limitations, qualifications and assumptions set forth therein, as of the date of the opinion, the aggregate Per Share Parent Consideration payable pursuant to this Agreement is fair, from a financial point of view, to Parent. A copy of such opinion will be promptly provided to the Company for informational purposes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49" w:name="i03e47cb3677540ef99c18973d0fed53a"/>
      <w:bookmarkEnd w:id="249"/>
      <w:r>
        <w:rPr>
          <w:rFonts w:ascii="Times New Roman;serif" w:hAnsi="Times New Roman;serif"/>
          <w:b w:val="false"/>
          <w:color w:val="000000"/>
          <w:sz w:val="24"/>
        </w:rPr>
        <w:t>5.19.</w:t>
      </w:r>
      <w:r>
        <w:rPr>
          <w:rFonts w:ascii="Times New Roman;serif" w:hAnsi="Times New Roman;serif"/>
          <w:b w:val="false"/>
          <w:color w:val="000000"/>
          <w:sz w:val="24"/>
          <w:u w:val="single"/>
          <w:shd w:fill="FFFFFF" w:val="clear"/>
        </w:rPr>
        <w:t>Investigation; No Other Representations</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shd w:fill="FFFFFF" w:val="clear"/>
        </w:rPr>
        <w:t xml:space="preserve">Each of Parent and Merger Sub has conducted its own independent review and analysis of the business, operations, assets, Contracts, Intellectual Property, real estate, technology, Liabilities, results of operations, financial condition and prospects of the Company and its Subsidiaries, and each of them acknowledges that it and its Representatives have received access to certain books and records, facilities, equipment, Contracts and other assets of the Company and its Subsidiaries that it and its Representatives have requested to review and that it and its Representatives have had the opportunity to meet with the management of the Company and to discuss the business and assets of the Company and its Subsidiaries. Parent and Merger Sub acknowledge and agree that, except for the representations and warranties expressly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(as qualified by the Company Disclosure Letter) or any certificate delivered by the Company pursuant to this Agreement (a) the Company does not make, or has not made, and neither Parent nor Merger Sub has relied on, any express or implied representations or warranties relating to the Company, its Subsidiaries or their respective businesses or otherwise; (b) no Person has been authorized by the Company to make any representation or warranty relating to it or its business or otherwise in connection with the Transactions, and if made, such representation or warranty must not be relied upon by Parent or Merger Sub as having been authorized by such party. Parent and Merger Sub further acknowledge and agree that any estimates, projections, predictions, data, financial information, memoranda, presentations or any other materials or information provided or addressed to Parent or Merger Sub or any of their Representatives are not and shall not be deemed to be or include representations or warranties unless any such materials or information is the subject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60705"/>
                <wp:effectExtent l="0" t="0" r="0" b="0"/>
                <wp:wrapNone/>
                <wp:docPr id="73" name="Frame7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express representation or warranty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or any certificate delivered by the Company pursuant to this Agreement. Without limiting the foregoing, each of Parent and Merger Sub acknowledge and agree that, except for any remedies available under this Agreement with respect to the representations and warranties expressly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(as qualified by the Company Disclosure Letter) or in any certificate delivered by the Company pursuant to this Agreement,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or on behalf of the Company or its Representatives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250" w:name="i48a2f54640ed43b5858434ce67f78ef3"/>
      <w:bookmarkEnd w:id="250"/>
      <w:r>
        <w:rPr>
          <w:rFonts w:ascii="Times New Roman;serif" w:hAnsi="Times New Roman;serif"/>
          <w:b w:val="false"/>
          <w:color w:val="000000"/>
          <w:sz w:val="24"/>
        </w:rPr>
        <w:t>Article VI</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COVENANTS AND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51" w:name="i3ad03f26cf3d44959b5c644e663f5857"/>
      <w:bookmarkEnd w:id="251"/>
      <w:r>
        <w:rPr>
          <w:rFonts w:ascii="Times New Roman;serif" w:hAnsi="Times New Roman;serif"/>
          <w:b w:val="false"/>
          <w:color w:val="000000"/>
          <w:sz w:val="24"/>
        </w:rPr>
        <w:t>6.1.</w:t>
      </w:r>
      <w:r>
        <w:rPr>
          <w:rFonts w:ascii="Times New Roman;serif" w:hAnsi="Times New Roman;serif"/>
          <w:b w:val="false"/>
          <w:color w:val="000000"/>
          <w:sz w:val="24"/>
          <w:u w:val="single"/>
          <w:shd w:fill="FFFFFF" w:val="clear"/>
        </w:rPr>
        <w:t>Access to Information, Personnel and Facilities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252" w:name="i521ff883fe074aebbc7f51d07814ac87"/>
      <w:bookmarkEnd w:id="252"/>
      <w:r>
        <w:rPr>
          <w:rFonts w:ascii="Times New Roman;serif" w:hAnsi="Times New Roman;serif"/>
          <w:b w:val="false"/>
          <w:color w:val="000000"/>
          <w:sz w:val="24"/>
        </w:rPr>
        <w:t>(a)</w:t>
      </w:r>
      <w:r>
        <w:rPr>
          <w:rFonts w:ascii="Times New Roman;serif" w:hAnsi="Times New Roman;serif"/>
          <w:b w:val="false"/>
          <w:color w:val="000000"/>
          <w:sz w:val="24"/>
          <w:shd w:fill="FFFFFF" w:val="clear"/>
        </w:rPr>
        <w:t>From the date of this Agreement until the earlier of the Company Merger Effective Time or the date this Agreement is terminated (the “</w:t>
      </w:r>
      <w:r>
        <w:rPr>
          <w:rFonts w:ascii="Times New Roman;serif" w:hAnsi="Times New Roman;serif"/>
          <w:b w:val="false"/>
          <w:color w:val="000000"/>
          <w:sz w:val="24"/>
          <w:u w:val="single"/>
          <w:shd w:fill="FFFFFF" w:val="clear"/>
        </w:rPr>
        <w:t>Interim Period</w:t>
      </w:r>
      <w:r>
        <w:rPr>
          <w:color w:val="000000"/>
          <w:shd w:fill="FFFFFF" w:val="clear"/>
        </w:rPr>
        <w:t>”</w:t>
      </w:r>
      <w:r>
        <w:rPr>
          <w:rFonts w:ascii="Times New Roman;serif" w:hAnsi="Times New Roman;serif"/>
          <w:b w:val="false"/>
          <w:color w:val="000000"/>
          <w:sz w:val="24"/>
          <w:shd w:fill="FFFFFF" w:val="clear"/>
        </w:rPr>
        <w:t xml:space="preserve">), subject to </w:t>
      </w:r>
      <w:r>
        <w:rPr>
          <w:rFonts w:ascii="Times New Roman;serif" w:hAnsi="Times New Roman;serif"/>
          <w:b w:val="false"/>
          <w:color w:val="000000"/>
          <w:sz w:val="24"/>
          <w:u w:val="single"/>
          <w:shd w:fill="FFFFFF" w:val="clear"/>
        </w:rPr>
        <w:t>Section 6.1(b)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6.1(c)</w:t>
      </w:r>
      <w:r>
        <w:rPr>
          <w:rFonts w:ascii="Times New Roman;serif" w:hAnsi="Times New Roman;serif"/>
          <w:b w:val="false"/>
          <w:color w:val="000000"/>
          <w:sz w:val="24"/>
          <w:shd w:fill="FFFFFF" w:val="clear"/>
        </w:rPr>
        <w:t xml:space="preserve">, Parent and the Company shall, and shall cause their respective Subsidiaries to, give the other party and its Representatives, upon reasonable notice, reasonable access during normal business hours to the books and records, real property, offices and facilities of such party and its Subsidiaries, and, during such normal business hours in the Interim Period, such party shall, and shall cause its Subsidiaries to, make the officers and employees of such party and its Subsidiaries available to the other party and its Representatives and to furnish to the other party all financial, operating and other data and information, in each case, (i) as the other party shall from time to time reasonably request for the purpose of furthering the Transactions (including for the purpose of (x) in the case of Parent, assisting Parent in confirming the satisfaction of the conditions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 xml:space="preserve">and (y) in the case of the Company, assisting the Company in confirming the satisfaction of the conditions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w:t>
      </w:r>
      <w:r>
        <w:rPr>
          <w:rFonts w:ascii="Times New Roman;serif" w:hAnsi="Times New Roman;serif"/>
          <w:b w:val="false"/>
          <w:color w:val="000000"/>
          <w:sz w:val="24"/>
          <w:shd w:fill="FFFFFF" w:val="clear"/>
        </w:rPr>
        <w:t xml:space="preserve">) and for integration planning purposes; and (ii) to the extent that such access and disclosure would not obligate such party or any of its Subsidiaries to take any actions that would unreasonably interfere with the normal course of their businesses;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subject to </w:t>
      </w:r>
      <w:r>
        <w:rPr>
          <w:rFonts w:ascii="Times New Roman;serif" w:hAnsi="Times New Roman;serif"/>
          <w:b w:val="false"/>
          <w:color w:val="000000"/>
          <w:sz w:val="24"/>
          <w:u w:val="single"/>
          <w:shd w:fill="FFFFFF" w:val="clear"/>
        </w:rPr>
        <w:t>Section 6.21(g)</w:t>
      </w:r>
      <w:r>
        <w:rPr>
          <w:rFonts w:ascii="Times New Roman;serif" w:hAnsi="Times New Roman;serif"/>
          <w:b w:val="false"/>
          <w:color w:val="000000"/>
          <w:sz w:val="24"/>
          <w:shd w:fill="FFFFFF" w:val="clear"/>
        </w:rPr>
        <w:t>, in no event shall access to any personnel of the Company and its Subsidiaries be made available to Parent or any of its Representatives for the purpose of negotiating and/or entering into any new employment or compensation arrangements without the Company’s prior written consent, not to be unreasonably withheld, conditioned or delayed.</w:t>
      </w:r>
    </w:p>
    <w:p>
      <w:pPr>
        <w:pStyle w:val="TextBody"/>
        <w:bidi w:val="0"/>
        <w:spacing w:lineRule="auto" w:line="240" w:before="0" w:after="240"/>
        <w:ind w:left="0" w:right="0" w:firstLine="720"/>
        <w:jc w:val="both"/>
        <w:rPr/>
      </w:pPr>
      <w:bookmarkStart w:id="253" w:name="i7cc6d866cdf24e4584c5f333aeacc773"/>
      <w:bookmarkEnd w:id="253"/>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Nothing in </w:t>
      </w:r>
      <w:r>
        <w:rPr>
          <w:rFonts w:ascii="Times New Roman;serif" w:hAnsi="Times New Roman;serif"/>
          <w:b w:val="false"/>
          <w:color w:val="000000"/>
          <w:sz w:val="24"/>
          <w:u w:val="single"/>
          <w:shd w:fill="FFFFFF" w:val="clear"/>
        </w:rPr>
        <w:t>Section 6.1(a)</w:t>
      </w:r>
      <w:r>
        <w:rPr>
          <w:color w:val="000000"/>
          <w:shd w:fill="FFFFFF" w:val="clear"/>
        </w:rPr>
        <w:t xml:space="preserve"> </w:t>
      </w:r>
      <w:r>
        <w:rPr>
          <w:rFonts w:ascii="Times New Roman;serif" w:hAnsi="Times New Roman;serif"/>
          <w:b w:val="false"/>
          <w:color w:val="000000"/>
          <w:sz w:val="24"/>
          <w:shd w:fill="FFFFFF" w:val="clear"/>
        </w:rPr>
        <w:t xml:space="preserve">shall require Parent or the Company to provide access or to disclose any information to the other party hereto or its Representatives if such access or disclosure, (i) jeopardizes the health and safety of any officer or employee of such party or any of its Subsidiaries; (ii) constitutes a violation of applicable Laws; (iii) causes a breach of, or material default pursuant to, any binding agreement entered into by such party or its Subsidiaries prior to the date of this Agreement; (iv) would reasonably be expected to result in a loss or impairment of the protection of any attorney-client or work product privilege; (v) would result in the disclosure of Trade Secrets of any Person; or (vi) relates to the Company and the Company Board’s evaluation or negotiation of the Transactions or any other transaction or strategic alternatives review process;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in such instances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60705"/>
                <wp:effectExtent l="0" t="0" r="0" b="0"/>
                <wp:wrapNone/>
                <wp:docPr id="74" name="Frame7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such party shall inform the other party of the general nature of the information being withheld and, upon the other party’s request, exercise commercially reasonable efforts to provide such information, in whole or in part, in a manner that would not result in any of the outcomes described in this sentence. If any of the information or material furnished pursuant to </w:t>
      </w:r>
      <w:r>
        <w:rPr>
          <w:rFonts w:ascii="Times New Roman;serif" w:hAnsi="Times New Roman;serif"/>
          <w:b w:val="false"/>
          <w:color w:val="000000"/>
          <w:sz w:val="24"/>
          <w:u w:val="single"/>
          <w:shd w:fill="FFFFFF" w:val="clear"/>
        </w:rPr>
        <w:t>Section 6.1(a)</w:t>
      </w:r>
      <w:r>
        <w:rPr>
          <w:color w:val="000000"/>
          <w:shd w:fill="FFFFFF" w:val="clear"/>
        </w:rPr>
        <w:t xml:space="preserve"> </w:t>
      </w:r>
      <w:r>
        <w:rPr>
          <w:rFonts w:ascii="Times New Roman;serif" w:hAnsi="Times New Roman;serif"/>
          <w:b w:val="false"/>
          <w:color w:val="000000"/>
          <w:sz w:val="24"/>
          <w:shd w:fill="FFFFFF" w:val="clear"/>
        </w:rPr>
        <w:t>includes material or information subject to the attorney-client privilege, work product doctrine or any other applicable privilege concerning pending or threatened Litigation or governmental investigations, each party hereto understands and agrees that the parties hereto have a commonality of interest with respect to such matters and it is the desire, intention and mutual understanding of the parties hereto that the sharing of such material or information is not intended to, and shall not, waive or diminish in any way the confidentiality of such material or information or its continued protection under the attorney-client privilege, work product doctrine or other applicable privilege. All such information provided by Parent or the Company that is entitled to protection under the attorney-client privilege, work product doctrine or other applicable privilege shall remain entitled to such protection under these privileges, this Agreement and the joint defense doctrine. In no event shall the work papers of Parent’s, the Company’s and their respective Subsidiaries’ independent accountants and auditors be accessible to the other party or any of its Representatives unless and until such accountants and auditors have provided a consent related thereto in form and substance reasonably acceptable to such auditors or independent accountants.</w:t>
      </w:r>
    </w:p>
    <w:p>
      <w:pPr>
        <w:pStyle w:val="TextBody"/>
        <w:bidi w:val="0"/>
        <w:spacing w:lineRule="auto" w:line="240" w:before="0" w:after="240"/>
        <w:ind w:left="0" w:right="0" w:firstLine="720"/>
        <w:jc w:val="both"/>
        <w:rPr/>
      </w:pPr>
      <w:bookmarkStart w:id="254" w:name="ie8ecb186659644dcacea9663b821aec6"/>
      <w:bookmarkEnd w:id="254"/>
      <w:r>
        <w:rPr>
          <w:rFonts w:ascii="Times New Roman;serif" w:hAnsi="Times New Roman;serif"/>
          <w:b w:val="false"/>
          <w:color w:val="000000"/>
          <w:sz w:val="24"/>
        </w:rPr>
        <w:t>(c)</w:t>
      </w:r>
      <w:r>
        <w:rPr>
          <w:rFonts w:ascii="Times New Roman;serif" w:hAnsi="Times New Roman;serif"/>
          <w:b w:val="false"/>
          <w:color w:val="000000"/>
          <w:sz w:val="24"/>
          <w:shd w:fill="FFFFFF" w:val="clear"/>
        </w:rPr>
        <w:t>All information provided by Parent or the Company shall be held in confidence in accordance with the Confidentiality Agreement, which Confidentiality Agreement will remain in full force and effect until Closing and shall automatically terminate on and with effect from the Closing.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55" w:name="i60c222ce0c184811b43ae0c1ad828ed8"/>
      <w:bookmarkEnd w:id="255"/>
      <w:r>
        <w:rPr>
          <w:rFonts w:ascii="Times New Roman;serif" w:hAnsi="Times New Roman;serif"/>
          <w:b w:val="false"/>
          <w:color w:val="000000"/>
          <w:sz w:val="24"/>
        </w:rPr>
        <w:t>6.2.</w:t>
      </w:r>
      <w:r>
        <w:rPr>
          <w:rFonts w:ascii="Times New Roman;serif" w:hAnsi="Times New Roman;serif"/>
          <w:b w:val="false"/>
          <w:color w:val="000000"/>
          <w:sz w:val="24"/>
          <w:u w:val="single"/>
          <w:shd w:fill="FFFFFF" w:val="clear"/>
        </w:rPr>
        <w:t>Conduct of Company Business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256" w:name="i585dbd8717da43e7a32a61e71d0e66c5"/>
      <w:bookmarkEnd w:id="256"/>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Interim Period, other than </w:t>
      </w:r>
      <w:r>
        <w:rPr>
          <w:rFonts w:ascii="Times New Roman;serif" w:hAnsi="Times New Roman;serif"/>
          <w:b w:val="false"/>
          <w:color w:val="000000"/>
          <w:sz w:val="24"/>
        </w:rPr>
        <w:t>(i)</w:t>
      </w:r>
      <w:bookmarkStart w:id="257" w:name="i8a3b94ecfa464c459b932249acbb9e32"/>
      <w:bookmarkEnd w:id="257"/>
      <w:r>
        <w:rPr>
          <w:color w:val="000000"/>
          <w:shd w:fill="FFFFFF" w:val="clear"/>
        </w:rPr>
        <w:t xml:space="preserve"> </w:t>
      </w:r>
      <w:r>
        <w:rPr>
          <w:rFonts w:ascii="Times New Roman;serif" w:hAnsi="Times New Roman;serif"/>
          <w:b w:val="false"/>
          <w:color w:val="000000"/>
          <w:sz w:val="24"/>
          <w:shd w:fill="FFFFFF" w:val="clear"/>
        </w:rPr>
        <w:t xml:space="preserve">as required, contemplated or permitted by this Agreement, </w:t>
      </w:r>
      <w:r>
        <w:rPr>
          <w:rFonts w:ascii="Times New Roman;serif" w:hAnsi="Times New Roman;serif"/>
          <w:b w:val="false"/>
          <w:color w:val="000000"/>
          <w:sz w:val="24"/>
        </w:rPr>
        <w:t>(ii)</w:t>
      </w:r>
      <w:bookmarkStart w:id="258" w:name="ib3ddf647ba9442528820517ab6217492"/>
      <w:bookmarkEnd w:id="258"/>
      <w:r>
        <w:rPr>
          <w:color w:val="000000"/>
          <w:shd w:fill="FFFFFF" w:val="clear"/>
        </w:rPr>
        <w:t xml:space="preserve"> </w:t>
      </w:r>
      <w:r>
        <w:rPr>
          <w:rFonts w:ascii="Times New Roman;serif" w:hAnsi="Times New Roman;serif"/>
          <w:b w:val="false"/>
          <w:color w:val="000000"/>
          <w:sz w:val="24"/>
          <w:shd w:fill="FFFFFF" w:val="clear"/>
        </w:rPr>
        <w:t xml:space="preserve">with the prior written consent of Parent (not to be unreasonably withheld, conditioned or delayed), </w:t>
      </w:r>
      <w:r>
        <w:rPr>
          <w:rFonts w:ascii="Times New Roman;serif" w:hAnsi="Times New Roman;serif"/>
          <w:b w:val="false"/>
          <w:color w:val="000000"/>
          <w:sz w:val="24"/>
        </w:rPr>
        <w:t>(iii)</w:t>
      </w:r>
      <w:bookmarkStart w:id="259" w:name="ic1d06e31b1c9450e8ca279c6215bb31b"/>
      <w:bookmarkEnd w:id="259"/>
      <w:r>
        <w:rPr>
          <w:color w:val="000000"/>
          <w:shd w:fill="FFFFFF" w:val="clear"/>
        </w:rPr>
        <w:t xml:space="preserve"> </w:t>
      </w:r>
      <w:r>
        <w:rPr>
          <w:rFonts w:ascii="Times New Roman;serif" w:hAnsi="Times New Roman;serif"/>
          <w:b w:val="false"/>
          <w:color w:val="000000"/>
          <w:sz w:val="24"/>
          <w:shd w:fill="FFFFFF" w:val="clear"/>
        </w:rPr>
        <w:t xml:space="preserve">as required by or reasonably responsive to a request or requirement of a Governmental Authority, applicable Law or the rules and regulations of the NYSE or (iv) as set forth in </w:t>
      </w:r>
      <w:r>
        <w:rPr>
          <w:rFonts w:ascii="Times New Roman;serif" w:hAnsi="Times New Roman;serif"/>
          <w:b w:val="false"/>
          <w:color w:val="000000"/>
          <w:sz w:val="24"/>
          <w:u w:val="single"/>
          <w:shd w:fill="FFFFFF" w:val="clear"/>
        </w:rPr>
        <w:t>Section 6.2(a)</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(the exceptions in </w:t>
      </w:r>
      <w:r>
        <w:rPr>
          <w:rFonts w:ascii="Times New Roman;serif" w:hAnsi="Times New Roman;serif"/>
          <w:b w:val="false"/>
          <w:color w:val="000000"/>
          <w:sz w:val="24"/>
          <w:u w:val="single"/>
          <w:shd w:fill="FFFFFF" w:val="clear"/>
        </w:rPr>
        <w:t>clauses (i)-(iv)</w:t>
      </w:r>
      <w:r>
        <w:rPr>
          <w:rFonts w:ascii="Times New Roman;serif" w:hAnsi="Times New Roman;serif"/>
          <w:b w:val="false"/>
          <w:color w:val="000000"/>
          <w:sz w:val="24"/>
          <w:shd w:fill="FFFFFF" w:val="clear"/>
        </w:rPr>
        <w:t>, the “</w:t>
      </w:r>
      <w:r>
        <w:rPr>
          <w:rFonts w:ascii="Times New Roman;serif" w:hAnsi="Times New Roman;serif"/>
          <w:b w:val="false"/>
          <w:color w:val="000000"/>
          <w:sz w:val="24"/>
          <w:u w:val="single"/>
          <w:shd w:fill="FFFFFF" w:val="clear"/>
        </w:rPr>
        <w:t>Interim Covenant Exceptions</w:t>
      </w:r>
      <w:r>
        <w:rPr>
          <w:color w:val="000000"/>
          <w:shd w:fill="FFFFFF" w:val="clear"/>
        </w:rPr>
        <w:t>”</w:t>
      </w:r>
      <w:r>
        <w:rPr>
          <w:rFonts w:ascii="Times New Roman;serif" w:hAnsi="Times New Roman;serif"/>
          <w:b w:val="false"/>
          <w:color w:val="000000"/>
          <w:sz w:val="24"/>
          <w:shd w:fill="FFFFFF" w:val="clear"/>
        </w:rPr>
        <w:t xml:space="preserve">), the Company shall, and shall cause its Subsidiaries to, use its commercially reasonable efforts to (A) conduct its business in all material respects in the ordinary course consistent with past practice and to maintain and preserve intact, in all material respects, its business organization, its existing relationships with its key business relationships, vendors and counterparties, and to maintain all material Permits and (B) maintain the Company’s and Company Sub-REIT’s status as a REIT;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action by the Company or its Subsidiaries with respect to matters specifically addressed by any provision of </w:t>
      </w:r>
      <w:r>
        <w:rPr>
          <w:rFonts w:ascii="Times New Roman;serif" w:hAnsi="Times New Roman;serif"/>
          <w:b w:val="false"/>
          <w:color w:val="000000"/>
          <w:sz w:val="24"/>
          <w:u w:val="single"/>
          <w:shd w:fill="FFFFFF" w:val="clear"/>
        </w:rPr>
        <w:t>Section 6.2(b)</w:t>
      </w:r>
      <w:r>
        <w:rPr>
          <w:color w:val="000000"/>
          <w:shd w:fill="FFFFFF" w:val="clear"/>
        </w:rPr>
        <w:t xml:space="preserve"> </w:t>
      </w:r>
      <w:r>
        <w:rPr>
          <w:rFonts w:ascii="Times New Roman;serif" w:hAnsi="Times New Roman;serif"/>
          <w:b w:val="false"/>
          <w:color w:val="000000"/>
          <w:sz w:val="24"/>
          <w:shd w:fill="FFFFFF" w:val="clear"/>
        </w:rPr>
        <w:t>(subject to the exceptions set forth therein) shall be deemed a breach of this sentence, unless such action would constitute a breach of such other provision.</w:t>
      </w:r>
    </w:p>
    <w:p>
      <w:pPr>
        <w:pStyle w:val="TextBody"/>
        <w:bidi w:val="0"/>
        <w:spacing w:lineRule="auto" w:line="240" w:before="0" w:after="240"/>
        <w:ind w:left="0" w:right="0" w:firstLine="720"/>
        <w:jc w:val="both"/>
        <w:rPr/>
      </w:pPr>
      <w:bookmarkStart w:id="260" w:name="ia8fdb63ca37c43debb6d43b1b45b2e21"/>
      <w:bookmarkEnd w:id="260"/>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During the Interim Period, the Company shall not, and shall cause its Subsidiaries not to, other than pursuant to any Interim Covenant Exception or as set forth in </w:t>
      </w:r>
      <w:r>
        <w:rPr>
          <w:rFonts w:ascii="Times New Roman;serif" w:hAnsi="Times New Roman;serif"/>
          <w:b w:val="false"/>
          <w:color w:val="000000"/>
          <w:sz w:val="24"/>
          <w:u w:val="single"/>
          <w:shd w:fill="FFFFFF" w:val="clear"/>
        </w:rPr>
        <w:t>Section 6.2(b)</w:t>
      </w:r>
      <w:r>
        <w:rPr>
          <w:color w:val="000000"/>
          <w:shd w:fill="FFFFFF" w:val="clear"/>
        </w:rPr>
        <w:t xml:space="preserve"> </w:t>
      </w:r>
      <w:r>
        <w:rPr>
          <w:rFonts w:ascii="Times New Roman;serif" w:hAnsi="Times New Roman;serif"/>
          <w:b w:val="false"/>
          <w:color w:val="000000"/>
          <w:sz w:val="24"/>
          <w:shd w:fill="FFFFFF" w:val="clear"/>
        </w:rPr>
        <w:t>of the Company Disclosure Letter: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61" w:name="i97f1ca4761334c2c8e5229607ce6bd03"/>
      <w:bookmarkEnd w:id="261"/>
      <w:r>
        <w:rPr>
          <w:rFonts w:ascii="Times New Roman;serif" w:hAnsi="Times New Roman;serif"/>
          <w:b w:val="false"/>
          <w:color w:val="000000"/>
          <w:sz w:val="24"/>
        </w:rPr>
        <w:t xml:space="preserve">(i)(A) declare, set aside or pay any dividends on, or make any other distribution (whether in cash, stock, property or otherwise) in respect of any outstanding capital stock of, or other equity interests in, the Company or any of its Subsidiaries, except for: (1) quarterly dividends payable in respect of the Company Common Stock at a rate not to exceed $0.10 per share of Company Common Stock; (2) regular quarterly dividends payable in respect of (x) the Company Preferred Stock as required by their terms and consistent with past practice and (y) the issued and outstanding preferred stock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60705"/>
                <wp:effectExtent l="0" t="0" r="0" b="0"/>
                <wp:wrapNone/>
                <wp:docPr id="75" name="Frame7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the Company Sub-REIT as required by their terms and consistent with past practice; (3) dividends or other distributions to the Company by any directly or indirectly wholly owned Subsidiary of the Company; (4) without duplication of the amounts described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any dividends or other distributions necessary for the Company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the Company or such Subsidiary; or (5) any dividend to the extent authorized, declared and paid in accordance with </w:t>
      </w:r>
      <w:r>
        <w:rPr>
          <w:rFonts w:ascii="Times New Roman;serif" w:hAnsi="Times New Roman;serif"/>
          <w:b w:val="false"/>
          <w:color w:val="000000"/>
          <w:sz w:val="24"/>
          <w:u w:val="single"/>
        </w:rPr>
        <w:t>Section 6.19</w:t>
      </w:r>
      <w:r>
        <w:rPr>
          <w:rFonts w:ascii="Times New Roman;serif" w:hAnsi="Times New Roman;serif"/>
          <w:b w:val="false"/>
          <w:color w:val="000000"/>
          <w:sz w:val="24"/>
        </w:rPr>
        <w: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except as required by the Organizational Documents of the Company or any Subsidiary of the Company (including the Company Operating Partnership Agreement in respect of the Company Operating Partnership) or any Company Equity Plan, in each case, existing as of the date hereof;</w:t>
      </w:r>
    </w:p>
    <w:p>
      <w:pPr>
        <w:pStyle w:val="TextBody"/>
        <w:bidi w:val="0"/>
        <w:spacing w:lineRule="auto" w:line="240" w:before="0" w:after="240"/>
        <w:ind w:left="0" w:right="0" w:firstLine="720"/>
        <w:jc w:val="both"/>
        <w:rPr/>
      </w:pPr>
      <w:bookmarkStart w:id="262" w:name="if68db657994d41199c7792f8e00565e6"/>
      <w:bookmarkEnd w:id="262"/>
      <w:r>
        <w:rPr>
          <w:rFonts w:ascii="Times New Roman;serif" w:hAnsi="Times New Roman;serif"/>
          <w:b w:val="false"/>
          <w:color w:val="000000"/>
          <w:sz w:val="24"/>
        </w:rPr>
        <w:t xml:space="preserve">(ii)offer, issue, deliver, grant or sell, or authorize or propose to offer, issue, deliver, grant or sell, any capital stock of, or other equity interests in, the Company or any of its Subsidiaries or any securities convertible into or exchangeable for, or any rights, warrants or options to acquire, any such capital stock or equity interests, or accelerate vesting of any awards granted under the Company Equity Plans, other than: (A) the issuance or delivery of Company Common Stock upon the vesting or lapse of any restrictions on Company Equity Awards granted under the Company Equity Plans that are outstanding on the date hereof; and (B) shares of capital stock or other ownership interests of any Subsidiary of the Company issued as a dividend made in accordance with </w:t>
      </w:r>
      <w:r>
        <w:rPr>
          <w:rFonts w:ascii="Times New Roman;serif" w:hAnsi="Times New Roman;serif"/>
          <w:b w:val="false"/>
          <w:color w:val="000000"/>
          <w:sz w:val="24"/>
          <w:u w:val="single"/>
        </w:rPr>
        <w:t>Section 6.2(b)(i)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63" w:name="i42b7877bef2d40fdaa7792397f493c8b"/>
      <w:bookmarkEnd w:id="263"/>
      <w:r>
        <w:rPr>
          <w:rFonts w:ascii="Times New Roman;serif" w:hAnsi="Times New Roman;serif"/>
          <w:b w:val="false"/>
          <w:color w:val="000000"/>
          <w:sz w:val="24"/>
        </w:rPr>
        <w:t>(iii)(A) amend the Company’s Organizational Documents; or (B) other than amendments that are ministerial in nature, amend the Organizational Documents of any of the Company’s Subsidiaries (including the Company Operating Partnership Agreement in respect of the Company Operating Partnership);</w:t>
      </w:r>
    </w:p>
    <w:p>
      <w:pPr>
        <w:pStyle w:val="TextBody"/>
        <w:bidi w:val="0"/>
        <w:spacing w:lineRule="auto" w:line="240" w:before="0" w:after="240"/>
        <w:ind w:left="0" w:right="0" w:firstLine="720"/>
        <w:jc w:val="both"/>
        <w:rPr/>
      </w:pPr>
      <w:bookmarkStart w:id="264" w:name="ia346bd1197574bddbc902c9452fc0eaa"/>
      <w:bookmarkEnd w:id="264"/>
      <w:r>
        <w:rPr>
          <w:rFonts w:ascii="Times New Roman;serif" w:hAnsi="Times New Roman;serif"/>
          <w:b w:val="false"/>
          <w:color w:val="000000"/>
          <w:sz w:val="24"/>
        </w:rPr>
        <w:t>(iv)(A)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(1) transactions between the Company and a wholly owned Subsidiary of the Company or between or among wholly owned Subsidiaries of the Company; or (2) acquisitions of assets in the ordinary course of business, including the acquisition of any mortgage-backed securities, “To Be Announced” agency mortgage-backed securities, mortgage servicing rights, U.S. Treasuries or other assets or securities permitted under the Company’s investment guidelines in effect on the date hereof, including derivative securities and other instruments used for the purpose of hedging interest rate risk (collectively, “</w:t>
      </w:r>
      <w:r>
        <w:rPr>
          <w:rFonts w:ascii="Times New Roman;serif" w:hAnsi="Times New Roman;serif"/>
          <w:b w:val="false"/>
          <w:color w:val="000000"/>
          <w:sz w:val="24"/>
          <w:u w:val="single"/>
        </w:rPr>
        <w:t>Company Portfolio Securities</w:t>
      </w:r>
      <w:r>
        <w:rPr>
          <w:color w:val="000000"/>
        </w:rPr>
        <w:t>”</w:t>
      </w:r>
      <w:r>
        <w:rPr>
          <w:rFonts w:ascii="Times New Roman;serif" w:hAnsi="Times New Roman;serif"/>
          <w:b w:val="false"/>
          <w:color w:val="000000"/>
          <w:sz w:val="24"/>
        </w:rPr>
        <w:t>), in each case, in the ordinary course of business and in accordance with the Company’s investment guidelines in effect on the date hereof;</w:t>
      </w:r>
    </w:p>
    <w:p>
      <w:pPr>
        <w:pStyle w:val="TextBody"/>
        <w:bidi w:val="0"/>
        <w:spacing w:lineRule="auto" w:line="240" w:before="0" w:after="240"/>
        <w:ind w:left="0" w:right="0" w:firstLine="720"/>
        <w:jc w:val="both"/>
        <w:rPr/>
      </w:pPr>
      <w:bookmarkStart w:id="265" w:name="i8b06329e2031463d915cf0a05e56d578"/>
      <w:bookmarkEnd w:id="265"/>
      <w:r>
        <w:rPr>
          <w:rFonts w:ascii="Times New Roman;serif" w:hAnsi="Times New Roman;serif"/>
          <w:b w:val="false"/>
          <w:color w:val="000000"/>
          <w:sz w:val="24"/>
        </w:rPr>
        <w:t xml:space="preserve">(v)sell, lease or otherwise dispose of, or agree to sell, lease or otherwise dispose of, any material portion of its assets, other than sales, leases or dispositions of assets (A) that involve a sale price consistent with the terms set forth in </w:t>
      </w:r>
      <w:r>
        <w:rPr>
          <w:rFonts w:ascii="Times New Roman;serif" w:hAnsi="Times New Roman;serif"/>
          <w:b w:val="false"/>
          <w:color w:val="000000"/>
          <w:sz w:val="24"/>
          <w:u w:val="single"/>
        </w:rPr>
        <w:t>Section 6.2(b)(v)</w:t>
      </w:r>
      <w:r>
        <w:rPr>
          <w:color w:val="000000"/>
        </w:rPr>
        <w:t xml:space="preserve"> </w:t>
      </w:r>
      <w:r>
        <w:rPr>
          <w:rFonts w:ascii="Times New Roman;serif" w:hAnsi="Times New Roman;serif"/>
          <w:b w:val="false"/>
          <w:color w:val="000000"/>
          <w:sz w:val="24"/>
        </w:rPr>
        <w:t xml:space="preserve">of the Company Disclosure Letter or (B) that are Company Portfolio Securities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60705"/>
                <wp:effectExtent l="0" t="0" r="0" b="0"/>
                <wp:wrapNone/>
                <wp:docPr id="76" name="Frame7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ordinary course of business and in accordance with the Company’s investment guidelines in effect on the date hereof (but excluding any bulk sales of mortgage servicing rights);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66" w:name="if79e0f19805f4e2da90fcf08a6be513f"/>
      <w:bookmarkEnd w:id="266"/>
      <w:r>
        <w:rPr>
          <w:rFonts w:ascii="Times New Roman;serif" w:hAnsi="Times New Roman;serif"/>
          <w:b w:val="false"/>
          <w:color w:val="000000"/>
          <w:sz w:val="24"/>
        </w:rPr>
        <w:t>(vi)adopt a plan of complete or partial liquidation or dissolution of the Company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67" w:name="id1a89c89fe9f4fd8b5881aa5a5ee2c37"/>
      <w:bookmarkEnd w:id="267"/>
      <w:r>
        <w:rPr>
          <w:rFonts w:ascii="Times New Roman;serif" w:hAnsi="Times New Roman;serif"/>
          <w:b w:val="false"/>
          <w:color w:val="000000"/>
          <w:sz w:val="24"/>
        </w:rPr>
        <w:t>(vii)change in any material respect its material accounting principles, practices or methods in a manner that would materially affect the consolidated assets, liabilities or results of operations of the Company and its Subsidiaries, except as required by GAAP or applicable Law;</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68" w:name="i559c33dd33d9409da222032663b3f6d1"/>
      <w:bookmarkEnd w:id="268"/>
      <w:r>
        <w:rPr>
          <w:rFonts w:ascii="Times New Roman;serif" w:hAnsi="Times New Roman;serif"/>
          <w:b w:val="false"/>
          <w:color w:val="000000"/>
          <w:sz w:val="24"/>
        </w:rPr>
        <w:t>(viii)except (A) if required by Law or (B) if and to the extent necessary (1) to preserve the Company’s qualification as a REIT or the qualification of any Subsidiary of the Company (including the Company Sub-REIT) as a REIT under the Code or (2) to qualify or preserve the status of any Subsidiary of the Company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the Company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40" w:before="0" w:after="240"/>
        <w:ind w:left="0" w:right="0" w:firstLine="720"/>
        <w:jc w:val="both"/>
        <w:rPr/>
      </w:pPr>
      <w:bookmarkStart w:id="269" w:name="icd05732ca04a4476868dbf6508095bb7"/>
      <w:bookmarkEnd w:id="269"/>
      <w:r>
        <w:rPr>
          <w:rFonts w:ascii="Times New Roman;serif" w:hAnsi="Times New Roman;serif"/>
          <w:b w:val="false"/>
          <w:color w:val="000000"/>
          <w:sz w:val="24"/>
        </w:rPr>
        <w:t xml:space="preserve">(ix)grant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the Company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Company Benefit Plan or amend any Company Benefit Plan in existence on the date of this Agreement if such amendment would have the effect of enhancing or increasing any benefits thereunder;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action will be a violation of this </w:t>
      </w:r>
      <w:r>
        <w:rPr>
          <w:rFonts w:ascii="Times New Roman;serif" w:hAnsi="Times New Roman;serif"/>
          <w:b w:val="false"/>
          <w:color w:val="000000"/>
          <w:sz w:val="24"/>
          <w:u w:val="single"/>
        </w:rPr>
        <w:t>Section 6.2(b)(ix)</w:t>
      </w:r>
      <w:r>
        <w:rPr>
          <w:color w:val="000000"/>
        </w:rPr>
        <w:t xml:space="preserve"> </w:t>
      </w:r>
      <w:r>
        <w:rPr>
          <w:rFonts w:ascii="Times New Roman;serif" w:hAnsi="Times New Roman;serif"/>
          <w:b w:val="false"/>
          <w:color w:val="000000"/>
          <w:sz w:val="24"/>
        </w:rPr>
        <w:t>if it is (1) taken in order to comply with applicable Law; (2) required by, and taken pursuant to, a Company Equity Plan or Benefit Plan existing on the date hereof; (3) required to be taken pursuant to the Company Executive Severance Plan and Company Severance Plan; or (4) as set forth in</w:t>
      </w:r>
      <w:r>
        <w:rPr>
          <w:color w:val="000000"/>
        </w:rPr>
        <w:t xml:space="preserve"> </w:t>
      </w:r>
      <w:r>
        <w:rPr>
          <w:rFonts w:ascii="Times New Roman;serif" w:hAnsi="Times New Roman;serif"/>
          <w:b w:val="false"/>
          <w:color w:val="000000"/>
          <w:sz w:val="24"/>
          <w:u w:val="single"/>
        </w:rPr>
        <w:t>Section 6.2(b)</w:t>
      </w:r>
      <w:r>
        <w:rPr>
          <w:color w:val="000000"/>
        </w:rPr>
        <w:t xml:space="preserve"> </w:t>
      </w:r>
      <w:r>
        <w:rPr>
          <w:rFonts w:ascii="Times New Roman;serif" w:hAnsi="Times New Roman;serif"/>
          <w:b w:val="false"/>
          <w:color w:val="000000"/>
          <w:sz w:val="24"/>
        </w:rPr>
        <w:t>of the Company Disclosure Letter;</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0" w:name="i120ce44b2f4f4ee6bf60fe1d3c192b85"/>
      <w:bookmarkEnd w:id="270"/>
      <w:r>
        <w:rPr>
          <w:rFonts w:ascii="Times New Roman;serif" w:hAnsi="Times New Roman;serif"/>
          <w:b w:val="false"/>
          <w:color w:val="000000"/>
          <w:sz w:val="24"/>
        </w:rPr>
        <w:t xml:space="preserve">(x)make any loans, advances or capital contributions to, or investments in, any other Person, except for (A) advances made in connection with Company Portfolio Securities in the ordinary course of business; (B) reverse purchase transactions involving Company Portfolio Securities in the ordinary course of business; (C) funding of commitments in the ordinary course of business in accordance with the terms of any agreements in effect as of the date hereof; (D) for loans among the Company and its wholly owned Subsidiaries or among the Company’s wholly owned Subsidiaries in the ordinary course of business; (E) advances for reimbursable employee or personnel expenses in the ordinary course of business consistent with past practice; (F) as required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60705"/>
                <wp:effectExtent l="0" t="0" r="0" b="0"/>
                <wp:wrapNone/>
                <wp:docPr id="77" name="Frame7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under the terms of any indemnification agreement in effect on the date hereof; or (G) as required under the Organizational Documents of the Company or its applicable Subsidiary as in effect as of the date hereof;</w:t>
      </w:r>
    </w:p>
    <w:p>
      <w:pPr>
        <w:pStyle w:val="TextBody"/>
        <w:bidi w:val="0"/>
        <w:spacing w:lineRule="auto" w:line="240" w:before="0" w:after="240"/>
        <w:ind w:left="0" w:right="0" w:firstLine="720"/>
        <w:jc w:val="both"/>
        <w:rPr/>
      </w:pPr>
      <w:bookmarkStart w:id="271" w:name="i91560b878cd740e8aba59e4a0125f8dc"/>
      <w:bookmarkEnd w:id="271"/>
      <w:r>
        <w:rPr>
          <w:rFonts w:ascii="Times New Roman;serif" w:hAnsi="Times New Roman;serif"/>
          <w:b w:val="false"/>
          <w:color w:val="000000"/>
          <w:sz w:val="24"/>
        </w:rPr>
        <w:t xml:space="preserve">(xi)(A) enter into any contract that would be a Company Material Contract, except in the ordinary course of business and as would not prevent or materially delay the consummation of the Transactions, or (B) modify, amend, terminate or assign, or waive or assign any material rights under, any Company Material Contract in any material respect except in the ordinary course of business and which would not reasonably be expected to prevent or materially delay the consummation of the Transactions, and, for the avoidance of doubt, with respect to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except for (1) repurchase or reverse repurchase agreements and/or master repurchase agreements to finance the purchase price of assets in the ordinary course of business or refinance the Company’s or any of its Subsidiaries’ repurchase obligations pursuant to such agreements when due in the ordinary course of business; (2) any contracts to execute dollar roll financing transactions pursuant to the Company’s or any of its Subsidiaries’ master securities forward transactions agreements to finance the purchase or sale price of “To Be Announced” agency mortgage-backed securities in the ordinary course of business; (3) any derivative financial agreements or instruments (including any swaps, swap options, futures, caps and short positions) entered into or incurred by the Company or any Subsidiary of the Company in the ordinary course of business for the purpose of fixing or hedging interest rate risk and not for speculative purposes; (4) to the extent not prohibited by other provisions in this </w:t>
      </w:r>
      <w:r>
        <w:rPr>
          <w:rFonts w:ascii="Times New Roman;serif" w:hAnsi="Times New Roman;serif"/>
          <w:b w:val="false"/>
          <w:color w:val="000000"/>
          <w:sz w:val="24"/>
          <w:u w:val="single"/>
        </w:rPr>
        <w:t>Section 6.2(b)</w:t>
      </w:r>
      <w:r>
        <w:rPr>
          <w:rFonts w:ascii="Times New Roman;serif" w:hAnsi="Times New Roman;serif"/>
          <w:b w:val="false"/>
          <w:color w:val="000000"/>
          <w:sz w:val="24"/>
        </w:rPr>
        <w:t>, contracts providing for the acquisition, purchase, sale or divestiture of debt securities by the Company or any of its Subsidiaries in the ordinary course of business and that are materially consistent with the contracts or forms thereof provided to Parent prior to the date hereof; (5) any termination, renewal or extension in accordance with the terms of any existing Company Material Contract that occurs automatically without any action (other than notice of renewal or extension) by Company or any Subsidiary of the Company; (6) any trade agreements entered into, modified, amended, terminated or assigned in the ordinary course of business; and (7) any master securities lending agreements, master securities forward transaction agreements and ISDA master agreements entered into, amended, terminated or assigned in the ordinary course of business;</w:t>
      </w:r>
    </w:p>
    <w:p>
      <w:pPr>
        <w:pStyle w:val="TextBody"/>
        <w:bidi w:val="0"/>
        <w:spacing w:lineRule="auto" w:line="240" w:before="0" w:after="240"/>
        <w:ind w:left="0" w:right="0" w:firstLine="720"/>
        <w:jc w:val="both"/>
        <w:rPr/>
      </w:pPr>
      <w:bookmarkStart w:id="272" w:name="i71fb2487ec1045cd940a00cec88d4d2e"/>
      <w:bookmarkEnd w:id="272"/>
      <w:r>
        <w:rPr>
          <w:rFonts w:ascii="Times New Roman;serif" w:hAnsi="Times New Roman;serif"/>
          <w:b w:val="false"/>
          <w:color w:val="000000"/>
          <w:sz w:val="24"/>
        </w:rPr>
        <w:t>(xii)other than the settlement of any Litigation (A) reflected or reserved against on the most recent balance sheet of the Company (or in the notes thereto) filed with the SEC prior to the date hereof and not in excess of the amount reflected or reserved for such matter or (B) in connection with any stockholder litigation against the Company and/or its employees, officers or</w:t>
      </w:r>
      <w:r>
        <w:rPr>
          <w:color w:val="000000"/>
        </w:rPr>
        <w:t xml:space="preserve"> </w:t>
      </w:r>
      <w:r>
        <w:rPr>
          <w:rFonts w:ascii="Times New Roman;serif" w:hAnsi="Times New Roman;serif"/>
          <w:b w:val="false"/>
          <w:color w:val="000000"/>
          <w:sz w:val="24"/>
        </w:rPr>
        <w:t xml:space="preserve">directors relating to this Agreement, the Mergers and/or the other Transactions in accordance with </w:t>
      </w:r>
      <w:r>
        <w:rPr>
          <w:rFonts w:ascii="Times New Roman;serif" w:hAnsi="Times New Roman;serif"/>
          <w:b w:val="false"/>
          <w:color w:val="000000"/>
          <w:sz w:val="24"/>
          <w:u w:val="single"/>
        </w:rPr>
        <w:t>Section 6.14</w:t>
      </w:r>
      <w:r>
        <w:rPr>
          <w:rFonts w:ascii="Times New Roman;serif" w:hAnsi="Times New Roman;serif"/>
          <w:b w:val="false"/>
          <w:color w:val="000000"/>
          <w:sz w:val="24"/>
        </w:rPr>
        <w:t>, settle, or offer or propose to settle, any Litigation against the Company or any of its Subsidiaries (excluding any audit, claim or other proceeding in respect of Taxes) that would result in (1) the payment of monetary damages or other transfer of value by the Company or any of its Subsidiaries exceeding $250,000 individually or $1,000,000 in the aggregate or (2) any material restriction on the Company or any of its Subsidiaries, or any admission of wrongdoing by the Company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3" w:name="if788ec4d8d05463486ffd7bee7088202"/>
      <w:bookmarkEnd w:id="273"/>
      <w:r>
        <w:rPr>
          <w:rFonts w:ascii="Times New Roman;serif" w:hAnsi="Times New Roman;serif"/>
          <w:b w:val="false"/>
          <w:color w:val="000000"/>
          <w:sz w:val="24"/>
        </w:rPr>
        <w:t>(xiii)take any action, or fail to take any action, which action or failure could reasonably be expected to cause the Company to fail to qualify as a REIT or any of its Subsidiaries to fail to qualify as a REIT or to cease to be treated as any of (A) a partnership or disregarded entity for U.S. federal income tax purposes or (B) a REIT, Qualified REIT Subsidiary or Taxable REIT Subsidiary under the applicable provisions of Section 856 of the Code, as the case may be;</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60705"/>
                <wp:effectExtent l="0" t="0" r="0" b="0"/>
                <wp:wrapNone/>
                <wp:docPr id="78" name="Frame7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4" w:name="ie3b487dbea1c4c19aa95f9d077a54fc8"/>
      <w:bookmarkEnd w:id="274"/>
      <w:r>
        <w:rPr>
          <w:rFonts w:ascii="Times New Roman;serif" w:hAnsi="Times New Roman;serif"/>
          <w:b w:val="false"/>
          <w:color w:val="000000"/>
          <w:sz w:val="24"/>
        </w:rPr>
        <w:t>(xiv)take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240"/>
        <w:ind w:left="0" w:right="0" w:firstLine="720"/>
        <w:jc w:val="both"/>
        <w:rPr/>
      </w:pPr>
      <w:bookmarkStart w:id="275" w:name="ic7ddc70edc1244578b548a2d7bbfc32c"/>
      <w:bookmarkEnd w:id="275"/>
      <w:r>
        <w:rPr>
          <w:rFonts w:ascii="Times New Roman;serif" w:hAnsi="Times New Roman;serif"/>
          <w:b w:val="false"/>
          <w:color w:val="000000"/>
          <w:sz w:val="24"/>
        </w:rPr>
        <w:t xml:space="preserve">(xv)other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shall not restrict (A) the incurrence of any indebtedness among the Company and its wholly owned Subsidiaries or among the Company’s wholly owned Subsidiaries; (B) transactions pursuant to the Company’s master repurchase agreements or other financing agreements to finance the purchase price of assets in the ordinary course of business or refinance the Company’s repurchase obligations pursuant to such master repurchase agreements when due in the ordinary course of business; (C) guarantees by the Company of indebtedness of its Subsidiaries or guarantees by the Subsidiaries of the Company of indebtedness of the Company or any other Subsidiaries of the Company, which indebtedness is incurred in compliance with the immediately preceding </w:t>
      </w:r>
      <w:r>
        <w:rPr>
          <w:rFonts w:ascii="Times New Roman;serif" w:hAnsi="Times New Roman;serif"/>
          <w:b w:val="false"/>
          <w:color w:val="000000"/>
          <w:sz w:val="24"/>
          <w:u w:val="single"/>
        </w:rPr>
        <w:t>clause (B)</w:t>
      </w:r>
      <w:r>
        <w:rPr>
          <w:rFonts w:ascii="Times New Roman;serif" w:hAnsi="Times New Roman;serif"/>
          <w:b w:val="false"/>
          <w:color w:val="000000"/>
          <w:sz w:val="24"/>
        </w:rPr>
        <w:t>; (D) dollar roll financing transactions pursuant to the Company’s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the Company or any of its Subsidiaries for the purpose of fixing or hedging interest rate and not for speculative purposes;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6" w:name="i14cbecce871a4c53a2e3d7eef5e93718"/>
      <w:bookmarkEnd w:id="276"/>
      <w:r>
        <w:rPr>
          <w:rFonts w:ascii="Times New Roman;serif" w:hAnsi="Times New Roman;serif"/>
          <w:b w:val="false"/>
          <w:color w:val="000000"/>
          <w:sz w:val="24"/>
        </w:rPr>
        <w:t>(xvi)enter into any new line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7" w:name="iba66a88b685a4205924d51819c69392c"/>
      <w:bookmarkEnd w:id="277"/>
      <w:r>
        <w:rPr>
          <w:rFonts w:ascii="Times New Roman;serif" w:hAnsi="Times New Roman;serif"/>
          <w:b w:val="false"/>
          <w:color w:val="000000"/>
          <w:sz w:val="24"/>
        </w:rPr>
        <w:t>(xvii)take any action, or fail to take any action, which action or failure would reasonably be expected to cause the Company or any of its Subsidiaries to be required to be registered as an investment company under the Investment Company Act;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78" w:name="i60d7df22d6db4c0e8c70e06afd09b706"/>
      <w:bookmarkEnd w:id="278"/>
      <w:r>
        <w:rPr>
          <w:rFonts w:ascii="Times New Roman;serif" w:hAnsi="Times New Roman;serif"/>
          <w:b w:val="false"/>
          <w:color w:val="000000"/>
          <w:sz w:val="24"/>
        </w:rPr>
        <w:t>(xviii)other than with Subsidiaries of the Company, enter into any material transactions or contracts with any Affiliates of the Company; or</w:t>
      </w:r>
    </w:p>
    <w:p>
      <w:pPr>
        <w:pStyle w:val="TextBody"/>
        <w:bidi w:val="0"/>
        <w:spacing w:lineRule="auto" w:line="240" w:before="0" w:after="240"/>
        <w:ind w:left="0" w:right="0" w:firstLine="720"/>
        <w:jc w:val="both"/>
        <w:rPr/>
      </w:pPr>
      <w:bookmarkStart w:id="279" w:name="ie1750a2260ec477e94d30bf1cc3c6b98"/>
      <w:bookmarkEnd w:id="279"/>
      <w:r>
        <w:rPr>
          <w:rFonts w:ascii="Times New Roman;serif" w:hAnsi="Times New Roman;serif"/>
          <w:b w:val="false"/>
          <w:color w:val="000000"/>
          <w:sz w:val="24"/>
        </w:rPr>
        <w:t xml:space="preserve">(xix)agree or enter into any arrangement or understanding to take any action that is prohibited by this </w:t>
      </w:r>
      <w:r>
        <w:rPr>
          <w:rFonts w:ascii="Times New Roman;serif" w:hAnsi="Times New Roman;serif"/>
          <w:b w:val="false"/>
          <w:color w:val="000000"/>
          <w:sz w:val="24"/>
          <w:u w:val="single"/>
        </w:rPr>
        <w:t>Section 6.2(b)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80" w:name="i6f6cb4af5a9c47ef90faa1e4aa4c83cd"/>
      <w:bookmarkEnd w:id="280"/>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anything to the contrary set forth in this Agreement, nothing in this Agreement shall prohibit the Company or any of its Subsidiaries (including the Company Operating Partnership) from taking any action, at any time or from time to time, that in the reasonable judgment of the Company, upon advice of counsel, is reasonably necessary for the Company or the Company Sub-REIT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the Company’s stockholders in accordance with this Agreement or otherwise, or (iii) avoid being required to register as an investment company under the Investment Company Act;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prior to taking any action under this paragraph, the Company shall provide Parent with reasonable advance notice of any proposed action and shall in good faith discuss such proposed action with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81" w:name="i6459727f34c74fafac65ad57aa34def4"/>
      <w:bookmarkEnd w:id="281"/>
      <w:r>
        <w:rPr>
          <w:rFonts w:ascii="Times New Roman;serif" w:hAnsi="Times New Roman;serif"/>
          <w:b w:val="false"/>
          <w:color w:val="000000"/>
          <w:sz w:val="24"/>
        </w:rPr>
        <w:t>6.3.</w:t>
      </w:r>
      <w:r>
        <w:rPr>
          <w:rFonts w:ascii="Times New Roman;serif" w:hAnsi="Times New Roman;serif"/>
          <w:b w:val="false"/>
          <w:color w:val="000000"/>
          <w:sz w:val="24"/>
          <w:u w:val="single"/>
          <w:shd w:fill="FFFFFF" w:val="clear"/>
        </w:rPr>
        <w:t>Conduct of Parent Business</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60705"/>
                <wp:effectExtent l="0" t="0" r="0" b="0"/>
                <wp:wrapNone/>
                <wp:docPr id="79" name="Frame7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82" w:name="i18e7b97a330b4ef6ba2ec7271f12b9fd"/>
      <w:bookmarkEnd w:id="282"/>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Interim Period, other than (i) as required, contemplated or permitted by this Agreement, (ii) with the prior written consent of the Company (not to be unreasonably withheld, conditioned or delayed), (iii) as required by or reasonably responsive to a request or requirement of a Governmental Authority, applicable Law or the rules and regulations of the NYSE; or (iv) as set forth in </w:t>
      </w:r>
      <w:r>
        <w:rPr>
          <w:rFonts w:ascii="Times New Roman;serif" w:hAnsi="Times New Roman;serif"/>
          <w:b w:val="false"/>
          <w:color w:val="000000"/>
          <w:sz w:val="24"/>
          <w:u w:val="single"/>
          <w:shd w:fill="FFFFFF" w:val="clear"/>
        </w:rPr>
        <w:t>Section 6.3(a)</w:t>
      </w:r>
      <w:r>
        <w:rPr>
          <w:color w:val="000000"/>
          <w:shd w:fill="FFFFFF" w:val="clear"/>
        </w:rPr>
        <w:t xml:space="preserve"> </w:t>
      </w:r>
      <w:r>
        <w:rPr>
          <w:rFonts w:ascii="Times New Roman;serif" w:hAnsi="Times New Roman;serif"/>
          <w:b w:val="false"/>
          <w:color w:val="000000"/>
          <w:sz w:val="24"/>
          <w:shd w:fill="FFFFFF" w:val="clear"/>
        </w:rPr>
        <w:t xml:space="preserve">of the Parent Disclosure Letter (the exceptions in </w:t>
      </w:r>
      <w:r>
        <w:rPr>
          <w:rFonts w:ascii="Times New Roman;serif" w:hAnsi="Times New Roman;serif"/>
          <w:b w:val="false"/>
          <w:color w:val="000000"/>
          <w:sz w:val="24"/>
          <w:u w:val="single"/>
          <w:shd w:fill="FFFFFF" w:val="clear"/>
        </w:rPr>
        <w:t>clauses (i)-(iv)</w:t>
      </w:r>
      <w:r>
        <w:rPr>
          <w:rFonts w:ascii="Times New Roman;serif" w:hAnsi="Times New Roman;serif"/>
          <w:b w:val="false"/>
          <w:color w:val="000000"/>
          <w:sz w:val="24"/>
          <w:shd w:fill="FFFFFF" w:val="clear"/>
        </w:rPr>
        <w:t>, the “</w:t>
      </w:r>
      <w:r>
        <w:rPr>
          <w:rFonts w:ascii="Times New Roman;serif" w:hAnsi="Times New Roman;serif"/>
          <w:b w:val="false"/>
          <w:color w:val="000000"/>
          <w:sz w:val="24"/>
          <w:u w:val="single"/>
          <w:shd w:fill="FFFFFF" w:val="clear"/>
        </w:rPr>
        <w:t>Parent Interim Covenant Exceptions</w:t>
      </w:r>
      <w:r>
        <w:rPr>
          <w:color w:val="000000"/>
          <w:shd w:fill="FFFFFF" w:val="clear"/>
        </w:rPr>
        <w:t>”</w:t>
      </w:r>
      <w:r>
        <w:rPr>
          <w:rFonts w:ascii="Times New Roman;serif" w:hAnsi="Times New Roman;serif"/>
          <w:b w:val="false"/>
          <w:color w:val="000000"/>
          <w:sz w:val="24"/>
          <w:shd w:fill="FFFFFF" w:val="clear"/>
        </w:rPr>
        <w:t xml:space="preserve">), Parent shall, and shall cause its Subsidiaries to, use its commercially reasonable efforts to (A) conduct its business in all material respects in the ordinary course and to maintain and preserve intact, in all material respects, its business organization, its existing relationships with its key business relationships, vendors and counterparties, and to maintain all material Permits; and (B) maintain Parent’s status as a REIT;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action by Parent or its Subsidiaries with respect to matters specifically addressed by any provision of </w:t>
      </w:r>
      <w:r>
        <w:rPr>
          <w:rFonts w:ascii="Times New Roman;serif" w:hAnsi="Times New Roman;serif"/>
          <w:b w:val="false"/>
          <w:color w:val="000000"/>
          <w:sz w:val="24"/>
          <w:u w:val="single"/>
          <w:shd w:fill="FFFFFF" w:val="clear"/>
        </w:rPr>
        <w:t>Section 6.3(b)</w:t>
      </w:r>
      <w:r>
        <w:rPr>
          <w:color w:val="000000"/>
          <w:shd w:fill="FFFFFF" w:val="clear"/>
        </w:rPr>
        <w:t xml:space="preserve"> </w:t>
      </w:r>
      <w:r>
        <w:rPr>
          <w:rFonts w:ascii="Times New Roman;serif" w:hAnsi="Times New Roman;serif"/>
          <w:b w:val="false"/>
          <w:color w:val="000000"/>
          <w:sz w:val="24"/>
          <w:shd w:fill="FFFFFF" w:val="clear"/>
        </w:rPr>
        <w:t>(subject to the exceptions set forth therein) shall be deemed a breach of this sentence, unless such action would constitute a breach of such other provision.</w:t>
      </w:r>
    </w:p>
    <w:p>
      <w:pPr>
        <w:pStyle w:val="TextBody"/>
        <w:bidi w:val="0"/>
        <w:spacing w:lineRule="auto" w:line="240" w:before="0" w:after="240"/>
        <w:ind w:left="0" w:right="0" w:firstLine="720"/>
        <w:jc w:val="both"/>
        <w:rPr/>
      </w:pPr>
      <w:bookmarkStart w:id="283" w:name="i9648b021f69a4e01a14e78a1493d8989"/>
      <w:bookmarkEnd w:id="283"/>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During the Interim Period, Parent shall not, and shall cause its Subsidiaries not to, other than pursuant to any Parent Interim Covenant Exception or as set forth in </w:t>
      </w:r>
      <w:r>
        <w:rPr>
          <w:rFonts w:ascii="Times New Roman;serif" w:hAnsi="Times New Roman;serif"/>
          <w:b w:val="false"/>
          <w:color w:val="000000"/>
          <w:sz w:val="24"/>
          <w:u w:val="single"/>
          <w:shd w:fill="FFFFFF" w:val="clear"/>
        </w:rPr>
        <w:t>Section 6.3(b)</w:t>
      </w:r>
      <w:r>
        <w:rPr>
          <w:color w:val="000000"/>
          <w:shd w:fill="FFFFFF" w:val="clear"/>
        </w:rPr>
        <w:t xml:space="preserve"> </w:t>
      </w:r>
      <w:r>
        <w:rPr>
          <w:rFonts w:ascii="Times New Roman;serif" w:hAnsi="Times New Roman;serif"/>
          <w:b w:val="false"/>
          <w:color w:val="000000"/>
          <w:sz w:val="24"/>
          <w:shd w:fill="FFFFFF" w:val="clear"/>
        </w:rPr>
        <w:t>of the Parent Disclosure Letter:</w:t>
      </w:r>
      <w:r>
        <w:rPr>
          <w:color w:val="000000"/>
        </w:rPr>
        <w:t xml:space="preserve"> </w:t>
      </w:r>
    </w:p>
    <w:p>
      <w:pPr>
        <w:pStyle w:val="TextBody"/>
        <w:bidi w:val="0"/>
        <w:spacing w:lineRule="auto" w:line="240" w:before="0" w:after="240"/>
        <w:ind w:left="0" w:right="0" w:firstLine="720"/>
        <w:jc w:val="both"/>
        <w:rPr/>
      </w:pPr>
      <w:bookmarkStart w:id="284" w:name="i58da93b4a3114fec92eaa4de1fe6e8ff"/>
      <w:bookmarkEnd w:id="284"/>
      <w:r>
        <w:rPr>
          <w:rFonts w:ascii="Times New Roman;serif" w:hAnsi="Times New Roman;serif"/>
          <w:b w:val="false"/>
          <w:color w:val="000000"/>
          <w:sz w:val="24"/>
        </w:rPr>
        <w:t xml:space="preserve">(i)(A) declare, set aside or pay any dividends on, or make any other distribution (whether in cash, stock, property or otherwise) in respect of any outstanding capital stock of, or other equity interests in, Parent or any of its Subsidiaries, except for: (1) quarterly dividends payable in respect of the Parent Common Stock at a rate not to exceed $0.24 per share of Parent Common Stock; (2) regular quarterly dividends payable in respect of the Parent Preferred Stock as required by their terms and consistent with past practice; (3) dividends or other distributions to Parent by any directly or indirectly wholly owned Subsidiary of Parent; (4) without duplication of the amounts described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any dividends or other distributions necessary for Parent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Parent or such Subsidiary; or (5) any dividend to the extent authorized, declared and paid in accordance with </w:t>
      </w:r>
      <w:r>
        <w:rPr>
          <w:rFonts w:ascii="Times New Roman;serif" w:hAnsi="Times New Roman;serif"/>
          <w:b w:val="false"/>
          <w:color w:val="000000"/>
          <w:sz w:val="24"/>
          <w:u w:val="single"/>
        </w:rPr>
        <w:t>Section 6.19</w:t>
      </w:r>
      <w:r>
        <w:rPr>
          <w:rFonts w:ascii="Times New Roman;serif" w:hAnsi="Times New Roman;serif"/>
          <w:b w:val="false"/>
          <w:color w:val="000000"/>
          <w:sz w:val="24"/>
        </w:rPr>
        <w: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except as required by the Organizational Documents of Parent or any Subsidiary of Parent, in each case, existing as of the date hereof (or granted following the date of this Agreement in accordance with the terms of this Agreement);</w:t>
      </w:r>
    </w:p>
    <w:p>
      <w:pPr>
        <w:pStyle w:val="TextBody"/>
        <w:bidi w:val="0"/>
        <w:spacing w:lineRule="auto" w:line="240" w:before="0" w:after="240"/>
        <w:ind w:left="0" w:right="0" w:firstLine="720"/>
        <w:jc w:val="both"/>
        <w:rPr/>
      </w:pPr>
      <w:bookmarkStart w:id="285" w:name="i551cd829ef984ea1863d6845328ec054"/>
      <w:bookmarkEnd w:id="285"/>
      <w:r>
        <w:rPr>
          <w:rFonts w:ascii="Times New Roman;serif" w:hAnsi="Times New Roman;serif"/>
          <w:b w:val="false"/>
          <w:color w:val="000000"/>
          <w:sz w:val="24"/>
        </w:rPr>
        <w:t xml:space="preserve">(ii)offer, issue, deliver, grant or sell, or authorize or propose to offer, issue, deliver, grant or sell, any capital stock of, or other equity interests in, Parent or any of its Subsidiaries or any securities convertible into or exchangeable for, or any rights, warrants or options to acquire, any such capital stock or equity interests, other than: (A) the issuance or delivery of Parent Common Stock upon the vesting or lapse of any restrictions on awards granted under any stock or other equity award plans of Parent and outstanding on the date hereof or issued in compliance with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below; (B) issuances of awards granted under any stock or other equity award plans of Parent to employees, officers, directors and other service providers in the ordinary course of business; and (C) shares of Parent Common Stock, Parent Preferred Stock or capital stock or other ownership interests of any Subsidiary of Parent issued as a dividend made in accordance with </w:t>
      </w:r>
      <w:r>
        <w:rPr>
          <w:rFonts w:ascii="Times New Roman;serif" w:hAnsi="Times New Roman;serif"/>
          <w:b w:val="false"/>
          <w:color w:val="000000"/>
          <w:sz w:val="24"/>
          <w:u w:val="single"/>
        </w:rPr>
        <w:t>Section 6.3(b)(i);</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60705"/>
                <wp:effectExtent l="0" t="0" r="0" b="0"/>
                <wp:wrapNone/>
                <wp:docPr id="80" name="Frame8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86" w:name="i0bed1771f8ca42518a2fa3d2d6e67176"/>
      <w:bookmarkEnd w:id="286"/>
      <w:r>
        <w:rPr>
          <w:rFonts w:ascii="Times New Roman;serif" w:hAnsi="Times New Roman;serif"/>
          <w:b w:val="false"/>
          <w:color w:val="000000"/>
          <w:sz w:val="24"/>
        </w:rPr>
        <w:t>(iii)amend Parent’s or Merger Sub’s respective Organizational Documents;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87" w:name="i6ea7df23b65144918415e184c4171b87"/>
      <w:bookmarkEnd w:id="287"/>
      <w:r>
        <w:rPr>
          <w:rFonts w:ascii="Times New Roman;serif" w:hAnsi="Times New Roman;serif"/>
          <w:b w:val="false"/>
          <w:color w:val="000000"/>
          <w:sz w:val="24"/>
        </w:rPr>
        <w:t xml:space="preserve">(iv)(A)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Parent to consummate the Transactions before the Termination Date; </w:t>
      </w:r>
    </w:p>
    <w:p>
      <w:pPr>
        <w:pStyle w:val="TextBody"/>
        <w:bidi w:val="0"/>
        <w:spacing w:lineRule="auto" w:line="240" w:before="0" w:after="240"/>
        <w:ind w:left="0" w:right="0" w:firstLine="720"/>
        <w:jc w:val="both"/>
        <w:rPr/>
      </w:pPr>
      <w:bookmarkStart w:id="288" w:name="ifcfc8531db9d487ea4c668f079f0c073"/>
      <w:bookmarkEnd w:id="288"/>
      <w:r>
        <w:rPr>
          <w:rFonts w:ascii="Times New Roman;serif" w:hAnsi="Times New Roman;serif"/>
          <w:b w:val="false"/>
          <w:color w:val="000000"/>
          <w:sz w:val="24"/>
        </w:rPr>
        <w:t xml:space="preserve">(v)sell, lease or otherwise dispose of, or agree to sell, lease or otherwise dispose of, any material portion of its assets, other than sales, leases or dispositions of assets (A) in connection with securitizations (including exercising call options), (B) in connection with commercial loans, (C) in connection with the purchase of a material amount of assets, (D) in the ordinary course of business, (E) that involve a sale price consistent with the terms set forth in </w:t>
      </w:r>
      <w:r>
        <w:rPr>
          <w:rFonts w:ascii="Times New Roman;serif" w:hAnsi="Times New Roman;serif"/>
          <w:b w:val="false"/>
          <w:color w:val="000000"/>
          <w:sz w:val="24"/>
          <w:u w:val="single"/>
        </w:rPr>
        <w:t>Section 6.3(b)(v)</w:t>
      </w:r>
      <w:r>
        <w:rPr>
          <w:color w:val="000000"/>
        </w:rPr>
        <w:t xml:space="preserve"> </w:t>
      </w:r>
      <w:r>
        <w:rPr>
          <w:rFonts w:ascii="Times New Roman;serif" w:hAnsi="Times New Roman;serif"/>
          <w:b w:val="false"/>
          <w:color w:val="000000"/>
          <w:sz w:val="24"/>
        </w:rPr>
        <w:t>of the Parent Disclosure Letter or (F) that are mortgage-backed securities, “To Be Announced” agency mortgage-backed securities, mortgage servicing rights, U.S. Treasuries or other assets or securities permitted under Parent’s investment guidelines in effect on the date hereof, including derivative securities and other instruments used for the purpose of hedging interest rate risk in the ordinary course of business (but excluding any bulk sales of mortgage servicing rights), solely to the extent that, in the case of each of the foregoing clauses (A) through (F), such matters do not violate Parent’s investment guidelines and policies in effect on the date hereof and would not reasonably be expected to prevent or materially impair or delay the ability of Parent to consummate the Transactions before the Termination Date;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89" w:name="if4b5baf001e348128b136e20b2ae0b19"/>
      <w:bookmarkEnd w:id="289"/>
      <w:r>
        <w:rPr>
          <w:rFonts w:ascii="Times New Roman;serif" w:hAnsi="Times New Roman;serif"/>
          <w:b w:val="false"/>
          <w:color w:val="000000"/>
          <w:sz w:val="24"/>
        </w:rPr>
        <w:t>(vi)adopt a plan of complete or partial liquidation or dissolution of Parent or any of its Subsidiaries, other than such transactions among Parent and any wholly owned Subsidiary of Parent or between or among wholly owned Subsidiaries of Parent;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0" w:name="i79e7263cc03040ca9f732833ef418e03"/>
      <w:bookmarkEnd w:id="290"/>
      <w:r>
        <w:rPr>
          <w:rFonts w:ascii="Times New Roman;serif" w:hAnsi="Times New Roman;serif"/>
          <w:b w:val="false"/>
          <w:color w:val="000000"/>
          <w:sz w:val="24"/>
        </w:rPr>
        <w:t>(vii)change in any material respect its material accounting principles, practices or methods in a manner that would materially affect the consolidated assets, liabilities or results of operations of Parent and its Subsidiaries, except as required by GAAP or applicable Law;</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1" w:name="i629a07abd855497da12dd8a916710708"/>
      <w:bookmarkEnd w:id="291"/>
      <w:r>
        <w:rPr>
          <w:rFonts w:ascii="Times New Roman;serif" w:hAnsi="Times New Roman;serif"/>
          <w:b w:val="false"/>
          <w:color w:val="000000"/>
          <w:sz w:val="24"/>
        </w:rPr>
        <w:t>(viii)except (A) if required by Law or (B) if and to the extent necessary (1) to preserve Parent’s qualification as a REIT or the qualification of any Subsidiary of Parent as a REIT under the Code or (2) to qualify or preserve the status of any Subsidiary of Parent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Parent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2" w:name="i2ed5556aad9d4f6ca686f1a38d7773fe"/>
      <w:bookmarkEnd w:id="292"/>
      <w:r>
        <w:rPr>
          <w:rFonts w:ascii="Times New Roman;serif" w:hAnsi="Times New Roman;serif"/>
          <w:b w:val="false"/>
          <w:color w:val="000000"/>
          <w:sz w:val="24"/>
        </w:rPr>
        <w:t xml:space="preserve">(ix)take any action, or fail to take any action, which action or failure would reasonably be expected to cause Parent to fail to qualify as a REIT or any of its Subsidiaries fail to qualify as a REIT or to cease to be treated as any of (A) a partnership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60705"/>
                <wp:effectExtent l="0" t="0" r="0" b="0"/>
                <wp:wrapNone/>
                <wp:docPr id="81" name="Frame8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disregarded entity for U.S. federal income tax purposes or (B) a REIT, Qualified REIT Subsidiary or Taxable REIT Subsidiary under the applicable provisions of Section 856 of the Code, as the case may be;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3" w:name="i433f69ff696c48579a6dfcf724c39e21"/>
      <w:bookmarkEnd w:id="293"/>
      <w:r>
        <w:rPr>
          <w:rFonts w:ascii="Times New Roman;serif" w:hAnsi="Times New Roman;serif"/>
          <w:b w:val="false"/>
          <w:color w:val="000000"/>
          <w:sz w:val="24"/>
        </w:rPr>
        <w:t>(x)take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4" w:name="i067a763326074b56bf45a1826658fcea"/>
      <w:bookmarkEnd w:id="294"/>
      <w:r>
        <w:rPr>
          <w:rFonts w:ascii="Times New Roman;serif" w:hAnsi="Times New Roman;serif"/>
          <w:b w:val="false"/>
          <w:color w:val="000000"/>
          <w:sz w:val="24"/>
        </w:rPr>
        <w:t>(xi)take any action, or fail to take any action, which action or failure would reasonably be expected to cause Parent or any of its Subsidiaries to be required to be registered as an investment company under the Investment Company Act; or</w:t>
      </w:r>
    </w:p>
    <w:p>
      <w:pPr>
        <w:pStyle w:val="TextBody"/>
        <w:bidi w:val="0"/>
        <w:spacing w:lineRule="auto" w:line="240" w:before="0" w:after="240"/>
        <w:ind w:left="0" w:right="0" w:firstLine="720"/>
        <w:jc w:val="both"/>
        <w:rPr/>
      </w:pPr>
      <w:bookmarkStart w:id="295" w:name="ied3126d9619f461db5f319e8b384e7d8"/>
      <w:bookmarkEnd w:id="295"/>
      <w:r>
        <w:rPr>
          <w:rFonts w:ascii="Times New Roman;serif" w:hAnsi="Times New Roman;serif"/>
          <w:b w:val="false"/>
          <w:color w:val="000000"/>
          <w:sz w:val="24"/>
        </w:rPr>
        <w:t xml:space="preserve">(xii)agree or enter into any arrangement or understanding to take any action that is prohibited by this </w:t>
      </w:r>
      <w:r>
        <w:rPr>
          <w:rFonts w:ascii="Times New Roman;serif" w:hAnsi="Times New Roman;serif"/>
          <w:b w:val="false"/>
          <w:color w:val="000000"/>
          <w:sz w:val="24"/>
          <w:u w:val="single"/>
        </w:rPr>
        <w:t>Section 6.3(b)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96" w:name="i2ecc96e491b74ea188376a11757be3a2"/>
      <w:bookmarkEnd w:id="296"/>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anything to the contrary set forth in this Agreement, nothing in this Agreement shall prohibit Parent or any of its Subsidiaries from taking any action, at any time or from time to time, that in the reasonable judgment of Parent, upon advice of counsel, is reasonably necessary for Parent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Parent’s stockholders in accordance with this Agreement or otherwise, or (iii) avoid being required to register as an investment company under the Investment Company Act;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prior to taking any action under this paragraph, Parent shall provide the Company with reasonable advance notice of any proposed action and shall in good faith discuss such proposed action with the Company.</w:t>
      </w:r>
    </w:p>
    <w:p>
      <w:pPr>
        <w:pStyle w:val="TextBody"/>
        <w:bidi w:val="0"/>
        <w:spacing w:lineRule="auto" w:line="240" w:before="0" w:after="240"/>
        <w:ind w:left="0" w:right="0" w:firstLine="720"/>
        <w:jc w:val="both"/>
        <w:rPr/>
      </w:pPr>
      <w:bookmarkStart w:id="297" w:name="ic86202833be24fd3bfe7d53db926fbbe"/>
      <w:bookmarkEnd w:id="297"/>
      <w:r>
        <w:rPr>
          <w:rFonts w:ascii="Times New Roman;serif" w:hAnsi="Times New Roman;serif"/>
          <w:b w:val="false"/>
          <w:color w:val="000000"/>
          <w:sz w:val="24"/>
        </w:rPr>
        <w:t>(d)</w:t>
      </w:r>
      <w:r>
        <w:rPr>
          <w:rFonts w:ascii="Times New Roman;serif" w:hAnsi="Times New Roman;serif"/>
          <w:b w:val="false"/>
          <w:color w:val="000000"/>
          <w:sz w:val="24"/>
          <w:shd w:fill="FFFFFF" w:val="clear"/>
        </w:rPr>
        <w:t>Except as required by this Agreement or as required by applicable Law, during the Interim Period, Parent shall not, and shall not permit any of its Subsidiaries to, (i) acquire or agree to acquire by merging or consolidating with, or by purchasing a material portion of the assets of or equity in, any Person (a “</w:t>
      </w:r>
      <w:r>
        <w:rPr>
          <w:rFonts w:ascii="Times New Roman;serif" w:hAnsi="Times New Roman;serif"/>
          <w:b w:val="false"/>
          <w:color w:val="000000"/>
          <w:sz w:val="24"/>
          <w:u w:val="single"/>
          <w:shd w:fill="FFFFFF" w:val="clear"/>
        </w:rPr>
        <w:t>Specified Acquisition</w:t>
      </w:r>
      <w:r>
        <w:rPr>
          <w:color w:val="000000"/>
          <w:shd w:fill="FFFFFF" w:val="clear"/>
        </w:rPr>
        <w:t>”</w:t>
      </w:r>
      <w:r>
        <w:rPr>
          <w:rFonts w:ascii="Times New Roman;serif" w:hAnsi="Times New Roman;serif"/>
          <w:b w:val="false"/>
          <w:color w:val="000000"/>
          <w:sz w:val="24"/>
          <w:shd w:fill="FFFFFF" w:val="clear"/>
        </w:rPr>
        <w:t>)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Parent to procure, any authorizations, consents, orders, declarations or approvals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Parent to otherwise perform its covenants and agreements under this Agreement or to consummate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98" w:name="ice1335f8dfed40688e4ff12f800a6104"/>
      <w:bookmarkEnd w:id="298"/>
      <w:r>
        <w:rPr>
          <w:rFonts w:ascii="Times New Roman;serif" w:hAnsi="Times New Roman;serif"/>
          <w:b w:val="false"/>
          <w:color w:val="000000"/>
          <w:sz w:val="24"/>
        </w:rPr>
        <w:t>6.4.</w:t>
      </w:r>
      <w:r>
        <w:rPr>
          <w:rFonts w:ascii="Times New Roman;serif" w:hAnsi="Times New Roman;serif"/>
          <w:b w:val="false"/>
          <w:color w:val="000000"/>
          <w:sz w:val="24"/>
          <w:u w:val="single"/>
          <w:shd w:fill="FFFFFF" w:val="clear"/>
        </w:rPr>
        <w:t>Obligations of Merger Sub</w:t>
      </w:r>
      <w:r>
        <w:rPr>
          <w:rFonts w:ascii="Times New Roman;serif" w:hAnsi="Times New Roman;serif"/>
          <w:b w:val="false"/>
          <w:color w:val="000000"/>
          <w:sz w:val="24"/>
          <w:shd w:fill="FFFFFF" w:val="clear"/>
        </w:rPr>
        <w:t>. Parent shall cause Merger Sub to perform its obligations under this Agreement and to consummate the Company Merger on the terms and conditions set forth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299" w:name="i285fbe084c274f8a9c91c59920fb377a"/>
      <w:bookmarkEnd w:id="299"/>
      <w:r>
        <w:rPr>
          <w:rFonts w:ascii="Times New Roman;serif" w:hAnsi="Times New Roman;serif"/>
          <w:b w:val="false"/>
          <w:color w:val="000000"/>
          <w:sz w:val="24"/>
        </w:rPr>
        <w:t>6.5.</w:t>
      </w:r>
      <w:r>
        <w:rPr>
          <w:rFonts w:ascii="Times New Roman;serif" w:hAnsi="Times New Roman;serif"/>
          <w:b w:val="false"/>
          <w:color w:val="000000"/>
          <w:sz w:val="24"/>
          <w:u w:val="single"/>
          <w:shd w:fill="FFFFFF" w:val="clear"/>
        </w:rPr>
        <w:t>Company No Solicitation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00" w:name="i681a96dcb2f3456db21bfb6bf8bdc54e"/>
      <w:bookmarkEnd w:id="300"/>
      <w:r>
        <w:rPr>
          <w:rFonts w:ascii="Times New Roman;serif" w:hAnsi="Times New Roman;serif"/>
          <w:b w:val="false"/>
          <w:color w:val="000000"/>
          <w:sz w:val="24"/>
        </w:rPr>
        <w:t>(a)</w:t>
      </w:r>
      <w:r>
        <w:rPr>
          <w:rFonts w:ascii="Times New Roman;serif" w:hAnsi="Times New Roman;serif"/>
          <w:b w:val="false"/>
          <w:i/>
          <w:color w:val="000000"/>
          <w:sz w:val="24"/>
          <w:shd w:fill="FFFFFF" w:val="clear"/>
        </w:rPr>
        <w:t>No Solicitation or Negotiation</w:t>
      </w:r>
      <w:r>
        <w:rPr>
          <w:rFonts w:ascii="Times New Roman;serif" w:hAnsi="Times New Roman;serif"/>
          <w:b w:val="false"/>
          <w:color w:val="000000"/>
          <w:sz w:val="24"/>
          <w:shd w:fill="FFFFFF" w:val="clear"/>
        </w:rPr>
        <w:t xml:space="preserve">. Except as expressly permitted by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xml:space="preserve">, from the date hereof until the earlier to occur of the termination of this Agreement pursuant to </w:t>
      </w:r>
      <w:r>
        <w:rPr>
          <w:rFonts w:ascii="Times New Roman;serif" w:hAnsi="Times New Roman;serif"/>
          <w:b w:val="false"/>
          <w:color w:val="000000"/>
          <w:sz w:val="24"/>
          <w:u w:val="single"/>
          <w:shd w:fill="FFFFFF" w:val="clear"/>
        </w:rPr>
        <w:t>Article VIII</w:t>
      </w:r>
      <w:r>
        <w:rPr>
          <w:color w:val="000000"/>
          <w:shd w:fill="FFFFFF" w:val="clear"/>
        </w:rPr>
        <w:t xml:space="preserve"> </w:t>
      </w:r>
      <w:r>
        <w:rPr>
          <w:rFonts w:ascii="Times New Roman;serif" w:hAnsi="Times New Roman;serif"/>
          <w:b w:val="false"/>
          <w:color w:val="000000"/>
          <w:sz w:val="24"/>
          <w:shd w:fill="FFFFFF" w:val="clear"/>
        </w:rPr>
        <w:t>and the Company Merger Effective Time, the Company shall not, and shall cause each of its Subsidiaries and its and their respective officers and directors, and shall instruct its and</w:t>
      </w:r>
      <w:r>
        <w:rPr>
          <w:color w:val="000000"/>
        </w:rPr>
        <w:t xml:space="preserve"> </w:t>
      </w:r>
      <w:r>
        <w:rPr>
          <w:rFonts w:ascii="Times New Roman;serif" w:hAnsi="Times New Roman;serif"/>
          <w:b w:val="false"/>
          <w:color w:val="000000"/>
          <w:sz w:val="24"/>
          <w:shd w:fill="FFFFFF" w:val="clear"/>
        </w:rPr>
        <w:t xml:space="preserve">its Subsidiaries’ other Representatives not to, directly or indirectly, (i) solicit, initiate, or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60705"/>
                <wp:effectExtent l="0" t="0" r="0" b="0"/>
                <wp:wrapNone/>
                <wp:docPr id="82" name="Frame8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knowingly encourage or facilitate any proposal or offer or any inquiries regarding the making of any proposal or offer, including any proposal or offer to its stockholders, that constitutes, or would reasonably be expected to lead to, a Company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Company Takeover Proposal (other than, in response to an unsolicited inquiry that did not arise from a material breach of this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xml:space="preserve">, solely to ascertain facts from the Person making such Company Takeover Proposal, consistent with the Company Board’s fiduciary duties, about such Company Takeover Proposal and the Person that made it, and to refer the inquiring Person to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The Company shall, and the Company shall</w:t>
      </w:r>
      <w:r>
        <w:rPr>
          <w:color w:val="000000"/>
        </w:rPr>
        <w:t xml:space="preserve"> </w:t>
      </w:r>
      <w:r>
        <w:rPr>
          <w:rFonts w:ascii="Times New Roman;serif" w:hAnsi="Times New Roman;serif"/>
          <w:b w:val="false"/>
          <w:color w:val="000000"/>
          <w:sz w:val="24"/>
          <w:shd w:fill="FFFFFF" w:val="clear"/>
        </w:rPr>
        <w:t>cause its Subsidiaries, and its and their respective officers and directors to, and shall use its reasonable best efforts to cause its and</w:t>
      </w:r>
      <w:r>
        <w:rPr>
          <w:color w:val="000000"/>
        </w:rPr>
        <w:t xml:space="preserve"> </w:t>
      </w:r>
      <w:r>
        <w:rPr>
          <w:rFonts w:ascii="Times New Roman;serif" w:hAnsi="Times New Roman;serif"/>
          <w:b w:val="false"/>
          <w:color w:val="000000"/>
          <w:sz w:val="24"/>
          <w:shd w:fill="FFFFFF" w:val="clear"/>
        </w:rPr>
        <w:t>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w:t>
      </w:r>
      <w:r>
        <w:rPr>
          <w:color w:val="000000"/>
        </w:rPr>
        <w:t xml:space="preserve"> </w:t>
      </w:r>
      <w:r>
        <w:rPr>
          <w:rFonts w:ascii="Times New Roman;serif" w:hAnsi="Times New Roman;serif"/>
          <w:b w:val="false"/>
          <w:color w:val="000000"/>
          <w:sz w:val="24"/>
          <w:shd w:fill="FFFFFF" w:val="clear"/>
        </w:rPr>
        <w:t xml:space="preserve">reasonably be expected to lead to, a Company Takeover Proposal. As promptly as practicable after the execution of this Agreement (and, in the case of </w:t>
      </w:r>
      <w:r>
        <w:rPr>
          <w:rFonts w:ascii="Times New Roman;serif" w:hAnsi="Times New Roman;serif"/>
          <w:b w:val="false"/>
          <w:color w:val="000000"/>
          <w:sz w:val="24"/>
          <w:u w:val="single"/>
          <w:shd w:fill="FFFFFF" w:val="clear"/>
        </w:rPr>
        <w:t>clause (B)</w:t>
      </w:r>
      <w:r>
        <w:rPr>
          <w:rFonts w:ascii="Times New Roman;serif" w:hAnsi="Times New Roman;serif"/>
          <w:b w:val="false"/>
          <w:color w:val="000000"/>
          <w:sz w:val="24"/>
          <w:shd w:fill="FFFFFF" w:val="clear"/>
        </w:rPr>
        <w:t>, within twenty-four (24) hours thereafter), the Company shall (A) request in writing that each Person that has heretofore executed a confidentiality agreement within the four month period immediately preceding the date hereof in connection with its consideration of a Company Takeover Proposal or potential Company Takeover Proposal promptly destroy or return to the Company</w:t>
      </w:r>
      <w:r>
        <w:rPr>
          <w:color w:val="000000"/>
        </w:rPr>
        <w:t xml:space="preserve"> </w:t>
      </w:r>
      <w:r>
        <w:rPr>
          <w:rFonts w:ascii="Times New Roman;serif" w:hAnsi="Times New Roman;serif"/>
          <w:b w:val="false"/>
          <w:color w:val="000000"/>
          <w:sz w:val="24"/>
          <w:shd w:fill="FFFFFF" w:val="clear"/>
        </w:rPr>
        <w:t>all non-public information heretofore furnished by the Company or any of its Representatives to such person or any of its Representatives in</w:t>
      </w:r>
      <w:r>
        <w:rPr>
          <w:color w:val="000000"/>
        </w:rPr>
        <w:t xml:space="preserve"> </w:t>
      </w:r>
      <w:r>
        <w:rPr>
          <w:rFonts w:ascii="Times New Roman;serif" w:hAnsi="Times New Roman;serif"/>
          <w:b w:val="false"/>
          <w:color w:val="000000"/>
          <w:sz w:val="24"/>
          <w:shd w:fill="FFFFFF" w:val="clear"/>
        </w:rPr>
        <w:t>accordance with the terms of such confidentiality agreement and (B) terminate access to any physical or electronic data rooms relating to a</w:t>
      </w:r>
      <w:r>
        <w:rPr>
          <w:color w:val="000000"/>
        </w:rPr>
        <w:t xml:space="preserve"> </w:t>
      </w:r>
      <w:r>
        <w:rPr>
          <w:rFonts w:ascii="Times New Roman;serif" w:hAnsi="Times New Roman;serif"/>
          <w:b w:val="false"/>
          <w:color w:val="000000"/>
          <w:sz w:val="24"/>
          <w:shd w:fill="FFFFFF" w:val="clear"/>
        </w:rPr>
        <w:t>possible Company Takeover Proposal by such Person and its Representatives.</w:t>
      </w:r>
    </w:p>
    <w:p>
      <w:pPr>
        <w:pStyle w:val="TextBody"/>
        <w:bidi w:val="0"/>
        <w:spacing w:lineRule="auto" w:line="240" w:before="0" w:after="240"/>
        <w:ind w:left="0" w:right="0" w:firstLine="720"/>
        <w:jc w:val="both"/>
        <w:rPr/>
      </w:pPr>
      <w:bookmarkStart w:id="301" w:name="i5188f0b1b1b44db9bf03a4de49869926"/>
      <w:bookmarkEnd w:id="301"/>
      <w:r>
        <w:rPr>
          <w:rFonts w:ascii="Times New Roman;serif" w:hAnsi="Times New Roman;serif"/>
          <w:b w:val="false"/>
          <w:color w:val="000000"/>
          <w:sz w:val="24"/>
        </w:rPr>
        <w:t>(b)</w:t>
      </w:r>
      <w:r>
        <w:rPr>
          <w:rFonts w:ascii="Times New Roman;serif" w:hAnsi="Times New Roman;serif"/>
          <w:b w:val="false"/>
          <w:i/>
          <w:color w:val="000000"/>
          <w:sz w:val="24"/>
          <w:shd w:fill="FFFFFF" w:val="clear"/>
        </w:rPr>
        <w:t>Superior Proposals</w:t>
      </w:r>
      <w:r>
        <w:rPr>
          <w:rFonts w:ascii="Times New Roman;serif" w:hAnsi="Times New Roman;serif"/>
          <w:b w:val="false"/>
          <w:color w:val="000000"/>
          <w:sz w:val="24"/>
          <w:shd w:fill="FFFFFF" w:val="clear"/>
        </w:rPr>
        <w:t xml:space="preserve">. Notwithstanding anything to the contrary contained in this Agreement, if at any time from and after the date hereof and prior to obtaining the Company Stockholder Approval, the Company receives from any Person a Company Takeover Proposal that did not result from a material breach of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and if the Company Board determines in good faith, after consultation with its independent financial advisor and outside legal counsel, that such Company Takeover Proposal constitutes or would reasonably be expected to lead to a Company Superior Proposal, then the Company and its Representatives may, in response to such Company Takeover Proposal, (A) furnish, pursuant to an Acceptable Confidentiality Agreement, information (including non-public information) with respect to the Company and its Subsidiaries and afford access to the business, properties, assets, books, records or other non-public information, or to any personnel, of the Company or any of its Subsidiaries to the Person that has made such written Company Takeover Proposal and its Representatives, prospective debt and equity financing sources and/or their respective Representatives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shall, prior to or substantially concurrently with the delivery to such Person, provide to Parent any information concerning the Company or any of its Subsidiaries that is provided or made available to such Person or its Representatives, prospective debt and equity financing sources and/or their respective Representatives unless such information has been previously provided to Parent) and (B) engage in or otherwise participate in discussions or negotiations with the Person making such Company Takeover Proposal and its Representatives, prospective debt and equity financing sources and/or their respective Representatives regarding such Company Takeover Proposal;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and its Representatives may contact any Person in writing (with a request that any response from such Person be in writing) with respect to a Company Takeover Proposal to clarify any terms and conditions thereof which are necessary to determine whether the Company Takeover Proposal constitutes or would reasonably be expected to lead to a Company Superior Proposal without the Company Board being required to make such determination prior to taking such action. The Company shall promptly (and in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60705"/>
                <wp:effectExtent l="0" t="0" r="0" b="0"/>
                <wp:wrapNone/>
                <wp:docPr id="83" name="Frame8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any event within twenty-four (24) hours) notify Parent in writing if the Company Board makes the determinations set forth in this </w:t>
      </w:r>
      <w:r>
        <w:rPr>
          <w:rFonts w:ascii="Times New Roman;serif" w:hAnsi="Times New Roman;serif"/>
          <w:b w:val="false"/>
          <w:color w:val="000000"/>
          <w:sz w:val="24"/>
          <w:u w:val="single"/>
          <w:shd w:fill="FFFFFF" w:val="clear"/>
        </w:rPr>
        <w:t>Section 6.5(b)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302" w:name="ieecf8bc3a51849f3a1e6cdea80081573"/>
      <w:bookmarkEnd w:id="302"/>
      <w:r>
        <w:rPr>
          <w:rFonts w:ascii="Times New Roman;serif" w:hAnsi="Times New Roman;serif"/>
          <w:b w:val="false"/>
          <w:color w:val="000000"/>
          <w:sz w:val="24"/>
        </w:rPr>
        <w:t>(c)</w:t>
      </w:r>
      <w:r>
        <w:rPr>
          <w:rFonts w:ascii="Times New Roman;serif" w:hAnsi="Times New Roman;serif"/>
          <w:b w:val="false"/>
          <w:i/>
          <w:color w:val="000000"/>
          <w:sz w:val="24"/>
          <w:shd w:fill="FFFFFF" w:val="clear"/>
        </w:rPr>
        <w:t>Notice</w:t>
      </w:r>
      <w:r>
        <w:rPr>
          <w:rFonts w:ascii="Times New Roman;serif" w:hAnsi="Times New Roman;serif"/>
          <w:b w:val="false"/>
          <w:color w:val="000000"/>
          <w:sz w:val="24"/>
          <w:shd w:fill="FFFFFF" w:val="clear"/>
        </w:rPr>
        <w:t xml:space="preserve">. At any time after the date hereof and until the earlier to occur of the termination of this Agreement pursuant to </w:t>
      </w:r>
      <w:r>
        <w:rPr>
          <w:rFonts w:ascii="Times New Roman;serif" w:hAnsi="Times New Roman;serif"/>
          <w:b w:val="false"/>
          <w:color w:val="000000"/>
          <w:sz w:val="24"/>
          <w:u w:val="single"/>
          <w:shd w:fill="FFFFFF" w:val="clear"/>
        </w:rPr>
        <w:t>Article VIII</w:t>
      </w:r>
      <w:r>
        <w:rPr>
          <w:color w:val="000000"/>
          <w:shd w:fill="FFFFFF" w:val="clear"/>
        </w:rPr>
        <w:t xml:space="preserve"> </w:t>
      </w:r>
      <w:r>
        <w:rPr>
          <w:rFonts w:ascii="Times New Roman;serif" w:hAnsi="Times New Roman;serif"/>
          <w:b w:val="false"/>
          <w:color w:val="000000"/>
          <w:sz w:val="24"/>
          <w:shd w:fill="FFFFFF" w:val="clear"/>
        </w:rPr>
        <w:t>and the Company Merger Effective Time, the Company shall promptly (and in no event later than forty-eight (48) hours after receipt) notify Parent (orally or in writing) in the event that the Company or any of its Subsidiaries or its or their Representatives receives a Company Takeover Proposal, any inquiry, proposal, offer or request for information that would reasonably be expected to lead to a Company Takeover Proposal or any amendment or modification to the material terms of any Company Takeover Proposal, including the identity of the Person making the Company Takeover Proposal, a copy of any agreements or draft documents relating thereto and copies of any correspondence between the Company or its Representatives and the Person (or its Representatives) submitting such Company Takeover Proposal, inquiry, proposal offer or request relating thereto.</w:t>
      </w:r>
      <w:r>
        <w:rPr>
          <w:color w:val="000000"/>
        </w:rPr>
        <w:t xml:space="preserve"> </w:t>
      </w:r>
      <w:r>
        <w:rPr>
          <w:rFonts w:ascii="Times New Roman;serif" w:hAnsi="Times New Roman;serif"/>
          <w:b w:val="false"/>
          <w:color w:val="000000"/>
          <w:sz w:val="24"/>
          <w:shd w:fill="FFFFFF" w:val="clear"/>
        </w:rPr>
        <w:t>The Company shall keep Parent reasonably informed on a prompt and current basis with respect to the status and material terms of any such Company Takeover Proposal, inquiry, proposal, offer or request and any material changes to the status of any such discussions or negotiations and promptly (and in any event within forty-eight (48) hours after receipt) provide Parent with copies of any correspondence, agreements or draft documents provided by the Company or such Person or their respective Representatives with respect thereto, in each case to the extent not previously made available to Parent.</w:t>
      </w:r>
    </w:p>
    <w:p>
      <w:pPr>
        <w:pStyle w:val="TextBody"/>
        <w:bidi w:val="0"/>
        <w:spacing w:lineRule="auto" w:line="240" w:before="0" w:after="240"/>
        <w:ind w:left="0" w:right="0" w:firstLine="720"/>
        <w:jc w:val="both"/>
        <w:rPr/>
      </w:pPr>
      <w:bookmarkStart w:id="303" w:name="ibcd49ed7df8d43c19dcee997df8bd6c9"/>
      <w:bookmarkEnd w:id="303"/>
      <w:r>
        <w:rPr>
          <w:rFonts w:ascii="Times New Roman;serif" w:hAnsi="Times New Roman;serif"/>
          <w:b w:val="false"/>
          <w:color w:val="000000"/>
          <w:sz w:val="24"/>
        </w:rPr>
        <w:t>(d)</w:t>
      </w:r>
      <w:r>
        <w:rPr>
          <w:rFonts w:ascii="Times New Roman;serif" w:hAnsi="Times New Roman;serif"/>
          <w:b w:val="false"/>
          <w:i/>
          <w:color w:val="000000"/>
          <w:sz w:val="24"/>
          <w:shd w:fill="FFFFFF" w:val="clear"/>
        </w:rPr>
        <w:t>Change in Recommendation or Termination in Response to Company Superior Proposal</w:t>
      </w:r>
      <w:r>
        <w:rPr>
          <w:rFonts w:ascii="Times New Roman;serif" w:hAnsi="Times New Roman;serif"/>
          <w:b w:val="false"/>
          <w:color w:val="000000"/>
          <w:sz w:val="24"/>
          <w:shd w:fill="FFFFFF" w:val="clear"/>
        </w:rPr>
        <w:t xml:space="preserve">. Notwithstanding anything else in this Agreement to the contrary, from the date hereof, except as expressly permitted by this </w:t>
      </w:r>
      <w:r>
        <w:rPr>
          <w:rFonts w:ascii="Times New Roman;serif" w:hAnsi="Times New Roman;serif"/>
          <w:b w:val="false"/>
          <w:color w:val="000000"/>
          <w:sz w:val="24"/>
          <w:u w:val="single"/>
          <w:shd w:fill="FFFFFF" w:val="clear"/>
        </w:rPr>
        <w:t>Section 6.5(d)</w:t>
      </w:r>
      <w:r>
        <w:rPr>
          <w:rFonts w:ascii="Times New Roman;serif" w:hAnsi="Times New Roman;serif"/>
          <w:b w:val="false"/>
          <w:color w:val="000000"/>
          <w:sz w:val="24"/>
          <w:shd w:fill="FFFFFF" w:val="clear"/>
        </w:rPr>
        <w:t xml:space="preserve">, neither the Company Board nor any committee thereof shall (i) (A) change, qualify, withhold, withdraw or modify, or authorize or resolve to or publicly propose or announce its intention to change, qualify, withhold, withdraw or modify, in each case in any manner adverse to Parent in any material respect, the Company Recommendation, or fail to include the Company Recommendation in the Proxy Statement/Prospectus in accordance with </w:t>
      </w:r>
      <w:r>
        <w:rPr>
          <w:rFonts w:ascii="Times New Roman;serif" w:hAnsi="Times New Roman;serif"/>
          <w:b w:val="false"/>
          <w:color w:val="000000"/>
          <w:sz w:val="24"/>
          <w:u w:val="single"/>
          <w:shd w:fill="FFFFFF" w:val="clear"/>
        </w:rPr>
        <w:t>Section 6.8(a)</w:t>
      </w:r>
      <w:r>
        <w:rPr>
          <w:rFonts w:ascii="Times New Roman;serif" w:hAnsi="Times New Roman;serif"/>
          <w:b w:val="false"/>
          <w:color w:val="000000"/>
          <w:sz w:val="24"/>
          <w:shd w:fill="FFFFFF" w:val="clear"/>
        </w:rPr>
        <w:t xml:space="preserve">; (B) adopt, approve, endorse or recommend to the stockholders of the Company, or resolve to or publicly propose or announce its intention to adopt, approve, endorse or recommend to the stockholders of the Company, a Company Takeover Proposal; (C) within ten (10) Business Days of Parent’s written request, fail to make or reaffirm the Company Recommendation following the date any Company Takeover Proposal or any material modification thereto is first published or sent or given to the stockholders of the Company;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Parent may not make any such request on more than one occasion in respect of any Company Takeover Proposal or more than one occasion in respect of any material modification of a Company Takeover Proposal; or (D) fail to recommend, in a Solicitation/Recommendation Statement on Schedule 14D-9 against any Company Takeover Proposal that is a 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being referred to as a “</w:t>
      </w:r>
      <w:r>
        <w:rPr>
          <w:rFonts w:ascii="Times New Roman;serif" w:hAnsi="Times New Roman;serif"/>
          <w:b w:val="false"/>
          <w:color w:val="000000"/>
          <w:sz w:val="24"/>
          <w:u w:val="single"/>
          <w:shd w:fill="FFFFFF" w:val="clear"/>
        </w:rPr>
        <w:t>Company Change of Recommendation</w:t>
      </w:r>
      <w:r>
        <w:rPr>
          <w:color w:val="000000"/>
          <w:shd w:fill="FFFFFF" w:val="clear"/>
        </w:rPr>
        <w:t>”</w:t>
      </w:r>
      <w:r>
        <w:rPr>
          <w:rFonts w:ascii="Times New Roman;serif" w:hAnsi="Times New Roman;serif"/>
          <w:b w:val="false"/>
          <w:color w:val="000000"/>
          <w:sz w:val="24"/>
          <w:shd w:fill="FFFFFF" w:val="clear"/>
        </w:rPr>
        <w:t xml:space="preserve">); or (ii) authorize, cause or direct the Company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Company Takeover Proposal (other than an Acceptable Confidentiality Agreement entered into in accordance with </w:t>
      </w:r>
      <w:r>
        <w:rPr>
          <w:rFonts w:ascii="Times New Roman;serif" w:hAnsi="Times New Roman;serif"/>
          <w:b w:val="false"/>
          <w:color w:val="000000"/>
          <w:sz w:val="24"/>
          <w:u w:val="single"/>
          <w:shd w:fill="FFFFFF" w:val="clear"/>
        </w:rPr>
        <w:t>Section 6.5(b)</w:t>
      </w:r>
      <w:r>
        <w:rPr>
          <w:rFonts w:ascii="Times New Roman;serif" w:hAnsi="Times New Roman;serif"/>
          <w:b w:val="false"/>
          <w:color w:val="000000"/>
          <w:sz w:val="24"/>
          <w:shd w:fill="FFFFFF" w:val="clear"/>
        </w:rPr>
        <w:t xml:space="preserve">). Notwithstanding anything to the contrary set forth in this Agreement, prior to obtaining the Company Stockholder Approval, the Company Board may, in response to a Company Takeover Proposal received by the Company after the date of this Agreement that did not result from a material breach of </w:t>
      </w:r>
      <w:r>
        <w:rPr>
          <w:rFonts w:ascii="Times New Roman;serif" w:hAnsi="Times New Roman;serif"/>
          <w:b w:val="false"/>
          <w:color w:val="000000"/>
          <w:sz w:val="24"/>
          <w:u w:val="single"/>
          <w:shd w:fill="FFFFFF" w:val="clear"/>
        </w:rPr>
        <w:t>Section 6.5(a)</w:t>
      </w:r>
      <w:r>
        <w:rPr>
          <w:color w:val="000000"/>
          <w:shd w:fill="FFFFFF" w:val="clear"/>
        </w:rPr>
        <w:t xml:space="preserve"> </w:t>
      </w:r>
      <w:r>
        <w:rPr>
          <w:rFonts w:ascii="Times New Roman;serif" w:hAnsi="Times New Roman;serif"/>
          <w:b w:val="false"/>
          <w:color w:val="000000"/>
          <w:sz w:val="24"/>
          <w:shd w:fill="FFFFFF" w:val="clear"/>
        </w:rPr>
        <w:t xml:space="preserve">which the Company Board determines in good faith, after consultation with its independent financial advisor and outside legal counsel,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60705"/>
                <wp:effectExtent l="0" t="0" r="0" b="0"/>
                <wp:wrapNone/>
                <wp:docPr id="84" name="Frame8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(x) constitutes a Company Superior Proposal and (y) that failure to take the following actions would reasonably be expected to be inconsistent with its fiduciary duties under applicable Law, make a Company Change of Recommendation in respect of such Company Superior Proposal and/or cause the Company to terminate this Agreement in accordance with </w:t>
      </w:r>
      <w:r>
        <w:rPr>
          <w:rFonts w:ascii="Times New Roman;serif" w:hAnsi="Times New Roman;serif"/>
          <w:b w:val="false"/>
          <w:color w:val="000000"/>
          <w:sz w:val="24"/>
          <w:u w:val="single"/>
          <w:shd w:fill="FFFFFF" w:val="clear"/>
        </w:rPr>
        <w:t>Section 8.1(d)(ii)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prior to taking any such action, (A) the Company shall have given Parent at least five (5) Business Days’ prior written notice of its intention to take such action, which notice shall include a summary of the material terms and conditions of such Company Superior Proposal, the identity of the Person making such Company Superior Proposal and a copy of the Company Superior Proposal and a copy of any proposed agreements providing for such Company Superior Proposal (including any financing documents); (B) during such five (5) Business Day period following the date on which such notice is received, the Company shall and shall cause its Representatives to, negotiate with Parent in good faith (to the extent Parent wishes to negotiate) to make such adjustments to the terms and conditions of this Agreement as Parent may propose; (C) upon the end of such five (5) Business Day period (or such subsequent notice period as contemplated by </w:t>
      </w:r>
      <w:r>
        <w:rPr>
          <w:rFonts w:ascii="Times New Roman;serif" w:hAnsi="Times New Roman;serif"/>
          <w:b w:val="false"/>
          <w:color w:val="000000"/>
          <w:sz w:val="24"/>
          <w:u w:val="single"/>
          <w:shd w:fill="FFFFFF" w:val="clear"/>
        </w:rPr>
        <w:t>clause (D)</w:t>
      </w:r>
      <w:r>
        <w:rPr>
          <w:color w:val="000000"/>
          <w:shd w:fill="FFFFFF" w:val="clear"/>
        </w:rPr>
        <w:t xml:space="preserve"> </w:t>
      </w:r>
      <w:r>
        <w:rPr>
          <w:rFonts w:ascii="Times New Roman;serif" w:hAnsi="Times New Roman;serif"/>
          <w:b w:val="false"/>
          <w:color w:val="000000"/>
          <w:sz w:val="24"/>
          <w:shd w:fill="FFFFFF" w:val="clear"/>
        </w:rPr>
        <w:t xml:space="preserve">below this proviso), the Company Board shall have considered in good faith any revisions to the terms of this Agreement proposed in writing by Parent, and shall have determined, after consultation with its independent financial advisor and outside legal counsel, that the Company Superior Proposal continues to constitute a Company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Company Superior Proposal, the Company shall, in each case, have delivered to Parent an additional notice consistent with that described in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 xml:space="preserve">above of this proviso and a new notice period under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of this proviso shall commence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notice period thereunder shall only be three (3) Business Days) during which time the Company shall be required to comply with the requirements of this </w:t>
      </w:r>
      <w:r>
        <w:rPr>
          <w:rFonts w:ascii="Times New Roman;serif" w:hAnsi="Times New Roman;serif"/>
          <w:b w:val="false"/>
          <w:color w:val="000000"/>
          <w:sz w:val="24"/>
          <w:u w:val="single"/>
          <w:shd w:fill="FFFFFF" w:val="clear"/>
        </w:rPr>
        <w:t>Section 6.5(d)</w:t>
      </w:r>
      <w:r>
        <w:rPr>
          <w:color w:val="000000"/>
          <w:shd w:fill="FFFFFF" w:val="clear"/>
        </w:rPr>
        <w:t xml:space="preserve"> </w:t>
      </w:r>
      <w:r>
        <w:rPr>
          <w:rFonts w:ascii="Times New Roman;serif" w:hAnsi="Times New Roman;serif"/>
          <w:b w:val="false"/>
          <w:color w:val="000000"/>
          <w:sz w:val="24"/>
          <w:shd w:fill="FFFFFF" w:val="clear"/>
        </w:rPr>
        <w:t xml:space="preserve">anew with respect to such additional notice, including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through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above of this proviso.</w:t>
      </w:r>
    </w:p>
    <w:p>
      <w:pPr>
        <w:pStyle w:val="TextBody"/>
        <w:bidi w:val="0"/>
        <w:spacing w:lineRule="auto" w:line="240" w:before="0" w:after="240"/>
        <w:ind w:left="0" w:right="0" w:firstLine="720"/>
        <w:jc w:val="both"/>
        <w:rPr/>
      </w:pPr>
      <w:bookmarkStart w:id="304" w:name="i1199d33ec4b84632ad91355ee3ccdc64"/>
      <w:bookmarkEnd w:id="304"/>
      <w:r>
        <w:rPr>
          <w:rFonts w:ascii="Times New Roman;serif" w:hAnsi="Times New Roman;serif"/>
          <w:b w:val="false"/>
          <w:color w:val="000000"/>
          <w:sz w:val="24"/>
        </w:rPr>
        <w:t>(e)</w:t>
      </w:r>
      <w:r>
        <w:rPr>
          <w:rFonts w:ascii="Times New Roman;serif" w:hAnsi="Times New Roman;serif"/>
          <w:b w:val="false"/>
          <w:i/>
          <w:color w:val="000000"/>
          <w:sz w:val="24"/>
          <w:shd w:fill="FFFFFF" w:val="clear"/>
        </w:rPr>
        <w:t>Company Change of Recommendation in Response to Company Intervening Event</w:t>
      </w:r>
      <w:r>
        <w:rPr>
          <w:rFonts w:ascii="Times New Roman;serif" w:hAnsi="Times New Roman;serif"/>
          <w:b w:val="false"/>
          <w:color w:val="000000"/>
          <w:sz w:val="24"/>
          <w:shd w:fill="FFFFFF" w:val="clear"/>
        </w:rPr>
        <w:t xml:space="preserve">. Notwithstanding anything to the contrary set forth in this Agreement, prior to obtaining the Company Stockholder Approval, the Company Board may, in response to a Company Intervening Event, make a Company Change of Recommendation, and the Company Board determines in good faith, after consultation with the Company’s independent financial advisor and outside legal counsel, that the failure of the Company Board to take such action would reasonably be expected to be inconsistent with its fiduciary duties under applicable Law;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the Company Board shall not be entitled to effect such a Company Change of Recommendation until (i) the Company shall have given Parent at least five (5) Business Days’ prior written notice of its intention to effect such a Company Change of Recommendation, which notice shall specify the reasons therefor and include a reasonable description of such Company Intervening Event; (ii) during the five (5) Business Day period following the date on which such notice is received, the Company shall and shall cause its Representatives to negotiate in good faith with Parent (to the extent Parent wishes to negotiate), to make adjustments to the terms and conditions of this Agreement; and (iii) following the end of such five (5) Business Day period, the Company Board, after consultation with the Company’s independent financial advisor and outside legal counsel and taking into account any revisions to the terms and conditions of this Agreement proposed by Parent, shall have determined in good faith that the failure of the Company Board to make such a Company Change of Recommendation in response to such Company Intervening Event would reasonably be expected to be inconsistent with its fiduciary duties under applicable Law.</w:t>
      </w:r>
      <w:r>
        <w:rPr>
          <w:color w:val="000000"/>
        </w:rPr>
        <w:t xml:space="preserve"> </w:t>
      </w:r>
    </w:p>
    <w:p>
      <w:pPr>
        <w:pStyle w:val="TextBody"/>
        <w:bidi w:val="0"/>
        <w:spacing w:lineRule="auto" w:line="240" w:before="0" w:after="240"/>
        <w:ind w:left="0" w:right="0" w:firstLine="720"/>
        <w:jc w:val="both"/>
        <w:rPr/>
      </w:pPr>
      <w:bookmarkStart w:id="305" w:name="i9a369eda49024acba2bc1fbc3b93647e"/>
      <w:bookmarkEnd w:id="305"/>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Nothing contained in this </w:t>
      </w:r>
      <w:r>
        <w:rPr>
          <w:rFonts w:ascii="Times New Roman;serif" w:hAnsi="Times New Roman;serif"/>
          <w:b w:val="false"/>
          <w:color w:val="000000"/>
          <w:sz w:val="24"/>
          <w:u w:val="single"/>
          <w:shd w:fill="FFFFFF" w:val="clear"/>
        </w:rPr>
        <w:t>Section 6.5</w:t>
      </w:r>
      <w:r>
        <w:rPr>
          <w:color w:val="000000"/>
          <w:shd w:fill="FFFFFF" w:val="clear"/>
        </w:rPr>
        <w:t xml:space="preserve"> </w:t>
      </w:r>
      <w:r>
        <w:rPr>
          <w:rFonts w:ascii="Times New Roman;serif" w:hAnsi="Times New Roman;serif"/>
          <w:b w:val="false"/>
          <w:color w:val="000000"/>
          <w:sz w:val="24"/>
          <w:shd w:fill="FFFFFF" w:val="clear"/>
        </w:rPr>
        <w:t xml:space="preserve">shall prohibit the Company, the Company Board or a committee thereof from (i) taking and disclosing to the stockholders of the Company a position contemplated by Rule 14e-2(a) or Rule 14d-9 promulgated under the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60705"/>
                <wp:effectExtent l="0" t="0" r="0" b="0"/>
                <wp:wrapNone/>
                <wp:docPr id="85" name="Frame8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Exchange Act; (ii) making any disclosure to the stockholders of the Company that is required by Law or stock exchange rule or listing agreement; (iii) complying with Item 1012(a) of Regulation M-A promulgated under the Exchange Act; (iv) informing any Person of the existence of the provisions contained in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xml:space="preserve">; or (v) making any “stop, look and listen” communication to the stockholders of the Company pursuant to Rule 14d-9(f) under the Exchange Act (or any substantially similar communication);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Section 6.5(f)</w:t>
      </w:r>
      <w:r>
        <w:rPr>
          <w:color w:val="000000"/>
          <w:shd w:fill="FFFFFF" w:val="clear"/>
        </w:rPr>
        <w:t xml:space="preserve"> </w:t>
      </w:r>
      <w:r>
        <w:rPr>
          <w:rFonts w:ascii="Times New Roman;serif" w:hAnsi="Times New Roman;serif"/>
          <w:b w:val="false"/>
          <w:color w:val="000000"/>
          <w:sz w:val="24"/>
          <w:shd w:fill="FFFFFF" w:val="clear"/>
        </w:rPr>
        <w:t xml:space="preserve">shall not be deemed to permit the Company Board or any committee thereof to make a Company Change of Recommendation other than in accordance with </w:t>
      </w:r>
      <w:r>
        <w:rPr>
          <w:rFonts w:ascii="Times New Roman;serif" w:hAnsi="Times New Roman;serif"/>
          <w:b w:val="false"/>
          <w:color w:val="000000"/>
          <w:sz w:val="24"/>
          <w:u w:val="single"/>
          <w:shd w:fill="FFFFFF" w:val="clear"/>
        </w:rPr>
        <w:t>Section 6.5(d)</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6.5(e)</w:t>
      </w:r>
      <w:r>
        <w:rPr>
          <w:rFonts w:ascii="Times New Roman;serif" w:hAnsi="Times New Roman;serif"/>
          <w:b w:val="false"/>
          <w:color w:val="000000"/>
          <w:sz w:val="24"/>
          <w:shd w:fill="FFFFFF" w:val="clear"/>
        </w:rPr>
        <w:t>. In addition, it is understood and agreed that, for purposes of this Agreement, a factually accurate required public statement by the Company or the Company Board (or a committee thereof) that solely describes the Company’s receipt of a Company Takeover Proposal, the identity of the Person making such Company Takeover Proposal, the material terms of such Company Takeover Proposal and the operation of this Agreement with respect thereto will not be deemed to be (A) changing, qualifying, withholding, withdrawing or modifying, or a proposal by the Company Board (or a committee thereof) to change, qualify, withhold, withdraw or modify, the Company Recommendation; (B) an adoption, approval or recommendation with respect to such Company Takeover Proposal; or (C) a Company Change of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06" w:name="ide10774279404b04a4934e65596afa12"/>
      <w:bookmarkEnd w:id="306"/>
      <w:r>
        <w:rPr>
          <w:rFonts w:ascii="Times New Roman;serif" w:hAnsi="Times New Roman;serif"/>
          <w:b w:val="false"/>
          <w:color w:val="000000"/>
          <w:sz w:val="24"/>
        </w:rPr>
        <w:t>6.6.</w:t>
      </w:r>
      <w:r>
        <w:rPr>
          <w:rFonts w:ascii="Times New Roman;serif" w:hAnsi="Times New Roman;serif"/>
          <w:b w:val="false"/>
          <w:color w:val="000000"/>
          <w:sz w:val="24"/>
          <w:u w:val="single"/>
          <w:shd w:fill="FFFFFF" w:val="clear"/>
        </w:rPr>
        <w:t>Parent No-Solicitation</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307" w:name="i735867df3d4a41dd8a6e0c6b8e0a9a9b"/>
      <w:bookmarkEnd w:id="307"/>
      <w:r>
        <w:rPr>
          <w:rFonts w:ascii="Times New Roman;serif" w:hAnsi="Times New Roman;serif"/>
          <w:b w:val="false"/>
          <w:color w:val="000000"/>
          <w:sz w:val="24"/>
        </w:rPr>
        <w:t>(a)</w:t>
      </w:r>
      <w:r>
        <w:rPr>
          <w:rFonts w:ascii="Times New Roman;serif" w:hAnsi="Times New Roman;serif"/>
          <w:b w:val="false"/>
          <w:i/>
          <w:color w:val="000000"/>
          <w:sz w:val="24"/>
          <w:shd w:fill="FFFFFF" w:val="clear"/>
        </w:rPr>
        <w:t>No Solicitation or Negotiation</w:t>
      </w:r>
      <w:r>
        <w:rPr>
          <w:rFonts w:ascii="Times New Roman;serif" w:hAnsi="Times New Roman;serif"/>
          <w:b w:val="false"/>
          <w:color w:val="000000"/>
          <w:sz w:val="24"/>
          <w:shd w:fill="FFFFFF" w:val="clear"/>
        </w:rPr>
        <w:t xml:space="preserve">. Except as expressly permitted by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from the date hereof until the earlier to occur of the termination of this Agreement pursuant to Article VIII and the Company Merger Effective Time, Parent shall not, and shall cause each of its Subsidiaries and its and their respective officers and directors, and shall instruct its and its Subsidiaries’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Parent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Parent Takeover Proposal (other than, in response to an unsolicited inquiry that did not arise from a material breach of this </w:t>
      </w:r>
      <w:r>
        <w:rPr>
          <w:rFonts w:ascii="Times New Roman;serif" w:hAnsi="Times New Roman;serif"/>
          <w:b w:val="false"/>
          <w:color w:val="000000"/>
          <w:sz w:val="24"/>
          <w:u w:val="single"/>
          <w:shd w:fill="FFFFFF" w:val="clear"/>
        </w:rPr>
        <w:t>Section 6.6(a)</w:t>
      </w:r>
      <w:r>
        <w:rPr>
          <w:rFonts w:ascii="Times New Roman;serif" w:hAnsi="Times New Roman;serif"/>
          <w:b w:val="false"/>
          <w:color w:val="000000"/>
          <w:sz w:val="24"/>
          <w:shd w:fill="FFFFFF" w:val="clear"/>
        </w:rPr>
        <w:t xml:space="preserve">, solely to ascertain facts from the Person making such Parent Takeover Proposal, consistent with the Parent Board’s fiduciary duties, about such Parent Takeover Proposal and the Person that made it, and to refer the inquiring Person to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Parent shall, and Parent shall cause its Subsidiaries, and its and their respective officers and directors to, and shall use its reasonable best efforts to cause its and 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 reasonably be expected to lead to, a Parent Takeover Proposal.</w:t>
      </w:r>
    </w:p>
    <w:p>
      <w:pPr>
        <w:pStyle w:val="TextBody"/>
        <w:bidi w:val="0"/>
        <w:spacing w:lineRule="auto" w:line="240" w:before="0" w:after="240"/>
        <w:ind w:left="0" w:right="0" w:firstLine="720"/>
        <w:jc w:val="both"/>
        <w:rPr/>
      </w:pPr>
      <w:bookmarkStart w:id="308" w:name="ie59208f105f549498c1fde428dcb517e"/>
      <w:bookmarkEnd w:id="308"/>
      <w:r>
        <w:rPr>
          <w:rFonts w:ascii="Times New Roman;serif" w:hAnsi="Times New Roman;serif"/>
          <w:b w:val="false"/>
          <w:color w:val="000000"/>
          <w:sz w:val="24"/>
        </w:rPr>
        <w:t>(b)</w:t>
      </w:r>
      <w:r>
        <w:rPr>
          <w:rFonts w:ascii="Times New Roman;serif" w:hAnsi="Times New Roman;serif"/>
          <w:b w:val="false"/>
          <w:i/>
          <w:color w:val="000000"/>
          <w:sz w:val="24"/>
          <w:shd w:fill="FFFFFF" w:val="clear"/>
        </w:rPr>
        <w:t>Superior Proposals</w:t>
      </w:r>
      <w:r>
        <w:rPr>
          <w:rFonts w:ascii="Times New Roman;serif" w:hAnsi="Times New Roman;serif"/>
          <w:b w:val="false"/>
          <w:color w:val="000000"/>
          <w:sz w:val="24"/>
          <w:shd w:fill="FFFFFF" w:val="clear"/>
        </w:rPr>
        <w:t xml:space="preserve">. Notwithstanding anything to the contrary contained in this Agreement, if at any time from and after the date hereof and prior to obtaining Parent Stockholder Approval, Parent receives from any Person a Parent Takeover Proposal that did not result from a material breach of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and if Parent Board determines in good faith, after consultation with its independent financial advisor and outside legal counsel, that such Parent Takeover Proposal constitutes or would reasonably be expected to lead to a Parent Superior Proposal, then Parent and its Representatives may, in response to such Parent Takeover Proposal, (A) furnish, pursuant to an Acceptable Confidentiality Agreement, information (including non-public information) with respect to Parent and its Subsidiaries and afford access to the business, properties, assets, books, records or other non-public information, or to any personnel, of Parent or any of its Subsidiaries to the Person that has made such </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60705"/>
                <wp:effectExtent l="0" t="0" r="0" b="0"/>
                <wp:wrapNone/>
                <wp:docPr id="86" name="Frame8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written Parent Takeover Proposal and its Representatives, prospective debt and equity financing sources and/or their respective Representatives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Parent shall, prior to or substantially concurrently with the delivery to such Person, provide to the Company any information concerning Parent or any of its Subsidiaries that is provided or made available to such Person or its Representatives, prospective debt and equity financing sources and/or their respective Representatives unless such information has been previously provided to the Company) and (B) engage in or otherwise participate in discussions or negotiations with the Person making such Parent Takeover Proposal and its Representatives, prospective debt and equity financing sources and/or their respective Representatives regarding such Parent Takeover Proposal;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Parent and its Representatives may contact any Person in writing (with a request that any response from such Person be in writing) with respect to a Parent Takeover Proposal to clarify any terms and conditions thereof which are necessary to determine whether Parent Takeover Proposal constitutes or would reasonably be expected to lead to a Parent Superior Proposal without the Parent Board being required to make such determination prior to taking such action. Parent shall promptly (and in any event within twenty-four (24) hours) notify the Company in writing if Parent Board makes the determinations set forth in this </w:t>
      </w:r>
      <w:r>
        <w:rPr>
          <w:rFonts w:ascii="Times New Roman;serif" w:hAnsi="Times New Roman;serif"/>
          <w:b w:val="false"/>
          <w:color w:val="000000"/>
          <w:sz w:val="24"/>
          <w:u w:val="single"/>
          <w:shd w:fill="FFFFFF" w:val="clear"/>
        </w:rPr>
        <w:t>Section 6.6(b)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309" w:name="i3c601ee5afb5452b97f52239e8da64f0"/>
      <w:bookmarkEnd w:id="309"/>
      <w:r>
        <w:rPr>
          <w:rFonts w:ascii="Times New Roman;serif" w:hAnsi="Times New Roman;serif"/>
          <w:b w:val="false"/>
          <w:color w:val="000000"/>
          <w:sz w:val="24"/>
        </w:rPr>
        <w:t>(c)</w:t>
      </w:r>
      <w:r>
        <w:rPr>
          <w:rFonts w:ascii="Times New Roman;serif" w:hAnsi="Times New Roman;serif"/>
          <w:b w:val="false"/>
          <w:i/>
          <w:color w:val="000000"/>
          <w:sz w:val="24"/>
          <w:shd w:fill="FFFFFF" w:val="clear"/>
        </w:rPr>
        <w:t>Notice</w:t>
      </w:r>
      <w:r>
        <w:rPr>
          <w:rFonts w:ascii="Times New Roman;serif" w:hAnsi="Times New Roman;serif"/>
          <w:b w:val="false"/>
          <w:color w:val="000000"/>
          <w:sz w:val="24"/>
          <w:shd w:fill="FFFFFF" w:val="clear"/>
        </w:rPr>
        <w:t>. At any time after the date hereof and until the earlier to occur of the termination of this Agreement pursuant to Article VIII and the Company Merger Effective Time, Parent shall promptly (and in no event later than forty-eight (48) hours after receipt) notify the Company (orally or in writing) in the event that Parent or any of its Subsidiaries or its or their Representatives receives a Parent Takeover Proposal, any inquiry, proposal, offer or request for information that would reasonably be expected to lead to a Parent Takeover Proposal or any amendment or modification to the material terms of any Parent Takeover Proposal, including the identity of the Person making such Parent Takeover Proposal, a copy of any agreements or draft documents related thereto and copies of any correspondence between Parent or its Representatives and the Person (or its Representatives) submitting such Parent Takeover Proposal, inquiry, proposal offer or request relating thereto. Parent shall keep the Company reasonably informed on a prompt and current basis with respect to the status and material terms of any such Parent Takeover Proposal, inquiry, proposal, offer or request and any material changes to the status of any such discussions or negotiations and promptly (and in any event within forty-eight (48) hours after receipt) provide the Company with copies of any correspondence, agreements or draft documents provided by Parent or such Person or their respective Representatives with respect thereto, in each case to the extent not previously made available to the Company.</w:t>
      </w:r>
    </w:p>
    <w:p>
      <w:pPr>
        <w:pStyle w:val="TextBody"/>
        <w:bidi w:val="0"/>
        <w:spacing w:lineRule="auto" w:line="240" w:before="0" w:after="240"/>
        <w:ind w:left="0" w:right="0" w:firstLine="720"/>
        <w:jc w:val="both"/>
        <w:rPr/>
      </w:pPr>
      <w:bookmarkStart w:id="310" w:name="i3d8a3f3ce101416a93cd27130ad7fc3b"/>
      <w:bookmarkEnd w:id="310"/>
      <w:r>
        <w:rPr>
          <w:rFonts w:ascii="Times New Roman;serif" w:hAnsi="Times New Roman;serif"/>
          <w:b w:val="false"/>
          <w:color w:val="000000"/>
          <w:sz w:val="24"/>
        </w:rPr>
        <w:t>(d)</w:t>
      </w:r>
      <w:r>
        <w:rPr>
          <w:rFonts w:ascii="Times New Roman;serif" w:hAnsi="Times New Roman;serif"/>
          <w:b w:val="false"/>
          <w:i/>
          <w:color w:val="000000"/>
          <w:sz w:val="24"/>
          <w:shd w:fill="FFFFFF" w:val="clear"/>
        </w:rPr>
        <w:t>Change in Recommendation or Termination in Response to Parent Superior Proposal</w:t>
      </w:r>
      <w:r>
        <w:rPr>
          <w:rFonts w:ascii="Times New Roman;serif" w:hAnsi="Times New Roman;serif"/>
          <w:b w:val="false"/>
          <w:color w:val="000000"/>
          <w:sz w:val="24"/>
          <w:shd w:fill="FFFFFF" w:val="clear"/>
        </w:rPr>
        <w:t xml:space="preserve">. Notwithstanding anything else in this Agreement to the contrary, from the date hereof, except as expressly permitted by this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xml:space="preserve">, neither the Parent Board nor any committee thereof shall (i) (A) change, qualify, withhold, withdraw or modify, or authorize or resolve to or publicly propose or announce its intention to change, qualify, withhold, withdraw or modify, in each case in any manner adverse to the Company in any material respect, the Parent Recommendation, or fail to include the Parent Recommendation in the Proxy Statement/Prospectus in accordance with </w:t>
      </w:r>
      <w:r>
        <w:rPr>
          <w:rFonts w:ascii="Times New Roman;serif" w:hAnsi="Times New Roman;serif"/>
          <w:b w:val="false"/>
          <w:color w:val="000000"/>
          <w:sz w:val="24"/>
          <w:u w:val="single"/>
          <w:shd w:fill="FFFFFF" w:val="clear"/>
        </w:rPr>
        <w:t>Section 6.8(d)</w:t>
      </w:r>
      <w:r>
        <w:rPr>
          <w:rFonts w:ascii="Times New Roman;serif" w:hAnsi="Times New Roman;serif"/>
          <w:b w:val="false"/>
          <w:color w:val="000000"/>
          <w:sz w:val="24"/>
          <w:shd w:fill="FFFFFF" w:val="clear"/>
        </w:rPr>
        <w:t xml:space="preserve">; (B) adopt, approve, endorse or recommend to the stockholders of Parent, or resolve to or publicly propose or announce its intention to adopt, approve, endorse or recommend to the stockholders of Parent, a Parent Takeover Proposal; (C) within ten (10) Business Days of the Company’s written request, fail to make or reaffirm the Parent Recommendation following the date any Parent Takeover Proposal or any material modification thereto is first published or sent or given to the stockholders of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may not make any such request on more than one occasion in respect of any Parent Takeover Proposal or more than one occasion in respect of any material modification of a Parent Takeover Proposal; or (D) fail to recommend, in a Solicitation/Recommendation Statement on Schedule 14D-9 against any Parent Takeover Proposal that is a </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0705"/>
                <wp:effectExtent l="0" t="0" r="0" b="0"/>
                <wp:wrapNone/>
                <wp:docPr id="87" name="Frame8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being referred to as a “</w:t>
      </w:r>
      <w:r>
        <w:rPr>
          <w:rFonts w:ascii="Times New Roman;serif" w:hAnsi="Times New Roman;serif"/>
          <w:b w:val="false"/>
          <w:color w:val="000000"/>
          <w:sz w:val="24"/>
          <w:u w:val="single"/>
          <w:shd w:fill="FFFFFF" w:val="clear"/>
        </w:rPr>
        <w:t>Parent Change of Recommendation</w:t>
      </w:r>
      <w:r>
        <w:rPr>
          <w:color w:val="000000"/>
          <w:shd w:fill="FFFFFF" w:val="clear"/>
        </w:rPr>
        <w:t>”</w:t>
      </w:r>
      <w:r>
        <w:rPr>
          <w:rFonts w:ascii="Times New Roman;serif" w:hAnsi="Times New Roman;serif"/>
          <w:b w:val="false"/>
          <w:color w:val="000000"/>
          <w:sz w:val="24"/>
          <w:shd w:fill="FFFFFF" w:val="clear"/>
        </w:rPr>
        <w:t xml:space="preserve">); or (ii) authorize, cause or direct Parent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Parent Takeover Proposal (other than an Acceptable Confidentiality Agreement entered into in accordance with </w:t>
      </w:r>
      <w:r>
        <w:rPr>
          <w:rFonts w:ascii="Times New Roman;serif" w:hAnsi="Times New Roman;serif"/>
          <w:b w:val="false"/>
          <w:color w:val="000000"/>
          <w:sz w:val="24"/>
          <w:u w:val="single"/>
          <w:shd w:fill="FFFFFF" w:val="clear"/>
        </w:rPr>
        <w:t>Section 6.6(b)</w:t>
      </w:r>
      <w:r>
        <w:rPr>
          <w:rFonts w:ascii="Times New Roman;serif" w:hAnsi="Times New Roman;serif"/>
          <w:b w:val="false"/>
          <w:color w:val="000000"/>
          <w:sz w:val="24"/>
          <w:shd w:fill="FFFFFF" w:val="clear"/>
        </w:rPr>
        <w:t xml:space="preserve">). Notwithstanding anything to the contrary set forth in this Agreement, prior to obtaining the Parent Stockholder Approval, the Parent Board may, in response to a Parent Takeover Proposal received by Parent after the date of this Agreement that did not result from a material breach of </w:t>
      </w:r>
      <w:r>
        <w:rPr>
          <w:rFonts w:ascii="Times New Roman;serif" w:hAnsi="Times New Roman;serif"/>
          <w:b w:val="false"/>
          <w:color w:val="000000"/>
          <w:sz w:val="24"/>
          <w:u w:val="single"/>
          <w:shd w:fill="FFFFFF" w:val="clear"/>
        </w:rPr>
        <w:t>Section 6.6(a)</w:t>
      </w:r>
      <w:r>
        <w:rPr>
          <w:color w:val="000000"/>
          <w:shd w:fill="FFFFFF" w:val="clear"/>
        </w:rPr>
        <w:t xml:space="preserve"> </w:t>
      </w:r>
      <w:r>
        <w:rPr>
          <w:rFonts w:ascii="Times New Roman;serif" w:hAnsi="Times New Roman;serif"/>
          <w:b w:val="false"/>
          <w:color w:val="000000"/>
          <w:sz w:val="24"/>
          <w:shd w:fill="FFFFFF" w:val="clear"/>
        </w:rPr>
        <w:t xml:space="preserve">which the Parent Board determines in good faith, after consultation with its independent financial advisor and outside legal counsel, (x) constitutes a Parent Superior Proposal and (y) that failure to take the following actions would reasonably be expected to be inconsistent with its fiduciary duties under applicable Law, make a Parent Change of Recommendation in respect of such Parent Superior Proposal and/or cause Parent to terminate this Agreement in accordance with </w:t>
      </w:r>
      <w:r>
        <w:rPr>
          <w:rFonts w:ascii="Times New Roman;serif" w:hAnsi="Times New Roman;serif"/>
          <w:b w:val="false"/>
          <w:color w:val="000000"/>
          <w:sz w:val="24"/>
          <w:u w:val="single"/>
          <w:shd w:fill="FFFFFF" w:val="clear"/>
        </w:rPr>
        <w:t>Section 8.1(e)(ii)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prior to taking any such action, (A) Parent shall have given the Company at least five (5) Business Days’ prior written notice of its intention to take such action, which notice shall include a summary of the material terms and conditions of such Parent Superior Proposal, the identity of the Person making such Parent Superior Proposal and a copy of the Parent Superior Proposal and a copy of any proposed agreements providing for such Parent Superior Proposal (including any financing documents); (B) during such five (5) Business Day period following the date on which such notice is received, Parent shall and shall cause its Representatives to, negotiate with the Company in good faith (to the extent the Company wishes to negotiate) to make such adjustments to the terms and conditions of this Agreement as the Company may propose; (C) upon the end of such five (5) Business Day period (or such subsequent notice period as contemplated by </w:t>
      </w:r>
      <w:r>
        <w:rPr>
          <w:rFonts w:ascii="Times New Roman;serif" w:hAnsi="Times New Roman;serif"/>
          <w:b w:val="false"/>
          <w:color w:val="000000"/>
          <w:sz w:val="24"/>
          <w:u w:val="single"/>
          <w:shd w:fill="FFFFFF" w:val="clear"/>
        </w:rPr>
        <w:t>clause (D)</w:t>
      </w:r>
      <w:r>
        <w:rPr>
          <w:color w:val="000000"/>
          <w:shd w:fill="FFFFFF" w:val="clear"/>
        </w:rPr>
        <w:t xml:space="preserve"> </w:t>
      </w:r>
      <w:r>
        <w:rPr>
          <w:rFonts w:ascii="Times New Roman;serif" w:hAnsi="Times New Roman;serif"/>
          <w:b w:val="false"/>
          <w:color w:val="000000"/>
          <w:sz w:val="24"/>
          <w:shd w:fill="FFFFFF" w:val="clear"/>
        </w:rPr>
        <w:t xml:space="preserve">below this proviso), the Parent Board shall have considered in good faith any revisions to the terms of this Agreement proposed in writing by the Company, and shall have determined, after consultation with its independent financial advisor and outside legal counsel, that the Parent Superior Proposal continues to constitute a Parent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Parent Superior Proposal, Parent shall, in each case, have delivered to the Company an additional notice consistent with that described in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 xml:space="preserve">above of this proviso and a new notice period under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of this proviso shall commence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notice period thereunder shall only be three (3) Business Days) during which time Parent shall be required to comply with the requirements of this </w:t>
      </w:r>
      <w:r>
        <w:rPr>
          <w:rFonts w:ascii="Times New Roman;serif" w:hAnsi="Times New Roman;serif"/>
          <w:b w:val="false"/>
          <w:color w:val="000000"/>
          <w:sz w:val="24"/>
          <w:u w:val="single"/>
          <w:shd w:fill="FFFFFF" w:val="clear"/>
        </w:rPr>
        <w:t>Section 6.6(d)</w:t>
      </w:r>
      <w:r>
        <w:rPr>
          <w:color w:val="000000"/>
          <w:shd w:fill="FFFFFF" w:val="clear"/>
        </w:rPr>
        <w:t xml:space="preserve"> </w:t>
      </w:r>
      <w:r>
        <w:rPr>
          <w:rFonts w:ascii="Times New Roman;serif" w:hAnsi="Times New Roman;serif"/>
          <w:b w:val="false"/>
          <w:color w:val="000000"/>
          <w:sz w:val="24"/>
          <w:shd w:fill="FFFFFF" w:val="clear"/>
        </w:rPr>
        <w:t xml:space="preserve">anew with respect to such additional notice, including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through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above of this proviso.</w:t>
      </w:r>
    </w:p>
    <w:p>
      <w:pPr>
        <w:pStyle w:val="TextBody"/>
        <w:bidi w:val="0"/>
        <w:spacing w:lineRule="auto" w:line="240" w:before="0" w:after="240"/>
        <w:ind w:left="0" w:right="0" w:firstLine="720"/>
        <w:jc w:val="both"/>
        <w:rPr/>
      </w:pPr>
      <w:bookmarkStart w:id="311" w:name="i9145325652a04689b3db5bb33ac3b5d5"/>
      <w:bookmarkEnd w:id="311"/>
      <w:r>
        <w:rPr>
          <w:rFonts w:ascii="Times New Roman;serif" w:hAnsi="Times New Roman;serif"/>
          <w:b w:val="false"/>
          <w:color w:val="000000"/>
          <w:sz w:val="24"/>
        </w:rPr>
        <w:t>(e)</w:t>
      </w:r>
      <w:r>
        <w:rPr>
          <w:rFonts w:ascii="Times New Roman;serif" w:hAnsi="Times New Roman;serif"/>
          <w:b w:val="false"/>
          <w:i/>
          <w:color w:val="000000"/>
          <w:sz w:val="24"/>
          <w:shd w:fill="FFFFFF" w:val="clear"/>
        </w:rPr>
        <w:t>Parent Change of Recommendation in Response to Parent Intervening Event</w:t>
      </w:r>
      <w:r>
        <w:rPr>
          <w:rFonts w:ascii="Times New Roman;serif" w:hAnsi="Times New Roman;serif"/>
          <w:b w:val="false"/>
          <w:color w:val="000000"/>
          <w:sz w:val="24"/>
          <w:shd w:fill="FFFFFF" w:val="clear"/>
        </w:rPr>
        <w:t xml:space="preserve">. Notwithstanding anything to the contrary set forth in this Agreement, prior to obtaining Parent Stockholder Approval, the Parent Board may, in response to a Parent Intervening Event, make a Parent Change of Recommendation, and the Parent Board determines in good faith, after consultation with Parent’s independent financial advisor and outside legal counsel, that the failure of the Parent Board to take such action would reasonably be expected to be inconsistent with its fiduciary duties under applicable Law;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Parent Board shall not be entitled to effect such a Parent Change of Recommendation until (i) Parent shall have given the Company at least five (5) Business Days’ prior written notice of its intention to effect such a Parent Change of Recommendation, which notice shall specify the reasons therefor and include a reasonable description of such Parent Intervening Event; (ii) during the five (5)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60705"/>
                <wp:effectExtent l="0" t="0" r="0" b="0"/>
                <wp:wrapNone/>
                <wp:docPr id="88" name="Frame8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Business Day period following the date on which such notice is received, Parent shall and shall cause its Representatives to negotiate in good faith with the Company (to the extent the Company wishes to negotiate), to make adjustments to the terms and conditions of this Agreement; and (iii) following the end of such five (5) Business Day period, the Parent Board, after consultation with Parent’s independent financial advisor and outside legal counsel and taking into account any revisions to the terms and conditions of this Agreement proposed by the Company, shall have determined in good faith that the failure of the Parent Board to make such a Parent Change of Recommendation in response to such Parent Intervening Event would reasonably be expected to be inconsistent with its fiduciary duties under applicable Law.</w:t>
      </w:r>
    </w:p>
    <w:p>
      <w:pPr>
        <w:pStyle w:val="TextBody"/>
        <w:bidi w:val="0"/>
        <w:spacing w:lineRule="auto" w:line="240" w:before="0" w:after="240"/>
        <w:ind w:left="0" w:right="0" w:firstLine="720"/>
        <w:jc w:val="both"/>
        <w:rPr/>
      </w:pPr>
      <w:bookmarkStart w:id="312" w:name="i78a4ed56542f4631ad7e3b42f22e9a50"/>
      <w:bookmarkEnd w:id="312"/>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Nothing contained in this </w:t>
      </w:r>
      <w:r>
        <w:rPr>
          <w:rFonts w:ascii="Times New Roman;serif" w:hAnsi="Times New Roman;serif"/>
          <w:b w:val="false"/>
          <w:color w:val="000000"/>
          <w:sz w:val="24"/>
          <w:u w:val="single"/>
          <w:shd w:fill="FFFFFF" w:val="clear"/>
        </w:rPr>
        <w:t>Section 6.6</w:t>
      </w:r>
      <w:r>
        <w:rPr>
          <w:color w:val="000000"/>
          <w:shd w:fill="FFFFFF" w:val="clear"/>
        </w:rPr>
        <w:t xml:space="preserve"> </w:t>
      </w:r>
      <w:r>
        <w:rPr>
          <w:rFonts w:ascii="Times New Roman;serif" w:hAnsi="Times New Roman;serif"/>
          <w:b w:val="false"/>
          <w:color w:val="000000"/>
          <w:sz w:val="24"/>
          <w:shd w:fill="FFFFFF" w:val="clear"/>
        </w:rPr>
        <w:t xml:space="preserve">shall prohibit Parent, the Parent Board or a committee thereof from (i) taking and disclosing to the stockholders of Parent a position contemplated by Rule 14e-2(a) or Rule 14d-9 promulgated under the Exchange Act; (ii) making any disclosure to the stockholders of Parent that is required by Law or stock exchange rule or listing agreement; (iii) complying with Item 1012(a) of Regulation M-A promulgated under the Exchange Act; (iv) informing any Person of the existence of the provisions contained in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or (v) making any “stop, look and listen” communication to the stockholders of Parent pursuant to Rule 14d-9(f) under the Exchange Act (or any substantially similar communication);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Section 6.6(f)</w:t>
      </w:r>
      <w:r>
        <w:rPr>
          <w:color w:val="000000"/>
          <w:shd w:fill="FFFFFF" w:val="clear"/>
        </w:rPr>
        <w:t xml:space="preserve"> </w:t>
      </w:r>
      <w:r>
        <w:rPr>
          <w:rFonts w:ascii="Times New Roman;serif" w:hAnsi="Times New Roman;serif"/>
          <w:b w:val="false"/>
          <w:color w:val="000000"/>
          <w:sz w:val="24"/>
          <w:shd w:fill="FFFFFF" w:val="clear"/>
        </w:rPr>
        <w:t xml:space="preserve">shall not be deemed to permit the Parent Board or any committee thereof to make a Parent Change of Recommendation other than in accordance with </w:t>
      </w:r>
      <w:r>
        <w:rPr>
          <w:rFonts w:ascii="Times New Roman;serif" w:hAnsi="Times New Roman;serif"/>
          <w:b w:val="false"/>
          <w:color w:val="000000"/>
          <w:sz w:val="24"/>
          <w:u w:val="single"/>
          <w:shd w:fill="FFFFFF" w:val="clear"/>
        </w:rPr>
        <w:t>Section 6.6(d)</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6.6(e)</w:t>
      </w:r>
      <w:r>
        <w:rPr>
          <w:rFonts w:ascii="Times New Roman;serif" w:hAnsi="Times New Roman;serif"/>
          <w:b w:val="false"/>
          <w:color w:val="000000"/>
          <w:sz w:val="24"/>
          <w:shd w:fill="FFFFFF" w:val="clear"/>
        </w:rPr>
        <w:t>. In addition, it is understood and agreed that, for purposes of this Agreement, a factually accurate required public statement by Parent or the Parent Board (or a committee thereof) that solely describes Parent’s receipt of a Parent Takeover Proposal, the identity of the Person making such Parent Takeover Proposal, the material terms of such Parent Takeover Proposal and the operation of this Agreement with respect thereto will not be deemed to be (A) changing, qualifying, withholding, withdrawing or modifying, or a proposal by the Parent Board (or a committee thereof) to change, qualify, withhold, withdraw or modify, the Parent Recommendation; (B) an adoption, approval or recommendation with respect to such Parent Takeover Proposal; or (C) a Parent Change of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13" w:name="i3e92e0d6a0554f68bb9666e360136190"/>
      <w:bookmarkEnd w:id="313"/>
      <w:r>
        <w:rPr>
          <w:rFonts w:ascii="Times New Roman;serif" w:hAnsi="Times New Roman;serif"/>
          <w:b w:val="false"/>
          <w:color w:val="000000"/>
          <w:sz w:val="24"/>
        </w:rPr>
        <w:t>6.7.</w:t>
      </w:r>
      <w:r>
        <w:rPr>
          <w:rFonts w:ascii="Times New Roman;serif" w:hAnsi="Times New Roman;serif"/>
          <w:b w:val="false"/>
          <w:color w:val="000000"/>
          <w:sz w:val="24"/>
          <w:u w:val="single"/>
          <w:shd w:fill="FFFFFF" w:val="clear"/>
        </w:rPr>
        <w:t>Form S-4 and Joint Proxy Statement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314" w:name="ib9d4ec13ceba4ba69b1aac9038061a07"/>
      <w:bookmarkEnd w:id="314"/>
      <w:r>
        <w:rPr>
          <w:rFonts w:ascii="Times New Roman;serif" w:hAnsi="Times New Roman;serif"/>
          <w:b w:val="false"/>
          <w:color w:val="000000"/>
          <w:sz w:val="24"/>
        </w:rPr>
        <w:t>(a)</w:t>
      </w:r>
      <w:r>
        <w:rPr>
          <w:rFonts w:ascii="Times New Roman;serif" w:hAnsi="Times New Roman;serif"/>
          <w:b w:val="false"/>
          <w:color w:val="000000"/>
          <w:sz w:val="24"/>
          <w:shd w:fill="FFFFFF" w:val="clear"/>
        </w:rPr>
        <w:t>As promptly as reasonably practicable after the execution of this Agreement, Parent and the Company shall prepare, and Parent shall file with the SEC, a registration statement on Form S-4 of Parent relating to the Parent Common Stock Issuance (as amended or supplemented from time to time, the “</w:t>
      </w:r>
      <w:r>
        <w:rPr>
          <w:rFonts w:ascii="Times New Roman;serif" w:hAnsi="Times New Roman;serif"/>
          <w:b w:val="false"/>
          <w:color w:val="000000"/>
          <w:sz w:val="24"/>
          <w:u w:val="single"/>
          <w:shd w:fill="FFFFFF" w:val="clear"/>
        </w:rPr>
        <w:t>Form S-4</w:t>
      </w:r>
      <w:r>
        <w:rPr>
          <w:color w:val="000000"/>
          <w:shd w:fill="FFFFFF" w:val="clear"/>
        </w:rPr>
        <w:t>”</w:t>
      </w:r>
      <w:r>
        <w:rPr>
          <w:rFonts w:ascii="Times New Roman;serif" w:hAnsi="Times New Roman;serif"/>
          <w:b w:val="false"/>
          <w:color w:val="000000"/>
          <w:sz w:val="24"/>
          <w:shd w:fill="FFFFFF" w:val="clear"/>
        </w:rPr>
        <w:t>), in which the Joint Proxy Statement shall be included as a prospectus (collectively, the “</w:t>
      </w:r>
      <w:r>
        <w:rPr>
          <w:rFonts w:ascii="Times New Roman;serif" w:hAnsi="Times New Roman;serif"/>
          <w:b w:val="false"/>
          <w:color w:val="000000"/>
          <w:sz w:val="24"/>
          <w:u w:val="single"/>
          <w:shd w:fill="FFFFFF" w:val="clear"/>
        </w:rPr>
        <w:t>Proxy Statement/Prospectus</w:t>
      </w:r>
      <w:r>
        <w:rPr>
          <w:color w:val="000000"/>
          <w:shd w:fill="FFFFFF" w:val="clear"/>
        </w:rPr>
        <w:t>”</w:t>
      </w:r>
      <w:r>
        <w:rPr>
          <w:rFonts w:ascii="Times New Roman;serif" w:hAnsi="Times New Roman;serif"/>
          <w:b w:val="false"/>
          <w:color w:val="000000"/>
          <w:sz w:val="24"/>
          <w:shd w:fill="FFFFFF" w:val="clear"/>
        </w:rPr>
        <w:t xml:space="preserve">). Each of Parent and the Company shall use commercially reasonable efforts to have the Form S-4 declared effective under the Securities Act and for the Proxy Statement/Prospectus to be cleared by the SEC and its staff under the Exchange Act, in each case, as promptly as reasonably practicable after such filing and to keep the Form S-4 effective for as long as is necessary to consummate the Company Merger. Parent and the Company shall use reasonable efforts to respond as promptly as practicable to any comments of the SEC staff in respect of the Proxy Statement/Prospectus and to cause the definitive Proxy Statement/Prospectus to be mailed to the Company’s stockholders as promptly as practicable following the effectiveness of the Form S-4 under the Securities Act. The Company will furnish Parent all information reasonably requested by Parent relating to the Company required by applicable Law to be set forth in the Proxy Statement/Prospectus. Parent and Merger Sub will furnish the Company with all information reasonably requested by the Company relating to Parent and Merger Sub required by applicable Law to be set forth in the Proxy Statement/Prospectus. Each of Parent and the Company shall promptly notify the other party upon the receipt of any comments from the SEC or its staff or any request from the SEC or its staff for amendments or supplements to the Proxy Statement/Prospectus and the receiving party shall provide the other party with copies of all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0705"/>
                <wp:effectExtent l="0" t="0" r="0" b="0"/>
                <wp:wrapNone/>
                <wp:docPr id="89" name="Frame8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correspondence between the receiving party and its Representatives, on the one hand, and the SEC and its staff, on the other hand, relating to the Proxy Statement/Prospectus. Each of Parent and the Company shall provide the other party a reasonable opportunity to review and propose comments on the Proxy Statement/Prospectus prior to the filing thereof (and any amendments or supplements thereto) or any responses or other communications to the SEC or its staff and shall in good faith consider such comments reasonably proposed by the other party for inclusion therein. Each of Parent and the Company shall use its reasonable best efforts to resolve all SEC comments with respect to the Proxy Statement/Prospectus as promptly as practicable after receipt thereof and shall provide all cooperation reasonably requested by the other party in connection therewith.</w:t>
      </w:r>
      <w:r>
        <w:rPr>
          <w:color w:val="000000"/>
        </w:rPr>
        <w:t xml:space="preserve"> </w:t>
      </w:r>
    </w:p>
    <w:p>
      <w:pPr>
        <w:pStyle w:val="TextBody"/>
        <w:bidi w:val="0"/>
        <w:spacing w:lineRule="auto" w:line="240" w:before="0" w:after="240"/>
        <w:ind w:left="0" w:right="0" w:firstLine="720"/>
        <w:jc w:val="both"/>
        <w:rPr/>
      </w:pPr>
      <w:bookmarkStart w:id="315" w:name="i43e6b22a040a4330b84c9e5d80cee35f"/>
      <w:bookmarkEnd w:id="315"/>
      <w:r>
        <w:rPr>
          <w:rFonts w:ascii="Times New Roman;serif" w:hAnsi="Times New Roman;serif"/>
          <w:b w:val="false"/>
          <w:color w:val="000000"/>
          <w:sz w:val="24"/>
        </w:rPr>
        <w:t>(b)</w:t>
      </w:r>
      <w:r>
        <w:rPr>
          <w:rFonts w:ascii="Times New Roman;serif" w:hAnsi="Times New Roman;serif"/>
          <w:b w:val="false"/>
          <w:color w:val="000000"/>
          <w:sz w:val="24"/>
          <w:shd w:fill="FFFFFF" w:val="clear"/>
        </w:rPr>
        <w:t>If at any time prior to the Company Stockholders Meeting any information relating to the Company or Parent, or any of their respective Affiliates, is discovered by a party hereto, which information should be set forth in an amendment or supplement to the Proxy Statement/Prospectus, the party hereto that discovers such information shall promptly notify the other party hereto and Parent and the Company shall use reasonable best efforts to prepare and mail to the Company’s stockholders such an amendment or supplement, in each case, to the extent required by applicable Law. Each of Parent and the Company further agrees to use reasonable best efforts to cause the Proxy Statement/Prospectus as so corrected or supplemented promptly to be filed with the SEC and to be disseminated to the Company’s stockholders, in each case as and to the extent required by applicable Law.</w:t>
      </w:r>
    </w:p>
    <w:p>
      <w:pPr>
        <w:pStyle w:val="TextBody"/>
        <w:bidi w:val="0"/>
        <w:spacing w:lineRule="auto" w:line="240" w:before="0" w:after="240"/>
        <w:ind w:left="0" w:right="0" w:firstLine="720"/>
        <w:jc w:val="both"/>
        <w:rPr/>
      </w:pPr>
      <w:bookmarkStart w:id="316" w:name="i75c43cca157d40938e112a12c9167f6a"/>
      <w:bookmarkEnd w:id="316"/>
      <w:r>
        <w:rPr>
          <w:rFonts w:ascii="Times New Roman;serif" w:hAnsi="Times New Roman;serif"/>
          <w:b w:val="false"/>
          <w:color w:val="000000"/>
          <w:sz w:val="24"/>
        </w:rPr>
        <w:t>(c)</w:t>
      </w:r>
      <w:r>
        <w:rPr>
          <w:rFonts w:ascii="Times New Roman;serif" w:hAnsi="Times New Roman;serif"/>
          <w:b w:val="false"/>
          <w:color w:val="000000"/>
          <w:sz w:val="24"/>
          <w:shd w:fill="FFFFFF" w:val="clear"/>
        </w:rPr>
        <w:t>If at any time prior to the Parent Stockholders Meeting any information relating to Parent or the Company, or any of their respective Affiliates, is discovered by a party hereto, which information should be set forth in an amendment or supplement to the Proxy Statement/Prospectus, the party hereto that discovers such information shall promptly notify the other party hereto and the Company and Parent shall use reasonable best efforts to prepare and mail to Parent’s stockholders such an amendment or supplement, in each case, to the extent required by applicable Law. Each of the Company and Parent further agrees to use reasonable best efforts to cause the Proxy Statement/Prospectus as so corrected or supplemented promptly to be filed with the SEC and to be disseminated to the Parent’s stockholders, in each case as and to the extent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17" w:name="i27aaed0f7a92466284134a113f9bacb8"/>
      <w:bookmarkEnd w:id="317"/>
      <w:r>
        <w:rPr>
          <w:rFonts w:ascii="Times New Roman;serif" w:hAnsi="Times New Roman;serif"/>
          <w:b w:val="false"/>
          <w:color w:val="000000"/>
          <w:sz w:val="24"/>
        </w:rPr>
        <w:t>6.8.</w:t>
      </w:r>
      <w:r>
        <w:rPr>
          <w:rFonts w:ascii="Times New Roman;serif" w:hAnsi="Times New Roman;serif"/>
          <w:b w:val="false"/>
          <w:color w:val="000000"/>
          <w:sz w:val="24"/>
          <w:u w:val="single"/>
          <w:shd w:fill="FFFFFF" w:val="clear"/>
        </w:rPr>
        <w:t>Stockholders Meetings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318" w:name="ic676d6847b514aca8b20b007069f2828"/>
      <w:bookmarkEnd w:id="318"/>
      <w:r>
        <w:rPr>
          <w:rFonts w:ascii="Times New Roman;serif" w:hAnsi="Times New Roman;serif"/>
          <w:b w:val="false"/>
          <w:color w:val="000000"/>
          <w:sz w:val="24"/>
        </w:rPr>
        <w:t>(a)</w:t>
      </w:r>
      <w:r>
        <w:rPr>
          <w:rFonts w:ascii="Times New Roman;serif" w:hAnsi="Times New Roman;serif"/>
          <w:b w:val="false"/>
          <w:color w:val="000000"/>
          <w:sz w:val="24"/>
          <w:shd w:fill="FFFFFF" w:val="clear"/>
        </w:rPr>
        <w:t>Subject to the other provisions of this Agreement, the Company shall (i) take all actions required under the MGCL and the Articles of Incorporation and Bylaws to duly call, give notice of, convene and hold a meeting of its stockholders as promptly as reasonably practicable after the Form S-4 becomes effective for the purpose of obtaining the Company Stockholder Approval (the “</w:t>
      </w:r>
      <w:r>
        <w:rPr>
          <w:rFonts w:ascii="Times New Roman;serif" w:hAnsi="Times New Roman;serif"/>
          <w:b w:val="false"/>
          <w:color w:val="000000"/>
          <w:sz w:val="24"/>
          <w:u w:val="single"/>
          <w:shd w:fill="FFFFFF" w:val="clear"/>
        </w:rPr>
        <w:t>Company Stockholders Meeting</w:t>
      </w:r>
      <w:r>
        <w:rPr>
          <w:color w:val="000000"/>
          <w:shd w:fill="FFFFFF" w:val="clear"/>
        </w:rPr>
        <w:t>”</w:t>
      </w:r>
      <w:r>
        <w:rPr>
          <w:rFonts w:ascii="Times New Roman;serif" w:hAnsi="Times New Roman;serif"/>
          <w:b w:val="false"/>
          <w:color w:val="000000"/>
          <w:sz w:val="24"/>
          <w:shd w:fill="FFFFFF" w:val="clear"/>
        </w:rPr>
        <w:t xml:space="preserve">); and (ii) subject to a Company Change of Recommendation pursuant to, and in accordance with,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include in the Proxy Statement/Prospectus the Company Recommendation and use reasonable best efforts to solicit from the Company’s stockholders proxies in favor of the approval of this Agreement and approval of the Transactions.</w:t>
      </w:r>
      <w:r>
        <w:rPr>
          <w:color w:val="000000"/>
        </w:rPr>
        <w:t xml:space="preserve"> </w:t>
      </w:r>
    </w:p>
    <w:p>
      <w:pPr>
        <w:pStyle w:val="TextBody"/>
        <w:bidi w:val="0"/>
        <w:spacing w:lineRule="auto" w:line="240" w:before="0" w:after="240"/>
        <w:ind w:left="0" w:right="0" w:firstLine="720"/>
        <w:jc w:val="both"/>
        <w:rPr/>
      </w:pPr>
      <w:bookmarkStart w:id="319" w:name="i2e82258021d14f268a94a4b3f08187cc"/>
      <w:bookmarkEnd w:id="319"/>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Notwithstanding anything to the contrary in this Agreement, (i) if the Company reasonably determines in good faith that the Company Stockholder Approval is unlikely to be obtained at the Company Stockholders Meeting, including due to an absence of quorum, then prior to the vote contemplated having been taken, the Company shall have the right, after consultation with Parent, to adjourn, delay or postpone the Company Stockholders Meeting (for a period of not more than thirty (30) calendar days for each such adjournment, delay or postponement) for the purpose of soliciting additional votes in favor of obtaining the Company Stockholder Approval; and (ii) if requested by Parent on no more than two occasions, the Company shall adjourn, delay or postpone the Company Stockholders Meeting (for a period of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0705"/>
                <wp:effectExtent l="0" t="0" r="0" b="0"/>
                <wp:wrapNone/>
                <wp:docPr id="90" name="Frame9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not more than thirty (30) calendar days each), if Parent reasonably determines in good faith that the Company Stockholder Approval is unlikely to be obtained at the Company Stockholders Meeting. If requested by Parent, the Company shall promptly provide to Parent all voting tabulation reports relating to the Company Stockholders Meeting that have been prepared by the Company or the Company’s transfer agent, proxy solicitor or other Representatives.</w:t>
      </w:r>
    </w:p>
    <w:p>
      <w:pPr>
        <w:pStyle w:val="TextBody"/>
        <w:bidi w:val="0"/>
        <w:spacing w:lineRule="auto" w:line="240" w:before="0" w:after="240"/>
        <w:ind w:left="0" w:right="0" w:firstLine="720"/>
        <w:jc w:val="both"/>
        <w:rPr/>
      </w:pPr>
      <w:bookmarkStart w:id="320" w:name="i59699bccee4c40ce9b2e9790684df007"/>
      <w:bookmarkEnd w:id="320"/>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 Company Change of Recommendation, but subject to </w:t>
      </w:r>
      <w:r>
        <w:rPr>
          <w:rFonts w:ascii="Times New Roman;serif" w:hAnsi="Times New Roman;serif"/>
          <w:b w:val="false"/>
          <w:color w:val="000000"/>
          <w:sz w:val="24"/>
          <w:u w:val="single"/>
          <w:shd w:fill="FFFFFF" w:val="clear"/>
        </w:rPr>
        <w:t>Section 6.5(d)</w:t>
      </w:r>
      <w:r>
        <w:rPr>
          <w:rFonts w:ascii="Times New Roman;serif" w:hAnsi="Times New Roman;serif"/>
          <w:b w:val="false"/>
          <w:color w:val="000000"/>
          <w:sz w:val="24"/>
          <w:shd w:fill="FFFFFF" w:val="clear"/>
        </w:rPr>
        <w:t>, unless this Agreement has been terminated in accordance with its terms, the Company Stockholders Meeting shall be convened and this Agreement shall be submitted to the Company’s stockholders at the Company Stockholders Meeting.</w:t>
      </w:r>
    </w:p>
    <w:p>
      <w:pPr>
        <w:pStyle w:val="TextBody"/>
        <w:bidi w:val="0"/>
        <w:spacing w:lineRule="auto" w:line="240" w:before="0" w:after="240"/>
        <w:ind w:left="0" w:right="0" w:firstLine="720"/>
        <w:jc w:val="both"/>
        <w:rPr/>
      </w:pPr>
      <w:bookmarkStart w:id="321" w:name="i8d828cd2c7264a2c820d184cedef9e82"/>
      <w:bookmarkEnd w:id="321"/>
      <w:r>
        <w:rPr>
          <w:rFonts w:ascii="Times New Roman;serif" w:hAnsi="Times New Roman;serif"/>
          <w:b w:val="false"/>
          <w:color w:val="000000"/>
          <w:sz w:val="24"/>
        </w:rPr>
        <w:t>(d)</w:t>
      </w:r>
      <w:r>
        <w:rPr>
          <w:rFonts w:ascii="Times New Roman;serif" w:hAnsi="Times New Roman;serif"/>
          <w:b w:val="false"/>
          <w:color w:val="000000"/>
          <w:sz w:val="24"/>
          <w:shd w:fill="FFFFFF" w:val="clear"/>
        </w:rPr>
        <w:t>Subject to the other provisions of this Agreement, Parent shall (i) take all actions required under the MGCL and its Organizational Documents to duly call, give notice of, convene and hold a meeting of its stockholders as promptly as reasonably practicable after the Form S-4 becomes effective for the purpose of obtaining the Parent Stockholder Approval (the “</w:t>
      </w:r>
      <w:r>
        <w:rPr>
          <w:rFonts w:ascii="Times New Roman;serif" w:hAnsi="Times New Roman;serif"/>
          <w:b w:val="false"/>
          <w:color w:val="000000"/>
          <w:sz w:val="24"/>
          <w:u w:val="single"/>
          <w:shd w:fill="FFFFFF" w:val="clear"/>
        </w:rPr>
        <w:t>Parent Stockholders Meeting</w:t>
      </w:r>
      <w:r>
        <w:rPr>
          <w:color w:val="000000"/>
          <w:shd w:fill="FFFFFF" w:val="clear"/>
        </w:rPr>
        <w:t>”</w:t>
      </w:r>
      <w:r>
        <w:rPr>
          <w:rFonts w:ascii="Times New Roman;serif" w:hAnsi="Times New Roman;serif"/>
          <w:b w:val="false"/>
          <w:color w:val="000000"/>
          <w:sz w:val="24"/>
          <w:shd w:fill="FFFFFF" w:val="clear"/>
        </w:rPr>
        <w:t xml:space="preserve">); and (ii) subject to a Parent Change of Recommendation pursuant to, and in accordance with,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include in the Proxy Statement/Prospectus the Parent Recommendation and use reasonable best efforts to solicit from Parent’s stockholders proxies in favor of the approval of the Parent Common Stock Issuance.</w:t>
      </w:r>
      <w:r>
        <w:rPr>
          <w:color w:val="000000"/>
        </w:rPr>
        <w:t xml:space="preserve"> </w:t>
      </w:r>
    </w:p>
    <w:p>
      <w:pPr>
        <w:pStyle w:val="TextBody"/>
        <w:bidi w:val="0"/>
        <w:spacing w:lineRule="auto" w:line="240" w:before="0" w:after="240"/>
        <w:ind w:left="0" w:right="0" w:firstLine="720"/>
        <w:jc w:val="both"/>
        <w:rPr/>
      </w:pPr>
      <w:bookmarkStart w:id="322" w:name="i215c2937de8b49a781e55c6c0e93c1b9"/>
      <w:bookmarkEnd w:id="322"/>
      <w:r>
        <w:rPr>
          <w:rFonts w:ascii="Times New Roman;serif" w:hAnsi="Times New Roman;serif"/>
          <w:b w:val="false"/>
          <w:color w:val="000000"/>
          <w:sz w:val="24"/>
        </w:rPr>
        <w:t>(e)</w:t>
      </w:r>
      <w:r>
        <w:rPr>
          <w:rFonts w:ascii="Times New Roman;serif" w:hAnsi="Times New Roman;serif"/>
          <w:b w:val="false"/>
          <w:color w:val="000000"/>
          <w:sz w:val="24"/>
          <w:shd w:fill="FFFFFF" w:val="clear"/>
        </w:rPr>
        <w:t>Notwithstanding anything to the contrary in this Agreement, (i) if Parent reasonably determines in good faith that the Parent Stockholder Approval is unlikely to be obtained at the Parent Stockholders Meeting, including due to an absence of quorum, then prior to the vote contemplated having been taken, Parent shall have the right, after consultation with the Company, to adjourn, delay or postpone the Parent Stockholders Meeting (for a period of not more than thirty (30) calendar days for each such adjournment, delay or postponement) for the purpose of soliciting additional votes in favor of obtaining the Parent Stockholder Approval; and (ii) if requested by the Company on no more than two occasions, Parent shall adjourn, delay or postpone the Parent Stockholders Meeting (for a period of not more than thirty (30) calendar days each), if the Company reasonably determines in good faith that the Parent Stockholder Approval is unlikely to be obtained at the Parent Stockholders Meeting. If requested by the Company, Parent shall promptly provide to the Company all voting tabulation reports relating to the Parent Stockholders Meeting that have been prepared by the Parent or Parent’s transfer agent, proxy solicitor or other Representatives.</w:t>
      </w:r>
    </w:p>
    <w:p>
      <w:pPr>
        <w:pStyle w:val="TextBody"/>
        <w:bidi w:val="0"/>
        <w:spacing w:lineRule="auto" w:line="240" w:before="0" w:after="240"/>
        <w:ind w:left="0" w:right="0" w:firstLine="720"/>
        <w:jc w:val="both"/>
        <w:rPr/>
      </w:pPr>
      <w:bookmarkStart w:id="323" w:name="ia115b86fd3714dffaffe25353281a550"/>
      <w:bookmarkEnd w:id="323"/>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 Parent Change of Recommendation, but subject to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unless this Agreement has been terminated in accordance with its terms, the Parent Stockholders Meeting shall be convened and this Agreement shall be submitted to the Parent’s stockholders at the Parent Stockholders Meeting.</w:t>
      </w:r>
    </w:p>
    <w:p>
      <w:pPr>
        <w:pStyle w:val="TextBody"/>
        <w:bidi w:val="0"/>
        <w:spacing w:lineRule="auto" w:line="240" w:before="0" w:after="240"/>
        <w:ind w:left="0" w:right="0" w:firstLine="720"/>
        <w:jc w:val="both"/>
        <w:rPr/>
      </w:pPr>
      <w:bookmarkStart w:id="324" w:name="i544d5a8d00ca458a887ffaa12348325e"/>
      <w:bookmarkEnd w:id="324"/>
      <w:r>
        <w:rPr>
          <w:rFonts w:ascii="Times New Roman;serif" w:hAnsi="Times New Roman;serif"/>
          <w:b w:val="false"/>
          <w:color w:val="000000"/>
          <w:sz w:val="24"/>
        </w:rPr>
        <w:t>(g)</w:t>
      </w:r>
      <w:r>
        <w:rPr>
          <w:rFonts w:ascii="Times New Roman;serif" w:hAnsi="Times New Roman;serif"/>
          <w:b w:val="false"/>
          <w:color w:val="000000"/>
          <w:sz w:val="24"/>
          <w:shd w:fill="FFFFFF" w:val="clear"/>
        </w:rPr>
        <w:t>The parties shall use their reasonable best efforts to hold the Company Stockholders Meeting and the Parent Stockholders Meeting on the same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25" w:name="i4228864236a24740978b69f658ee338c"/>
      <w:bookmarkEnd w:id="325"/>
      <w:r>
        <w:rPr>
          <w:rFonts w:ascii="Times New Roman;serif" w:hAnsi="Times New Roman;serif"/>
          <w:b w:val="false"/>
          <w:color w:val="000000"/>
          <w:sz w:val="24"/>
        </w:rPr>
        <w:t>6.9.</w:t>
      </w:r>
      <w:r>
        <w:rPr>
          <w:rFonts w:ascii="Times New Roman;serif" w:hAnsi="Times New Roman;serif"/>
          <w:b w:val="false"/>
          <w:color w:val="000000"/>
          <w:sz w:val="24"/>
          <w:u w:val="single"/>
          <w:shd w:fill="FFFFFF" w:val="clear"/>
        </w:rPr>
        <w:t>Efforts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26" w:name="ib2bdc03212cb4696814e848ab65f783c"/>
      <w:bookmarkEnd w:id="326"/>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Subject to the terms and conditions of this Agreement, the parties shall, and shall cause their respective Affiliates to, use their reasonable best efforts to take, or cause to be taken, all actions, and to do, or cause to be done, all things necessary, proper or advisable under any applicable Laws to consummate and make effective in the most expeditious manner possible the Transactions and to cause the conditions to the Transactions set forth in </w:t>
      </w:r>
      <w:r>
        <w:rPr>
          <w:rFonts w:ascii="Times New Roman;serif" w:hAnsi="Times New Roman;serif"/>
          <w:b w:val="false"/>
          <w:color w:val="000000"/>
          <w:sz w:val="24"/>
          <w:u w:val="single"/>
          <w:shd w:fill="FFFFFF" w:val="clear"/>
        </w:rPr>
        <w:t>Article VII</w:t>
      </w:r>
      <w:r>
        <w:rPr>
          <w:color w:val="000000"/>
          <w:shd w:fill="FFFFFF" w:val="clear"/>
        </w:rPr>
        <w:t xml:space="preserve"> </w:t>
      </w:r>
      <w:r>
        <w:rPr>
          <w:rFonts w:ascii="Times New Roman;serif" w:hAnsi="Times New Roman;serif"/>
          <w:b w:val="false"/>
          <w:color w:val="000000"/>
          <w:sz w:val="24"/>
          <w:shd w:fill="FFFFFF" w:val="clear"/>
        </w:rPr>
        <w:t xml:space="preserve">to be satisfied as promptly as practicable, including using reasonable best efforts to accomplish the following as promptly as reasonably practicable: (i) the preparation and filing of all forms, registrations and notifications to or with any Governmental Authority required to be filed to consummate the Transactions; (ii) satisfaction of the conditions to consummating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0705"/>
                <wp:effectExtent l="0" t="0" r="0" b="0"/>
                <wp:wrapNone/>
                <wp:docPr id="91" name="Frame9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the Transactions; and (iii) taking all actions, subject to the limitations of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necessary, proper or advisable to obtain (and to cooperate with each other in obtaining) any consent, authorization, expiration or termination of a waiting period, permit, Order or approval of, waiver or any exemption by, any Governmental Authority required to be obtained or made by Parent or Merger Sub or any of their respective Subsidiaries in connection with the Transactions or the taking of any action contemplated by this Agreement; provided, that, notwithstanding anything to the contrary in this Agreement,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the Company and its Subsidiaries shall not take any of the actions referred to in the proceeding proviso (or agree to take such actions) without Parent’s prior written consent.</w:t>
      </w:r>
    </w:p>
    <w:p>
      <w:pPr>
        <w:pStyle w:val="TextBody"/>
        <w:bidi w:val="0"/>
        <w:spacing w:lineRule="auto" w:line="240" w:before="0" w:after="240"/>
        <w:ind w:left="0" w:right="0" w:firstLine="720"/>
        <w:jc w:val="both"/>
        <w:rPr/>
      </w:pPr>
      <w:bookmarkStart w:id="327" w:name="i9562db7cf048487aba1be022e83c023a"/>
      <w:bookmarkEnd w:id="327"/>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To the extent reasonably practicable, the parties and their Representatives shall have the right to review in advance and each of the parties will consult the others on, all the information relating to the other and each of their Affiliates that appears in any filing, consent, authorization, approval, notice made with, or written materials submitted to, any Governmental Authority in connection with the Mergers and the other Transactions. Parent and the Company shall each keep the other apprised of the status of matters relating to the completion of the Transactions and work cooperatively in connection with obtaining all required consents, authorizations, Orders or approvals of, or any exemptions by, any Governmental Authority undertaken pursuant to the provisions of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In that regard, each party hereto shall promptly consult with the other parties hereto with respect to and provide any necessary information and assistance as the other parties hereto may reasonably request with respect to (and, in the case of correspondence, provide the other parties hereto (or their counsel) with copies of) all notices, submissions or filings made by or on behalf of such party hereto or any of its Affiliates with any Governmental Authority or any other information supplied by or on behalf of such party hereto or any of its Affiliates to, or correspondence with, any Person in connection with this Agreement and the Transactions. Each party hereto shall promptly inform the other parties hereto, and if in writing, furnish the other parties hereto with copies of (or, in the case of oral communications, advise the other parties hereto orally of) any communication from or to any Governmental Authority regarding the Transactions, and permit the other parties hereto to review and discuss in advance, and consider in good faith the views of the other parties hereto in connection with, any proposed communication or submission with any such Governmental Authority. No party hereto or any of its Affiliates shall participate in any meeting or teleconference with any Governmental Authority in connection with this Agreement and the Transactions, including any consents, authorizations, approvals, notices with respect to Business Permits, unless it consults with the other parties hereto in advance and, to the extent not prohibited by such Governmental Authority, gives the other parties hereto the opportunity to attend and participate thereat. Notwithstanding the foregoing, Parent and the Company may, as each deems advisable and necessary, reasonably designate any competitively sensitive material provided to the other under this </w:t>
      </w:r>
      <w:r>
        <w:rPr>
          <w:rFonts w:ascii="Times New Roman;serif" w:hAnsi="Times New Roman;serif"/>
          <w:b w:val="false"/>
          <w:color w:val="000000"/>
          <w:sz w:val="24"/>
          <w:u w:val="single"/>
          <w:shd w:fill="FFFFFF" w:val="clear"/>
        </w:rPr>
        <w:t>Section 6.9(b)</w:t>
      </w:r>
      <w:r>
        <w:rPr>
          <w:color w:val="000000"/>
          <w:shd w:fill="FFFFFF" w:val="clear"/>
        </w:rPr>
        <w:t xml:space="preserve"> </w:t>
      </w:r>
      <w:r>
        <w:rPr>
          <w:rFonts w:ascii="Times New Roman;serif" w:hAnsi="Times New Roman;serif"/>
          <w:b w:val="false"/>
          <w:color w:val="000000"/>
          <w:sz w:val="24"/>
          <w:shd w:fill="FFFFFF" w:val="clear"/>
        </w:rPr>
        <w:t xml:space="preserve">as “Outside Counsel Only Material.” Such materials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(Parent or the Company, as the case may be) or its legal counsel. Notwithstanding anything to the contrary contained in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materials provided pursuant to this </w:t>
      </w:r>
      <w:r>
        <w:rPr>
          <w:rFonts w:ascii="Times New Roman;serif" w:hAnsi="Times New Roman;serif"/>
          <w:b w:val="false"/>
          <w:color w:val="000000"/>
          <w:sz w:val="24"/>
          <w:u w:val="single"/>
          <w:shd w:fill="FFFFFF" w:val="clear"/>
        </w:rPr>
        <w:t>Section 6.9</w:t>
      </w:r>
      <w:r>
        <w:rPr>
          <w:color w:val="000000"/>
          <w:shd w:fill="FFFFFF" w:val="clear"/>
        </w:rPr>
        <w:t xml:space="preserve"> </w:t>
      </w:r>
      <w:r>
        <w:rPr>
          <w:rFonts w:ascii="Times New Roman;serif" w:hAnsi="Times New Roman;serif"/>
          <w:b w:val="false"/>
          <w:color w:val="000000"/>
          <w:sz w:val="24"/>
          <w:shd w:fill="FFFFFF" w:val="clear"/>
        </w:rPr>
        <w:t xml:space="preserve">may be redacted (i) to remove references concerning the valuation or future plans of the Company and the Transactions; (ii) as necessary to comply with existing contractual obligations; and (iii) as necessary to address reasonable privilege concerns;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a party redacting materials shall use its reasonable best efforts to make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60705"/>
                <wp:effectExtent l="0" t="0" r="0" b="0"/>
                <wp:wrapNone/>
                <wp:docPr id="92" name="Frame9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appropriate substitute arrangements to permit reasonable disclosure of such information not in violation of any applicable Law, existing contractual obligation, or privilege.</w:t>
      </w:r>
    </w:p>
    <w:p>
      <w:pPr>
        <w:pStyle w:val="TextBody"/>
        <w:bidi w:val="0"/>
        <w:spacing w:lineRule="auto" w:line="240" w:before="0" w:after="240"/>
        <w:ind w:left="0" w:right="0" w:firstLine="720"/>
        <w:jc w:val="both"/>
        <w:rPr/>
      </w:pPr>
      <w:bookmarkStart w:id="328" w:name="i7814dc72efad4f5d83b0f9125642d82f"/>
      <w:bookmarkEnd w:id="328"/>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Without limiting the generality of </w:t>
      </w:r>
      <w:r>
        <w:rPr>
          <w:rFonts w:ascii="Times New Roman;serif" w:hAnsi="Times New Roman;serif"/>
          <w:b w:val="false"/>
          <w:color w:val="000000"/>
          <w:sz w:val="24"/>
          <w:u w:val="single"/>
          <w:shd w:fill="FFFFFF" w:val="clear"/>
        </w:rPr>
        <w:t>Section 6.9(a)</w:t>
      </w:r>
      <w:r>
        <w:rPr>
          <w:rFonts w:ascii="Times New Roman;serif" w:hAnsi="Times New Roman;serif"/>
          <w:b w:val="false"/>
          <w:color w:val="000000"/>
          <w:sz w:val="24"/>
          <w:shd w:fill="FFFFFF" w:val="clear"/>
        </w:rPr>
        <w:t>, the Company and Parent shall, and shall cause their applicable Subsidiaries to, make or file, as promptly as practicable, with the appropriate Governmental Authority all filings, forms, applications, registrations and notifications, including the Required Regulatory Notifications, 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 The Company and Parent shall, and shall cause their respective Affiliates to, as promptly as practicable, respond to inquiries from Governmental Authorities, or provide any supplemental information that may be requested by Governmental Authorities, in connection with filings, forms, applications, registrations and notifications made with such Governmental Authorities. Neither the Company nor Parent will withdraw any such filings, forms, applications, registrations or notifications, nor extend the timing for any review period by any Governmental Authority in connection with obtaining any approval, consent, clearance, waiver or authorization from any Governmental Authority, including with respect to the Business Permits (including, for the avoidance of doubt, the Required Regulatory Approvals), without the prior written consent of the other party hereto.</w:t>
      </w:r>
    </w:p>
    <w:p>
      <w:pPr>
        <w:pStyle w:val="TextBody"/>
        <w:bidi w:val="0"/>
        <w:spacing w:lineRule="auto" w:line="240" w:before="0" w:after="240"/>
        <w:ind w:left="0" w:right="0" w:firstLine="720"/>
        <w:jc w:val="both"/>
        <w:rPr/>
      </w:pPr>
      <w:bookmarkStart w:id="329" w:name="i4bdd72e63af241b3983f10a06b4130d8"/>
      <w:bookmarkEnd w:id="329"/>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Without limiting the generality of </w:t>
      </w:r>
      <w:r>
        <w:rPr>
          <w:rFonts w:ascii="Times New Roman;serif" w:hAnsi="Times New Roman;serif"/>
          <w:b w:val="false"/>
          <w:color w:val="000000"/>
          <w:sz w:val="24"/>
          <w:u w:val="single"/>
          <w:shd w:fill="FFFFFF" w:val="clear"/>
        </w:rPr>
        <w:t>Section 6.9(a)</w:t>
      </w:r>
      <w:r>
        <w:rPr>
          <w:rFonts w:ascii="Times New Roman;serif" w:hAnsi="Times New Roman;serif"/>
          <w:b w:val="false"/>
          <w:color w:val="000000"/>
          <w:sz w:val="24"/>
          <w:shd w:fill="FFFFFF" w:val="clear"/>
        </w:rPr>
        <w:t>, if requested in writing by Parent, the Company shall, and shall causes its Affiliates to, use its reasonable best efforts to assist Parent in obtaining, effective no earlier than the Closing, any amendment, agreement, consent or waiver under the documentation relating to the Company Facilities (collectively, the “</w:t>
      </w:r>
      <w:r>
        <w:rPr>
          <w:rFonts w:ascii="Times New Roman;serif" w:hAnsi="Times New Roman;serif"/>
          <w:b w:val="false"/>
          <w:color w:val="000000"/>
          <w:sz w:val="24"/>
          <w:u w:val="single"/>
          <w:shd w:fill="FFFFFF" w:val="clear"/>
        </w:rPr>
        <w:t>Facility Documentation</w:t>
      </w:r>
      <w:r>
        <w:rPr>
          <w:color w:val="000000"/>
          <w:shd w:fill="FFFFFF" w:val="clear"/>
        </w:rPr>
        <w:t>”</w:t>
      </w:r>
      <w:r>
        <w:rPr>
          <w:rFonts w:ascii="Times New Roman;serif" w:hAnsi="Times New Roman;serif"/>
          <w:b w:val="false"/>
          <w:color w:val="000000"/>
          <w:sz w:val="24"/>
          <w:shd w:fill="FFFFFF" w:val="clear"/>
        </w:rPr>
        <w:t>), in connection with the consummation of the Transactions, including with respect to a change in control of the Company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30" w:name="i4cee17e758374207b68d72c7c99c1039"/>
      <w:bookmarkEnd w:id="330"/>
      <w:r>
        <w:rPr>
          <w:rFonts w:ascii="Times New Roman;serif" w:hAnsi="Times New Roman;serif"/>
          <w:b w:val="false"/>
          <w:color w:val="000000"/>
          <w:sz w:val="24"/>
        </w:rPr>
        <w:t>6.10.</w:t>
      </w:r>
      <w:r>
        <w:rPr>
          <w:rFonts w:ascii="Times New Roman;serif" w:hAnsi="Times New Roman;serif"/>
          <w:b w:val="false"/>
          <w:color w:val="000000"/>
          <w:sz w:val="24"/>
          <w:u w:val="single"/>
          <w:shd w:fill="FFFFFF" w:val="clear"/>
        </w:rPr>
        <w:t>Public Announcements</w:t>
      </w:r>
      <w:r>
        <w:rPr>
          <w:rFonts w:ascii="Times New Roman;serif" w:hAnsi="Times New Roman;serif"/>
          <w:b w:val="false"/>
          <w:color w:val="000000"/>
          <w:sz w:val="24"/>
        </w:rPr>
        <w:t xml:space="preserve">. The Company, Parent and Parent Manager agree that the initial press release to be issued with respect to the execution and delivery of this Agreement shall be joint and in a form agreed to by the parties hereto and the parties hereto shall consult with each other before issuing any subsequent press release or making any other public announcement with respect to this Agreement and the Transactions and shall not issue any such press release or make any such public announcement without the prior consent of the other party hereto (which shall not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a party hereto may, without the prior consent of any other party hereto (but after prior consultation, to the extent practicable in the circumstances) issue such press release or make such public announcement to the extent required by applicable Law or the applicable rules of any stock exchange or by any regulatory authority; (b) each of the Company, Parent and Parent Manager may make press releases or public communications concerning this Agreement and the Transactions that consist solely of information previously disclosed in previous press releases or announcements made by Parent, Parent Manager and/or the Company in compliance with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and (c) each of the Company, Parent and Parent Manager may make any public statements in response to questions by the press, analysts or investors or those participating in investor calls or industry conferences, so long as such statements consist solely of information previously disclosed in previous press releases, public disclosures or public statements made by Parent, Parent Manager and/or the Company in compliance with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subject to compliance with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6.6</w:t>
      </w:r>
      <w:r>
        <w:rPr>
          <w:rFonts w:ascii="Times New Roman;serif" w:hAnsi="Times New Roman;serif"/>
          <w:b w:val="false"/>
          <w:color w:val="000000"/>
          <w:sz w:val="24"/>
        </w:rPr>
        <w:t>, respectively, the Company and Parent may issue press releases or make public announcements with respect to any Company Takeover Proposal or Parent Takeover Proposal, respectively, from and after the receipt thereof without consulting with, or obtaining the prior consent of,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93" name="Frame9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31" w:name="i22a92b23de7e48dc8d4dd1f28045177a"/>
      <w:bookmarkEnd w:id="331"/>
      <w:r>
        <w:rPr>
          <w:rFonts w:ascii="Times New Roman;serif" w:hAnsi="Times New Roman;serif"/>
          <w:b w:val="false"/>
          <w:color w:val="000000"/>
          <w:sz w:val="24"/>
        </w:rPr>
        <w:t>6.11.</w:t>
      </w:r>
      <w:r>
        <w:rPr>
          <w:rFonts w:ascii="Times New Roman;serif" w:hAnsi="Times New Roman;serif"/>
          <w:b w:val="false"/>
          <w:color w:val="000000"/>
          <w:sz w:val="24"/>
          <w:u w:val="single"/>
          <w:shd w:fill="FFFFFF" w:val="clear"/>
        </w:rPr>
        <w:t>Indemnification and Insurance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32" w:name="i21f571e17cf44498a549938c457799a7"/>
      <w:bookmarkEnd w:id="332"/>
      <w:r>
        <w:rPr>
          <w:rFonts w:ascii="Times New Roman;serif" w:hAnsi="Times New Roman;serif"/>
          <w:b w:val="false"/>
          <w:color w:val="000000"/>
          <w:sz w:val="24"/>
        </w:rPr>
        <w:t>(a)</w:t>
      </w:r>
      <w:r>
        <w:rPr>
          <w:rFonts w:ascii="Times New Roman;serif" w:hAnsi="Times New Roman;serif"/>
          <w:b w:val="false"/>
          <w:color w:val="000000"/>
          <w:sz w:val="24"/>
          <w:shd w:fill="FFFFFF" w:val="clear"/>
        </w:rPr>
        <w:t>From and after the Company Merger Effective Time, each of the Surviving Entity and Parent shall, to the same extent permitted by the Organizational Documents of the Company and its Subsidiaries in effect on the date hereof: (i) indemnify and hold harmless each Person who is at the date hereof, was previously, or during the period from the date hereof through the Company Merger Effective Time will be, serving as a director, officer, employee or agent of the Company or any of its Subsidiaries (including the Company Operating Partnership)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the Company or any of its Subsidiaries (including the Company Operating Partnership) (collectively, the “</w:t>
      </w:r>
      <w:r>
        <w:rPr>
          <w:rFonts w:ascii="Times New Roman;serif" w:hAnsi="Times New Roman;serif"/>
          <w:b w:val="false"/>
          <w:color w:val="000000"/>
          <w:sz w:val="24"/>
          <w:u w:val="single"/>
          <w:shd w:fill="FFFFFF" w:val="clear"/>
        </w:rPr>
        <w:t>Covered Persons</w:t>
      </w:r>
      <w:r>
        <w:rPr>
          <w:color w:val="000000"/>
          <w:shd w:fill="FFFFFF" w:val="clear"/>
        </w:rPr>
        <w:t>”</w:t>
      </w:r>
      <w:r>
        <w:rPr>
          <w:rFonts w:ascii="Times New Roman;serif" w:hAnsi="Times New Roman;serif"/>
          <w:b w:val="false"/>
          <w:color w:val="000000"/>
          <w:sz w:val="24"/>
          <w:shd w:fill="FFFFFF" w:val="clear"/>
        </w:rPr>
        <w:t xml:space="preserve">)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(without prejudice to </w:t>
      </w:r>
      <w:r>
        <w:rPr>
          <w:rFonts w:ascii="Times New Roman;serif" w:hAnsi="Times New Roman;serif"/>
          <w:b w:val="false"/>
          <w:color w:val="000000"/>
          <w:sz w:val="24"/>
          <w:u w:val="single"/>
          <w:shd w:fill="FFFFFF" w:val="clear"/>
        </w:rPr>
        <w:t>Section 6.14</w:t>
      </w:r>
      <w:r>
        <w:rPr>
          <w:rFonts w:ascii="Times New Roman;serif" w:hAnsi="Times New Roman;serif"/>
          <w:b w:val="false"/>
          <w:color w:val="000000"/>
          <w:sz w:val="24"/>
          <w:shd w:fill="FFFFFF" w:val="clear"/>
        </w:rPr>
        <w:t xml:space="preserve">); and (ii) promptly advance to such Covered Person any Claim Expenses incurred in defending, serving as a witness with 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such Covered Person provides an undertaking to repay such advances if such Covered Person is ultimately determined not to be entitled to indemnification hereunder under applicable Law. In the event of any such D&amp;O Claim, Parent, the Surviving Entity and the Covered Person shall reasonably cooperate with the Covered Person in the defense of such D&amp;O Claim. All rights to indemnification and advancement conferred hereunder shall continue as to a Person who has ceased to be a director, officer or employee of the Company or any of its Subsidiaries (including the Company Operating Partnership) after the date hereof and shall inure to the benefit of such Person’s heirs, successors, executors and personal and legal representatives.</w:t>
      </w:r>
      <w:r>
        <w:rPr>
          <w:color w:val="000000"/>
        </w:rPr>
        <w:t xml:space="preserve"> </w:t>
      </w:r>
    </w:p>
    <w:p>
      <w:pPr>
        <w:pStyle w:val="TextBody"/>
        <w:bidi w:val="0"/>
        <w:spacing w:lineRule="auto" w:line="240" w:before="0" w:after="240"/>
        <w:ind w:left="0" w:right="0" w:firstLine="720"/>
        <w:jc w:val="both"/>
        <w:rPr/>
      </w:pPr>
      <w:bookmarkStart w:id="333" w:name="i2815ef962e554f9b96ffa9d73631aa5b"/>
      <w:bookmarkEnd w:id="333"/>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the Company. Notwithstanding anything herein to the contrary, if any D&amp;O Claim (whether arising before, at or after the Company Merger Effective Time) is made against any Covered Persons with respect to matters subject to indemnification hereunder on or prior to the sixth anniversary of the Company Merger Effective Time, the provisions of this </w:t>
      </w:r>
      <w:r>
        <w:rPr>
          <w:rFonts w:ascii="Times New Roman;serif" w:hAnsi="Times New Roman;serif"/>
          <w:b w:val="false"/>
          <w:color w:val="000000"/>
          <w:sz w:val="24"/>
          <w:u w:val="single"/>
          <w:shd w:fill="FFFFFF" w:val="clear"/>
        </w:rPr>
        <w:t>Section 6.11(b)</w:t>
      </w:r>
      <w:r>
        <w:rPr>
          <w:color w:val="000000"/>
          <w:shd w:fill="FFFFFF" w:val="clear"/>
        </w:rPr>
        <w:t xml:space="preserve"> </w:t>
      </w:r>
      <w:r>
        <w:rPr>
          <w:rFonts w:ascii="Times New Roman;serif" w:hAnsi="Times New Roman;serif"/>
          <w:b w:val="false"/>
          <w:color w:val="000000"/>
          <w:sz w:val="24"/>
          <w:shd w:fill="FFFFFF" w:val="clear"/>
        </w:rPr>
        <w:t xml:space="preserve">shall continue in effect until the final disposition of such D&amp;O Claim. Following the Company Merger Effective Time, the indemnification Contracts in existence on the date of this Agreement set forth on </w:t>
      </w:r>
      <w:r>
        <w:rPr>
          <w:rFonts w:ascii="Times New Roman;serif" w:hAnsi="Times New Roman;serif"/>
          <w:b w:val="false"/>
          <w:color w:val="000000"/>
          <w:sz w:val="24"/>
          <w:u w:val="single"/>
          <w:shd w:fill="FFFFFF" w:val="clear"/>
        </w:rPr>
        <w:t>Section 6.11(b)</w:t>
      </w:r>
      <w:r>
        <w:rPr>
          <w:color w:val="000000"/>
          <w:shd w:fill="FFFFFF" w:val="clear"/>
        </w:rPr>
        <w:t xml:space="preserve"> </w:t>
      </w:r>
      <w:r>
        <w:rPr>
          <w:rFonts w:ascii="Times New Roman;serif" w:hAnsi="Times New Roman;serif"/>
          <w:b w:val="false"/>
          <w:color w:val="000000"/>
          <w:sz w:val="24"/>
          <w:shd w:fill="FFFFFF" w:val="clear"/>
        </w:rPr>
        <w:t>of the Company Disclosure Letter with any of the Covered Persons shall be assumed by the Surviving Entity, without any further action, and shall continue in full force and effect in accordance with their terms.</w:t>
      </w:r>
      <w:r>
        <w:rPr>
          <w:color w:val="000000"/>
        </w:rPr>
        <w:t xml:space="preserve"> </w:t>
      </w:r>
    </w:p>
    <w:p>
      <w:pPr>
        <w:pStyle w:val="TextBody"/>
        <w:bidi w:val="0"/>
        <w:spacing w:lineRule="auto" w:line="240" w:before="0" w:after="240"/>
        <w:ind w:left="0" w:right="0" w:firstLine="720"/>
        <w:jc w:val="both"/>
        <w:rPr/>
      </w:pPr>
      <w:bookmarkStart w:id="334" w:name="i0df152f9c9f846d593193a31e62f9159"/>
      <w:bookmarkEnd w:id="334"/>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will cause to be put in place, and Parent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the Company’s and its Subsidiaries’ existing directors’ and officers’ insurance policy or policies with a claims period of six years from the Company Merger Effective Time for D&amp;O Claims arising from facts, acts, events or omissions that occurred on or prior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94"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Company Merger Effective Time;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the aggregate premium for such “tail” insurance policy shall not exceed an amount equal to 300% of the annual premium paid by the Company for such insurance as of the date of this Agreement; and provided, further, that if the premium of such insurance coverage exceeds such amount, Parent shall cause to be put in place a policy with the greatest coverage available, with respect to the facts, acts, events or omissions occurring prior to the Company Merger Effective Time, for a cost not exceeding such amount. Parent and the Surviving Entity shall cause any such policy (whether obtained by Parent, the Company or the Surviving Entity) to be maintained in full force and effect, for its full term, and Parent shall cause the Surviving Entity to honor all its obligations thereunder.</w:t>
      </w:r>
      <w:r>
        <w:rPr>
          <w:color w:val="000000"/>
        </w:rPr>
        <w:t xml:space="preserve"> </w:t>
      </w:r>
    </w:p>
    <w:p>
      <w:pPr>
        <w:pStyle w:val="TextBody"/>
        <w:bidi w:val="0"/>
        <w:spacing w:lineRule="auto" w:line="240" w:before="0" w:after="240"/>
        <w:ind w:left="0" w:right="0" w:firstLine="720"/>
        <w:jc w:val="both"/>
        <w:rPr/>
      </w:pPr>
      <w:bookmarkStart w:id="335" w:name="i7cb514d1a3c24a1d97655cde18d478c5"/>
      <w:bookmarkEnd w:id="335"/>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In the event that Parent or the Surviving Entity (i) consolidates with or merges into any other Person and shall not be the continuing or surviving corporation or entity of such consolidation or merger or (ii) sells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336" w:name="ia8576ec09b5244e381ca62625dea122e"/>
      <w:bookmarkEnd w:id="336"/>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obligations under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 xml:space="preserve">shall not be terminated or modified in any manner that is adverse to any Covered Persons (and their respective successors and assigns), it being expressly agreed that each Covered Person (including their respective successors and assigns) shall be a third-party beneficiary of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In the event of any breach by the Surviving Entity or Parent of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the Surviving Entity shall pay all reasonable expenses, including attorneys’ fees, that may be incurred by Covered Persons in successfully enforcing the indemnity and other obligations provided in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as such fees are incurred, upon the written request of such Covered Person.</w:t>
      </w:r>
    </w:p>
    <w:p>
      <w:pPr>
        <w:pStyle w:val="TextBody"/>
        <w:bidi w:val="0"/>
        <w:spacing w:lineRule="auto" w:line="240" w:before="0" w:after="240"/>
        <w:ind w:left="0" w:right="0" w:firstLine="720"/>
        <w:jc w:val="both"/>
        <w:rPr/>
      </w:pPr>
      <w:bookmarkStart w:id="337" w:name="i9f5e0536631840d7b875c5012e550d5d"/>
      <w:bookmarkEnd w:id="337"/>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The rights of the Covered Persons under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are in addition to any rights such Covered Persons may have under the Articles of Incorporation and the Bylaws, or under any applicable Contracts or Laws and nothing in this Agreement is intended to, shall be construed to or shall release, waive or impair any rights to directors’ and officers’ insurance claims under any policy that is or has been in existence with respect to the Company or any of its Subsidiaries (including the Company Operating Partnership) for any of their respective directors, officers or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38" w:name="iff4ca6f371274e9088d5dfef89c1b200"/>
      <w:bookmarkEnd w:id="338"/>
      <w:r>
        <w:rPr>
          <w:rFonts w:ascii="Times New Roman;serif" w:hAnsi="Times New Roman;serif"/>
          <w:b w:val="false"/>
          <w:color w:val="000000"/>
          <w:sz w:val="24"/>
        </w:rPr>
        <w:t>6.12.</w:t>
      </w:r>
      <w:r>
        <w:rPr>
          <w:rFonts w:ascii="Times New Roman;serif" w:hAnsi="Times New Roman;serif"/>
          <w:b w:val="false"/>
          <w:color w:val="000000"/>
          <w:sz w:val="24"/>
          <w:u w:val="single"/>
          <w:shd w:fill="FFFFFF" w:val="clear"/>
        </w:rPr>
        <w:t>Exchange Delisting</w:t>
      </w:r>
      <w:r>
        <w:rPr>
          <w:rFonts w:ascii="Times New Roman;serif" w:hAnsi="Times New Roman;serif"/>
          <w:b w:val="false"/>
          <w:color w:val="000000"/>
          <w:sz w:val="24"/>
          <w:shd w:fill="FFFFFF" w:val="clear"/>
        </w:rPr>
        <w:t>. Prior to the Closing Date, the Company shall cooperate with Parent and use commercially reasonable efforts to take, or cause to be taken, all actions, and do or cause to be done all things, reasonably necessary, proper or advisable on its part under applicable Laws and rules and policies of the NYSE to enable the delisting by the Surviving Entity of the Company Common Stock from the NYSE and the deregistration of the Company Common Stock and Company Preferred Stock under the Exchange Act as promptly as practicable after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39" w:name="ibc3d066e5f214e67842832adcef33f77"/>
      <w:bookmarkEnd w:id="339"/>
      <w:r>
        <w:rPr>
          <w:rFonts w:ascii="Times New Roman;serif" w:hAnsi="Times New Roman;serif"/>
          <w:b w:val="false"/>
          <w:color w:val="000000"/>
          <w:sz w:val="24"/>
        </w:rPr>
        <w:t>6.13.</w:t>
      </w:r>
      <w:r>
        <w:rPr>
          <w:rFonts w:ascii="Times New Roman;serif" w:hAnsi="Times New Roman;serif"/>
          <w:b w:val="false"/>
          <w:color w:val="000000"/>
          <w:sz w:val="24"/>
          <w:u w:val="single"/>
          <w:shd w:fill="FFFFFF" w:val="clear"/>
        </w:rPr>
        <w:t>Listing</w:t>
      </w:r>
      <w:r>
        <w:rPr>
          <w:rFonts w:ascii="Times New Roman;serif" w:hAnsi="Times New Roman;serif"/>
          <w:b w:val="false"/>
          <w:color w:val="000000"/>
          <w:sz w:val="24"/>
          <w:shd w:fill="FFFFFF" w:val="clear"/>
        </w:rPr>
        <w:t>. Parent shall take all actions necessary to cause the shares of Parent Common Stock, shares of Parent Series D Cumulative Redeemable Preferred Stock and shares of Parent Series E Cumulative Redeemable Preferred Stock to be issued hereunder to be listed on the NYSE, subject to official notice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0" w:name="ib55275b4ca4d411a963acf61bae68c50"/>
      <w:bookmarkEnd w:id="340"/>
      <w:r>
        <w:rPr>
          <w:rFonts w:ascii="Times New Roman;serif" w:hAnsi="Times New Roman;serif"/>
          <w:b w:val="false"/>
          <w:color w:val="000000"/>
          <w:sz w:val="24"/>
        </w:rPr>
        <w:t>6.14.</w:t>
      </w:r>
      <w:r>
        <w:rPr>
          <w:rFonts w:ascii="Times New Roman;serif" w:hAnsi="Times New Roman;serif"/>
          <w:b w:val="false"/>
          <w:color w:val="000000"/>
          <w:sz w:val="24"/>
          <w:u w:val="single"/>
          <w:shd w:fill="FFFFFF" w:val="clear"/>
        </w:rPr>
        <w:t>Transaction Litigation</w:t>
      </w:r>
      <w:r>
        <w:rPr>
          <w:rFonts w:ascii="Times New Roman;serif" w:hAnsi="Times New Roman;serif"/>
          <w:b w:val="false"/>
          <w:color w:val="000000"/>
          <w:sz w:val="24"/>
          <w:shd w:fill="FFFFFF" w:val="clear"/>
        </w:rPr>
        <w:t xml:space="preserve">. The Company shall promptly notify Parent, and Parent shall promptly notify the Company, of any stockholder demands, litigation, arbitration or other similar actions against such party or any of their respective directors or officers relating to this Agreement or the Transactions, and shall keep each other informed on a reasonably prompt basis with respect to the status thereof. The Company and Parent shall give the other the opportunity to participate (at the other’s expense) in the defense or settlement of any such action and reasonably cooperate with the other in conducting the defense or settlement of such action, and no such </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60705"/>
                <wp:effectExtent l="0" t="0" r="0" b="0"/>
                <wp:wrapNone/>
                <wp:docPr id="95" name="Frame9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settlement or any disclosure in connection therewith shall be agreed without the other’s prior written consent (which consent shall not be unreasonably withheld, conditioned or delayed). In the event of, and to the extent of, any conflict or overlap between the provisions of this </w:t>
      </w:r>
      <w:r>
        <w:rPr>
          <w:rFonts w:ascii="Times New Roman;serif" w:hAnsi="Times New Roman;serif"/>
          <w:b w:val="false"/>
          <w:color w:val="000000"/>
          <w:sz w:val="24"/>
          <w:u w:val="single"/>
          <w:shd w:fill="FFFFFF" w:val="clear"/>
        </w:rPr>
        <w:t>Section 6.14</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6.2</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the provisions of this </w:t>
      </w:r>
      <w:r>
        <w:rPr>
          <w:rFonts w:ascii="Times New Roman;serif" w:hAnsi="Times New Roman;serif"/>
          <w:b w:val="false"/>
          <w:color w:val="000000"/>
          <w:sz w:val="24"/>
          <w:u w:val="single"/>
          <w:shd w:fill="FFFFFF" w:val="clear"/>
        </w:rPr>
        <w:t>Section 6.14</w:t>
      </w:r>
      <w:r>
        <w:rPr>
          <w:color w:val="000000"/>
          <w:shd w:fill="FFFFFF" w:val="clear"/>
        </w:rPr>
        <w:t xml:space="preserve"> </w:t>
      </w:r>
      <w:r>
        <w:rPr>
          <w:rFonts w:ascii="Times New Roman;serif" w:hAnsi="Times New Roman;serif"/>
          <w:b w:val="false"/>
          <w:color w:val="000000"/>
          <w:sz w:val="24"/>
          <w:shd w:fill="FFFFFF" w:val="clear"/>
        </w:rPr>
        <w:t>shall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1" w:name="i42744cca15894f08a4da02c7aed5f99e"/>
      <w:bookmarkEnd w:id="341"/>
      <w:r>
        <w:rPr>
          <w:rFonts w:ascii="Times New Roman;serif" w:hAnsi="Times New Roman;serif"/>
          <w:b w:val="false"/>
          <w:color w:val="000000"/>
          <w:sz w:val="24"/>
        </w:rPr>
        <w:t>6.15.</w:t>
      </w:r>
      <w:r>
        <w:rPr>
          <w:rFonts w:ascii="Times New Roman;serif" w:hAnsi="Times New Roman;serif"/>
          <w:b w:val="false"/>
          <w:color w:val="000000"/>
          <w:sz w:val="24"/>
          <w:u w:val="single"/>
          <w:shd w:fill="FFFFFF" w:val="clear"/>
        </w:rPr>
        <w:t>Rule 16b-3</w:t>
      </w:r>
      <w:r>
        <w:rPr>
          <w:rFonts w:ascii="Times New Roman;serif" w:hAnsi="Times New Roman;serif"/>
          <w:b w:val="false"/>
          <w:color w:val="000000"/>
          <w:sz w:val="24"/>
          <w:shd w:fill="FFFFFF" w:val="clear"/>
        </w:rPr>
        <w:t xml:space="preserve">. During the Interim Period, each of Parent and the Company shall take all such reasonable steps as may be necessary to cause the Transactions and any dispositions of Company equity securities or acquisitions of Parent equity securities pursuant to the Transactions by each individual (including any Person who is deemed to be a “director by deputization” under applicable securities Laws) who (a) is subject to the reporting requirements of Section 16(a) of the Exchange Act with respect to the Company or (b) at the Company Merger Effective Time will become a director or officer of Parent, to be exempt under Rule 16b-3 promulgated under the Exchange Act, such steps to be taken in accordance with applicable SEC rules and regulations and interpretations of the SEC staff.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2" w:name="iaa13c210f3ea4638933d40f8cc038672"/>
      <w:bookmarkEnd w:id="342"/>
      <w:r>
        <w:rPr>
          <w:rFonts w:ascii="Times New Roman;serif" w:hAnsi="Times New Roman;serif"/>
          <w:b w:val="false"/>
          <w:color w:val="000000"/>
          <w:sz w:val="24"/>
        </w:rPr>
        <w:t>6.16.</w:t>
      </w:r>
      <w:r>
        <w:rPr>
          <w:rFonts w:ascii="Times New Roman;serif" w:hAnsi="Times New Roman;serif"/>
          <w:b w:val="false"/>
          <w:color w:val="000000"/>
          <w:sz w:val="24"/>
          <w:u w:val="single"/>
          <w:shd w:fill="FFFFFF" w:val="clear"/>
        </w:rPr>
        <w:t>Takeover Law</w:t>
      </w:r>
      <w:r>
        <w:rPr>
          <w:rFonts w:ascii="Times New Roman;serif" w:hAnsi="Times New Roman;serif"/>
          <w:b w:val="false"/>
          <w:color w:val="000000"/>
          <w:sz w:val="24"/>
          <w:shd w:fill="FFFFFF" w:val="clear"/>
        </w:rPr>
        <w:t>. Neither Parent nor the Company shall take any action that would cause any Takeover Law to become applicable to this Agreement and the Transactions, and each of Parent and the Company shall take all necessary steps within its control to exempt (or ensure the continued exemption of) the Transactions from any applicable Takeover Law now or hereafter in effect. If any Takeover Law may become, or may purport to be, applicable to the Transactions, each of Parent and the Company shall promptly take such reasonable actions as are necessary so that the Transactions may be consummated as promptly as practicable on the terms contemplated hereby and to otherwise act to eliminate or minimize the effects of any Takeover Law on any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3" w:name="i3025d71ff4d2466fbf7ff481ebd2000b"/>
      <w:bookmarkEnd w:id="343"/>
      <w:r>
        <w:rPr>
          <w:rFonts w:ascii="Times New Roman;serif" w:hAnsi="Times New Roman;serif"/>
          <w:b w:val="false"/>
          <w:color w:val="000000"/>
          <w:sz w:val="24"/>
        </w:rPr>
        <w:t>6.17.</w:t>
      </w:r>
      <w:r>
        <w:rPr>
          <w:rFonts w:ascii="Times New Roman;serif" w:hAnsi="Times New Roman;serif"/>
          <w:b w:val="false"/>
          <w:color w:val="000000"/>
          <w:sz w:val="24"/>
          <w:u w:val="single"/>
          <w:shd w:fill="FFFFFF" w:val="clear"/>
        </w:rPr>
        <w:t>Resignations</w:t>
      </w:r>
      <w:r>
        <w:rPr>
          <w:rFonts w:ascii="Times New Roman;serif" w:hAnsi="Times New Roman;serif"/>
          <w:b w:val="false"/>
          <w:color w:val="000000"/>
          <w:sz w:val="24"/>
          <w:shd w:fill="FFFFFF" w:val="clear"/>
        </w:rPr>
        <w:t>. Upon Parent’s written request at least five Business Days prior to the Closing Date, the Company shall use its reasonable best efforts to cause to be delivered to Parent resignations executed by each director of the Company Board in office as of immediately prior to the Company Merger Effective Time, subject to, and effective upon,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4" w:name="id1646cc9612941969096d598175408d9"/>
      <w:bookmarkEnd w:id="344"/>
      <w:r>
        <w:rPr>
          <w:rFonts w:ascii="Times New Roman;serif" w:hAnsi="Times New Roman;serif"/>
          <w:b w:val="false"/>
          <w:color w:val="000000"/>
          <w:sz w:val="24"/>
        </w:rPr>
        <w:t>6.18.</w:t>
      </w:r>
      <w:r>
        <w:rPr>
          <w:rFonts w:ascii="Times New Roman;serif" w:hAnsi="Times New Roman;serif"/>
          <w:b w:val="false"/>
          <w:color w:val="000000"/>
          <w:sz w:val="24"/>
          <w:u w:val="single"/>
          <w:shd w:fill="FFFFFF" w:val="clear"/>
        </w:rPr>
        <w:t>Control of Operations</w:t>
      </w:r>
      <w:r>
        <w:rPr>
          <w:rFonts w:ascii="Times New Roman;serif" w:hAnsi="Times New Roman;serif"/>
          <w:b w:val="false"/>
          <w:color w:val="000000"/>
          <w:sz w:val="24"/>
          <w:shd w:fill="FFFFFF" w:val="clear"/>
        </w:rPr>
        <w:t>. Nothing contained in this Agreement shall give Parent, directly or indirectly, the right to control or direct the Company’s operations or the Company Operating Partnership prior to the Company Merger Effective Time and the Partnership Merger Effective Time, respectively. Prior to the Company Merger Effective Time, the Company shall exercise, consistent with the terms and conditions of this Agreement, complete control and supervision over its operations. Prior to the Partnership Merger Effective Time, the Company Operating Partnership shall exercise, consistent with the terms and conditions of this Agreement, complete control and supervision over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5" w:name="i84328eaf220e4cf49d6dd74a47dc0b9c"/>
      <w:bookmarkEnd w:id="345"/>
      <w:r>
        <w:rPr>
          <w:rFonts w:ascii="Times New Roman;serif" w:hAnsi="Times New Roman;serif"/>
          <w:b w:val="false"/>
          <w:color w:val="000000"/>
          <w:sz w:val="24"/>
        </w:rPr>
        <w:t>6.19.</w:t>
      </w:r>
      <w:r>
        <w:rPr>
          <w:rFonts w:ascii="Times New Roman;serif" w:hAnsi="Times New Roman;serif"/>
          <w:b w:val="false"/>
          <w:color w:val="000000"/>
          <w:sz w:val="24"/>
          <w:u w:val="single"/>
          <w:shd w:fill="FFFFFF" w:val="clear"/>
        </w:rPr>
        <w:t>Additional Dividends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346" w:name="i7c1c41aba8324c8c8e0bf1de9460a0b2"/>
      <w:bookmarkEnd w:id="346"/>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Prior to the Company Merger Effective Time, the Company may authorize and declare a dividend to its stockholders pursuant to this </w:t>
      </w:r>
      <w:r>
        <w:rPr>
          <w:rFonts w:ascii="Times New Roman;serif" w:hAnsi="Times New Roman;serif"/>
          <w:b w:val="false"/>
          <w:color w:val="000000"/>
          <w:sz w:val="24"/>
          <w:u w:val="single"/>
          <w:shd w:fill="FFFFFF" w:val="clear"/>
        </w:rPr>
        <w:t>Section 6.19(a)</w:t>
      </w:r>
      <w:r>
        <w:rPr>
          <w:rFonts w:ascii="Times New Roman;serif" w:hAnsi="Times New Roman;serif"/>
          <w:b w:val="false"/>
          <w:color w:val="000000"/>
          <w:sz w:val="24"/>
          <w:shd w:fill="FFFFFF" w:val="clear"/>
        </w:rPr>
        <w:t xml:space="preserve">, the payment date for which shall be the close of business on the last Business Day prior to the Closing Date or such other date as Parent and the Company may agree, subject to funds being legally available therefor. The record date for any such dividends shall be three Business Days before the payment date. Any per share dividend amount payable by the Company with respect to the Company Common Stock pursuant to this </w:t>
      </w:r>
      <w:r>
        <w:rPr>
          <w:rFonts w:ascii="Times New Roman;serif" w:hAnsi="Times New Roman;serif"/>
          <w:b w:val="false"/>
          <w:color w:val="000000"/>
          <w:sz w:val="24"/>
          <w:u w:val="single"/>
          <w:shd w:fill="FFFFFF" w:val="clear"/>
        </w:rPr>
        <w:t>Section 6.19(a)</w:t>
      </w:r>
      <w:r>
        <w:rPr>
          <w:color w:val="000000"/>
          <w:shd w:fill="FFFFFF" w:val="clear"/>
        </w:rPr>
        <w:t xml:space="preserve"> </w:t>
      </w:r>
      <w:r>
        <w:rPr>
          <w:rFonts w:ascii="Times New Roman;serif" w:hAnsi="Times New Roman;serif"/>
          <w:b w:val="false"/>
          <w:color w:val="000000"/>
          <w:sz w:val="24"/>
          <w:shd w:fill="FFFFFF" w:val="clear"/>
        </w:rPr>
        <w:t>shall be an amount equal to (i) the Company’s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serif" w:hAnsi="Times New Roman;serif"/>
          <w:b w:val="false"/>
          <w:color w:val="000000"/>
          <w:sz w:val="24"/>
          <w:u w:val="single"/>
          <w:shd w:fill="FFFFFF" w:val="clear"/>
        </w:rPr>
        <w:t>Company Additional Dividend Amount</w:t>
      </w:r>
      <w:r>
        <w:rPr>
          <w:color w:val="000000"/>
          <w:shd w:fill="FFFFFF" w:val="clear"/>
        </w:rPr>
        <w:t>”</w:t>
      </w:r>
      <w:r>
        <w:rPr>
          <w:rFonts w:ascii="Times New Roman;serif" w:hAnsi="Times New Roman;serif"/>
          <w:b w:val="false"/>
          <w:color w:val="000000"/>
          <w:sz w:val="24"/>
          <w:shd w:fill="FFFFFF" w:val="clear"/>
        </w:rPr>
        <w:t xml:space="preserve">), if any, necessary so that the aggregate dividend payable is equal to the Minimum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60705"/>
                <wp:effectExtent l="0" t="0" r="0" b="0"/>
                <wp:wrapNone/>
                <wp:docPr id="96" name="Frame9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Distribution Dividend. The Company and Parent shall cooperate in good faith to determine whether it is necessary to authorize and declare a Company Additional Dividend Amount and the amount (if any) of the Company Additional Dividend Amount.</w:t>
      </w:r>
    </w:p>
    <w:p>
      <w:pPr>
        <w:pStyle w:val="TextBody"/>
        <w:bidi w:val="0"/>
        <w:spacing w:lineRule="auto" w:line="240" w:before="0" w:after="240"/>
        <w:ind w:left="0" w:right="0" w:firstLine="720"/>
        <w:jc w:val="both"/>
        <w:rPr/>
      </w:pPr>
      <w:bookmarkStart w:id="347" w:name="i688aa12e2604495983affd8902fc2d6a"/>
      <w:bookmarkEnd w:id="347"/>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Prior to the Company Merger Effective Time, Parent may, in its sole discretion, authorize and declare a dividend to its stockholders pursuant to this </w:t>
      </w:r>
      <w:r>
        <w:rPr>
          <w:rFonts w:ascii="Times New Roman;serif" w:hAnsi="Times New Roman;serif"/>
          <w:b w:val="false"/>
          <w:color w:val="000000"/>
          <w:sz w:val="24"/>
          <w:u w:val="single"/>
          <w:shd w:fill="FFFFFF" w:val="clear"/>
        </w:rPr>
        <w:t>Section 6.19(b)</w:t>
      </w:r>
      <w:r>
        <w:rPr>
          <w:rFonts w:ascii="Times New Roman;serif" w:hAnsi="Times New Roman;serif"/>
          <w:b w:val="false"/>
          <w:color w:val="000000"/>
          <w:sz w:val="24"/>
          <w:shd w:fill="FFFFFF" w:val="clear"/>
        </w:rPr>
        <w:t xml:space="preserve">, the payment date for which shall not be earlier than the close of business on the last Business Day prior to the Closing Date (but in Parent’s discretion may be after the Closing Date to Parent’s stockholders of record determined in accordance with this </w:t>
      </w:r>
      <w:r>
        <w:rPr>
          <w:rFonts w:ascii="Times New Roman;serif" w:hAnsi="Times New Roman;serif"/>
          <w:b w:val="false"/>
          <w:color w:val="000000"/>
          <w:sz w:val="24"/>
          <w:u w:val="single"/>
          <w:shd w:fill="FFFFFF" w:val="clear"/>
        </w:rPr>
        <w:t>Section 6.19(b)</w:t>
      </w:r>
      <w:r>
        <w:rPr>
          <w:rFonts w:ascii="Times New Roman;serif" w:hAnsi="Times New Roman;serif"/>
          <w:b w:val="false"/>
          <w:color w:val="000000"/>
          <w:sz w:val="24"/>
          <w:shd w:fill="FFFFFF" w:val="clear"/>
        </w:rPr>
        <w:t xml:space="preserve">), subject to funds being legally available therefor. The record date for any such dividends shall be three Business Days before the payment date. Any per share dividend amount payable by Parent with respect to the Parent Common Stock pursuant to this </w:t>
      </w:r>
      <w:r>
        <w:rPr>
          <w:rFonts w:ascii="Times New Roman;serif" w:hAnsi="Times New Roman;serif"/>
          <w:b w:val="false"/>
          <w:color w:val="000000"/>
          <w:sz w:val="24"/>
          <w:u w:val="single"/>
          <w:shd w:fill="FFFFFF" w:val="clear"/>
        </w:rPr>
        <w:t>Section 6.19(b)</w:t>
      </w:r>
      <w:r>
        <w:rPr>
          <w:color w:val="000000"/>
          <w:shd w:fill="FFFFFF" w:val="clear"/>
        </w:rPr>
        <w:t xml:space="preserve"> </w:t>
      </w:r>
      <w:r>
        <w:rPr>
          <w:rFonts w:ascii="Times New Roman;serif" w:hAnsi="Times New Roman;serif"/>
          <w:b w:val="false"/>
          <w:color w:val="000000"/>
          <w:sz w:val="24"/>
          <w:shd w:fill="FFFFFF" w:val="clear"/>
        </w:rPr>
        <w:t>shall be an amount equal to (i) Parent’s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serif" w:hAnsi="Times New Roman;serif"/>
          <w:b w:val="false"/>
          <w:color w:val="000000"/>
          <w:sz w:val="24"/>
          <w:u w:val="single"/>
          <w:shd w:fill="FFFFFF" w:val="clear"/>
        </w:rPr>
        <w:t>Parent Additional Dividend Amount</w:t>
      </w:r>
      <w:r>
        <w:rPr>
          <w:color w:val="000000"/>
          <w:shd w:fill="FFFFFF" w:val="clear"/>
        </w:rPr>
        <w:t>”</w:t>
      </w:r>
      <w:r>
        <w:rPr>
          <w:rFonts w:ascii="Times New Roman;serif" w:hAnsi="Times New Roman;serif"/>
          <w:b w:val="false"/>
          <w:color w:val="000000"/>
          <w:sz w:val="24"/>
          <w:shd w:fill="FFFFFF" w:val="clear"/>
        </w:rPr>
        <w:t>), if any, necessary so that the aggregate dividend payable is equal to the Minimum Distribution Dividend. Parent and the Company shall cooperate in good faith to determine whether it is necessary to authorize and declare a Parent Additional Dividend Amount and the amount (if any) of the Parent Additional Dividend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48" w:name="i349cc4c3e1734414891fef240502365d"/>
      <w:bookmarkEnd w:id="348"/>
      <w:r>
        <w:rPr>
          <w:rFonts w:ascii="Times New Roman;serif" w:hAnsi="Times New Roman;serif"/>
          <w:b w:val="false"/>
          <w:color w:val="000000"/>
          <w:sz w:val="24"/>
        </w:rPr>
        <w:t>6.20.</w:t>
      </w:r>
      <w:r>
        <w:rPr>
          <w:rFonts w:ascii="Times New Roman;serif" w:hAnsi="Times New Roman;serif"/>
          <w:b w:val="false"/>
          <w:color w:val="000000"/>
          <w:sz w:val="24"/>
          <w:u w:val="single"/>
          <w:shd w:fill="FFFFFF" w:val="clear"/>
        </w:rPr>
        <w:t>Tax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349" w:name="i8fb3c6589a86495fbc0d1e61997fabca"/>
      <w:bookmarkEnd w:id="349"/>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the parties hereto shall use its reasonable best efforts to cause the Company Merger to qualify as a “reorganization” within the meaning of Section 368(a) of the Code, including by executing and delivering customary tax representation letters to the Company’s and/or Parent’s counsel, as applicable, in form and substance reasonably satisfactory to such counsel, in connection with (i) any tax opinion or description of the U.S. federal income tax consequences of the Mergers contained or set forth in the Form S-4; or (ii) the tax opinions referenced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None of the parties hereto shall (and each of the parties hereto shall cause their respective Subsidiaries not to) take any action, or fail to take any action, which could reasonably be expected to cause the Company Merger to fail to qualify as a “reorganization” within the meaning of Section 368(a) of the Code. The parties hereto intend to report and, except to the extent otherwise required by Law, shall report, for federal income tax purposes, the Company Merger as a “reorganization” within the meaning of Section 368(a) of the Code.</w:t>
      </w:r>
    </w:p>
    <w:p>
      <w:pPr>
        <w:pStyle w:val="TextBody"/>
        <w:bidi w:val="0"/>
        <w:spacing w:lineRule="auto" w:line="240" w:before="0" w:after="240"/>
        <w:ind w:left="0" w:right="0" w:firstLine="720"/>
        <w:jc w:val="both"/>
        <w:rPr/>
      </w:pPr>
      <w:bookmarkStart w:id="350" w:name="i337f490172df4af2995eb2a872db8c81"/>
      <w:bookmarkEnd w:id="350"/>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shall (i) use its reasonable best efforts to obtain the opinions of counsel referred to in </w:t>
      </w:r>
      <w:r>
        <w:rPr>
          <w:rFonts w:ascii="Times New Roman;serif" w:hAnsi="Times New Roman;serif"/>
          <w:b w:val="false"/>
          <w:color w:val="000000"/>
          <w:sz w:val="24"/>
          <w:u w:val="single"/>
          <w:shd w:fill="FFFFFF" w:val="clear"/>
        </w:rPr>
        <w:t>Section 7.3(d)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xml:space="preserve">; and (ii) deliver to Hunton Andrews Kurth LLP and Mayer Brown LLP officer’s certificates, dated as of the Closing Date and signed by an officer of the Company, containing representations of the Company as shall be reasonably necessary or appropriate to enable Hunton Andrews Kurth LLP to render the opinions described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and Mayer Brown LLP to render the opinions described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color w:val="000000"/>
          <w:shd w:fill="FFFFFF" w:val="clear"/>
        </w:rPr>
        <w:t xml:space="preserve"> </w:t>
      </w:r>
      <w:r>
        <w:rPr>
          <w:rFonts w:ascii="Times New Roman;serif" w:hAnsi="Times New Roman;serif"/>
          <w:b w:val="false"/>
          <w:color w:val="000000"/>
          <w:sz w:val="24"/>
          <w:shd w:fill="FFFFFF" w:val="clear"/>
        </w:rPr>
        <w:t>on the Closing Date.</w:t>
      </w:r>
    </w:p>
    <w:p>
      <w:pPr>
        <w:pStyle w:val="TextBody"/>
        <w:bidi w:val="0"/>
        <w:spacing w:lineRule="auto" w:line="240" w:before="0" w:after="240"/>
        <w:ind w:left="0" w:right="0" w:firstLine="720"/>
        <w:jc w:val="both"/>
        <w:rPr/>
      </w:pPr>
      <w:bookmarkStart w:id="351" w:name="id2c8dc2d86294d418afc03b2315359cf"/>
      <w:bookmarkEnd w:id="351"/>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shall (i) use its reasonable best efforts to obtain the opinions of counsel referred to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7.2(e)</w:t>
      </w:r>
      <w:r>
        <w:rPr>
          <w:rFonts w:ascii="Times New Roman;serif" w:hAnsi="Times New Roman;serif"/>
          <w:b w:val="false"/>
          <w:color w:val="000000"/>
          <w:sz w:val="24"/>
          <w:shd w:fill="FFFFFF" w:val="clear"/>
        </w:rPr>
        <w:t xml:space="preserve">; and (ii) deliver to Hunton Andrews Kurth LLP and Mayer Brown LLP officer’s certificates, dated as of the Closing Date and signed by an officer of Parent, containing representations of Parent as shall be reasonably necessary or appropriate to enable Hunton Andrews Kurth LLP to render the opinions described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and Mayer Brown LLP to render the opinions described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color w:val="000000"/>
          <w:shd w:fill="FFFFFF" w:val="clear"/>
        </w:rPr>
        <w:t xml:space="preserve"> </w:t>
      </w:r>
      <w:r>
        <w:rPr>
          <w:rFonts w:ascii="Times New Roman;serif" w:hAnsi="Times New Roman;serif"/>
          <w:b w:val="false"/>
          <w:color w:val="000000"/>
          <w:sz w:val="24"/>
          <w:shd w:fill="FFFFFF" w:val="clear"/>
        </w:rPr>
        <w:t>on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52" w:name="iea3f998ead794824998da2e69d66d6e8"/>
      <w:bookmarkEnd w:id="352"/>
      <w:r>
        <w:rPr>
          <w:rFonts w:ascii="Times New Roman;serif" w:hAnsi="Times New Roman;serif"/>
          <w:b w:val="false"/>
          <w:color w:val="000000"/>
          <w:sz w:val="24"/>
        </w:rPr>
        <w:t>6.21.</w:t>
      </w:r>
      <w:r>
        <w:rPr>
          <w:rFonts w:ascii="Times New Roman;serif" w:hAnsi="Times New Roman;serif"/>
          <w:b w:val="false"/>
          <w:color w:val="000000"/>
          <w:sz w:val="24"/>
          <w:u w:val="single"/>
          <w:shd w:fill="FFFFFF" w:val="clear"/>
        </w:rPr>
        <w:t>Employee Matters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60705"/>
                <wp:effectExtent l="0" t="0" r="0" b="0"/>
                <wp:wrapNone/>
                <wp:docPr id="97" name="Frame9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53" w:name="i3ded2370fbe043848b956d742dbf3151"/>
      <w:bookmarkEnd w:id="353"/>
      <w:r>
        <w:rPr>
          <w:rFonts w:ascii="Times New Roman;serif" w:hAnsi="Times New Roman;serif"/>
          <w:b w:val="false"/>
          <w:color w:val="000000"/>
          <w:sz w:val="24"/>
        </w:rPr>
        <w:t>(a)</w:t>
      </w:r>
      <w:r>
        <w:rPr>
          <w:rFonts w:ascii="Times New Roman;serif" w:hAnsi="Times New Roman;serif"/>
          <w:b w:val="false"/>
          <w:color w:val="000000"/>
          <w:sz w:val="24"/>
          <w:shd w:fill="FFFFFF" w:val="clear"/>
        </w:rPr>
        <w:t>For a period of one (1) year following the Closing Date, Parent shall provide or cause the Surviving Entity, Parent Manager or their respective Affiliates to provide to each of the employees who is employed by the Company immediately prior to the Closing and remains employed by the Company, Parent, the Surviving Entity, Parent Manager or any of their respective Affiliates immediately following the Closing (each, a “</w:t>
      </w:r>
      <w:r>
        <w:rPr>
          <w:rFonts w:ascii="Times New Roman;serif" w:hAnsi="Times New Roman;serif"/>
          <w:b w:val="false"/>
          <w:color w:val="000000"/>
          <w:sz w:val="24"/>
          <w:u w:val="single"/>
          <w:shd w:fill="FFFFFF" w:val="clear"/>
        </w:rPr>
        <w:t>Continuing Employee</w:t>
      </w:r>
      <w:r>
        <w:rPr>
          <w:color w:val="000000"/>
          <w:shd w:fill="FFFFFF" w:val="clear"/>
        </w:rPr>
        <w:t>”</w:t>
      </w:r>
      <w:r>
        <w:rPr>
          <w:rFonts w:ascii="Times New Roman;serif" w:hAnsi="Times New Roman;serif"/>
          <w:b w:val="false"/>
          <w:color w:val="000000"/>
          <w:sz w:val="24"/>
          <w:shd w:fill="FFFFFF" w:val="clear"/>
        </w:rPr>
        <w:t>), (i) a base salary, hourly rate or wages that are not less than those provided to such Continuing Employee immediately prior to the Closing Date, (ii) variable/incentive/bonus pay opportunities that are not less than those provided to such Continuing Employee immediately prior to the Closing Date, (iii) severance benefits that are not less than those provided to such Continuing Employee immediately prior to the Closing Date (taking into account service credited after the Closing Date pursuant to this Agreement), and (iv) other employee benefit plans and arrangements (excluding any defined benefit plans and any equity-based compensation) that are no less favorable than those provided to similarly situated employees of Parent, the Surviving Entity, Parent Manager or their applicable Affiliate, as the case may be.</w:t>
      </w:r>
    </w:p>
    <w:p>
      <w:pPr>
        <w:pStyle w:val="TextBody"/>
        <w:bidi w:val="0"/>
        <w:spacing w:lineRule="auto" w:line="240" w:before="0" w:after="240"/>
        <w:ind w:left="0" w:right="0" w:firstLine="720"/>
        <w:jc w:val="both"/>
        <w:rPr/>
      </w:pPr>
      <w:bookmarkStart w:id="354" w:name="i3dc94f783a904c05aa6a2437501c791f"/>
      <w:bookmarkEnd w:id="354"/>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shall cause the Surviving Entity, Parent Manager or their respective Affiliates to, credit (or cause to be credited) each Continuing Employee with his or her years of service credited by the Company or its Affiliates (and any predecessor entities thereof) and the PEO before the Closing Date under any employee benefit plan of Parent, the Surviving Entity, Parent Manager or their respective Affiliates, as applicable, providing benefits similar to those provided under a Company Benefit Plan or PEO Benefit Plan (including under any applicable pension, 401(k), savings, medical, dental, life insurance, vacation, long-service leave or other leave entitlements, post-retirement health and life insurance, termination indemnity, severance or separation pay plans, other than defined benefit plans) to the same extent as such Continuing Employee was entitled, before the Closing Date, to credit for such service under such Company Benefit Plan or PEO Benefit Plan for all purposes, of eligibility to participate, vesting and benefit accrual (other than benefit accruals under a defined benefit pension plan, nonqualified deferred compensation plan, equity-based compensation arrangement, long-service leave, retiree medical plan or other post-employment welfare arrangement), except to the extent (i) such credit would result in the duplication of benefits for the same period of service or (ii) such service was not credited under the corresponding Company Benefit Plan.</w:t>
      </w:r>
    </w:p>
    <w:p>
      <w:pPr>
        <w:pStyle w:val="TextBody"/>
        <w:bidi w:val="0"/>
        <w:spacing w:lineRule="auto" w:line="240" w:before="0" w:after="240"/>
        <w:ind w:left="0" w:right="0" w:firstLine="720"/>
        <w:jc w:val="both"/>
        <w:rPr/>
      </w:pPr>
      <w:bookmarkStart w:id="355" w:name="i6bd7319fd98445c6aaebdbaa485b3b35"/>
      <w:bookmarkEnd w:id="355"/>
      <w:r>
        <w:rPr>
          <w:rFonts w:ascii="Times New Roman;serif" w:hAnsi="Times New Roman;serif"/>
          <w:b w:val="false"/>
          <w:color w:val="000000"/>
          <w:sz w:val="24"/>
        </w:rPr>
        <w:t>(c)</w:t>
      </w:r>
      <w:r>
        <w:rPr>
          <w:rFonts w:ascii="Times New Roman;serif" w:hAnsi="Times New Roman;serif"/>
          <w:b w:val="false"/>
          <w:color w:val="000000"/>
          <w:sz w:val="24"/>
          <w:shd w:fill="FFFFFF" w:val="clear"/>
        </w:rPr>
        <w:t>Parent shall use reasonable best efforts to provide (or if applicable to cause the Surviving Entity, Parent Manager or their respective Affiliates to provide) to each Continuing Employee and his or her dependents credit for any co-payments, coinsurance, out-of-pocket maximums and deductibles paid prior to the Closing under any Company Benefit Plan or PEO Benefit Plan, in respect of the plan year in which the Closing Date occurs, in satisfying any such requirements under any employee benefit plan of Parent, the Surviving Entity, Parent Manager or any of their respective Affiliates, as applicable, in which such Continuing Employee and his or her dependents is eligible to participate after the Closing.</w:t>
      </w:r>
    </w:p>
    <w:p>
      <w:pPr>
        <w:pStyle w:val="TextBody"/>
        <w:bidi w:val="0"/>
        <w:spacing w:lineRule="auto" w:line="240" w:before="0" w:after="240"/>
        <w:ind w:left="0" w:right="0" w:firstLine="720"/>
        <w:jc w:val="both"/>
        <w:rPr/>
      </w:pPr>
      <w:bookmarkStart w:id="356" w:name="ifc1aef993ce34800aefc3dfd61d16a86"/>
      <w:bookmarkEnd w:id="356"/>
      <w:r>
        <w:rPr>
          <w:rFonts w:ascii="Times New Roman;serif" w:hAnsi="Times New Roman;serif"/>
          <w:b w:val="false"/>
          <w:color w:val="000000"/>
          <w:sz w:val="24"/>
        </w:rPr>
        <w:t>(d)</w:t>
      </w:r>
      <w:r>
        <w:rPr>
          <w:rFonts w:ascii="Times New Roman;serif" w:hAnsi="Times New Roman;serif"/>
          <w:b w:val="false"/>
          <w:color w:val="000000"/>
          <w:sz w:val="24"/>
          <w:shd w:fill="FFFFFF" w:val="clear"/>
        </w:rPr>
        <w:t>Parent shall use reasonable best efforts to waive (or if applicable to cause the Surviving Entity, Parent Manager or their respective Affiliates to waive) for each Continuing Employee and his or her dependents any waiting period provision, payment requirement to avoid a waiting period, pre-existing condition limitation, actively-at-work requirement and any other restriction that would prevent immediate or full participation under the welfare plans of Parent, the Surviving Entity, Parent Manager or any of their respective Affiliates, as applicable, that is applicable to such Continuing Employee to the extent such waiting period, pre-existing condition limitation, actively-at-work requirement or other restriction would not have been applicable to such Continuing Employee under the terms of the welfare plans of the Company on the date of this Agreement.</w:t>
      </w:r>
    </w:p>
    <w:p>
      <w:pPr>
        <w:pStyle w:val="TextBody"/>
        <w:bidi w:val="0"/>
        <w:spacing w:lineRule="auto" w:line="240" w:before="0" w:after="240"/>
        <w:ind w:left="0" w:right="0" w:firstLine="720"/>
        <w:jc w:val="both"/>
        <w:rPr/>
      </w:pPr>
      <w:bookmarkStart w:id="357" w:name="iab477e5a1287483ba315a6c892f8682f"/>
      <w:bookmarkEnd w:id="357"/>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From and after the Closing, Parent shall be responsible for any and all notices, liabilities, costs, payments and expenses arising directly from any action by Parent and its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60705"/>
                <wp:effectExtent l="0" t="0" r="0" b="0"/>
                <wp:wrapNone/>
                <wp:docPr id="98" name="Frame9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Affiliates (including breach of contract, defamation or retaliatory discharge) regarding the Continuing Employees, including any such liability (i) under any Law that relates to employees, employee benefit matters or labor matters, (ii) for dismissal, wrongful termination or constructive dismissal or termination, or severance pay or other termination pay, or (iii) under or with respect to any benefit plan, program, collective bargaining agreement, Contract, policy, commitment or arrangement of Parent and its Affiliates, including with respect to severance or retention plans, or to the extent such severance or retention plans provide payments or benefits with respect to any Continuing Employee.</w:t>
      </w:r>
    </w:p>
    <w:p>
      <w:pPr>
        <w:pStyle w:val="TextBody"/>
        <w:bidi w:val="0"/>
        <w:spacing w:lineRule="auto" w:line="240" w:before="0" w:after="240"/>
        <w:ind w:left="0" w:right="0" w:firstLine="720"/>
        <w:jc w:val="both"/>
        <w:rPr/>
      </w:pPr>
      <w:bookmarkStart w:id="358" w:name="idf8e30e2de1d41908443361da98b30c1"/>
      <w:bookmarkEnd w:id="358"/>
      <w:r>
        <w:rPr>
          <w:rFonts w:ascii="Times New Roman;serif" w:hAnsi="Times New Roman;serif"/>
          <w:b w:val="false"/>
          <w:color w:val="000000"/>
          <w:sz w:val="24"/>
        </w:rPr>
        <w:t>(f)</w:t>
      </w:r>
      <w:r>
        <w:rPr>
          <w:rFonts w:ascii="Times New Roman;serif" w:hAnsi="Times New Roman;serif"/>
          <w:b w:val="false"/>
          <w:color w:val="000000"/>
          <w:sz w:val="24"/>
          <w:shd w:fill="FFFFFF" w:val="clear"/>
        </w:rPr>
        <w:t>From and after the Closing, Parent shall, or shall cause its Affiliates to, be responsible for, and shall indemnify, defend and hold harmless the Company and its Affiliates from and against, all Liabilities arising under or relating to Part 6 of Subtitle B of Title I of ERISA, Section 4980B of the Code, and any other applicable continuation coverage Law with respect to each individual who is an “</w:t>
      </w:r>
      <w:r>
        <w:rPr>
          <w:rFonts w:ascii="Times New Roman;serif" w:hAnsi="Times New Roman;serif"/>
          <w:b w:val="false"/>
          <w:color w:val="000000"/>
          <w:sz w:val="24"/>
          <w:u w:val="single"/>
          <w:shd w:fill="FFFFFF" w:val="clear"/>
        </w:rPr>
        <w:t>M&amp;A qualified beneficiary</w:t>
      </w:r>
      <w:r>
        <w:rPr>
          <w:rFonts w:ascii="Times New Roman;serif" w:hAnsi="Times New Roman;serif"/>
          <w:b w:val="false"/>
          <w:color w:val="000000"/>
          <w:sz w:val="24"/>
          <w:shd w:fill="FFFFFF" w:val="clear"/>
        </w:rPr>
        <w:t>,” as defined in Treasury Regulation Section 54.4980B-9, Q&amp;A-4(a), in connection with the Transactions (including any such individual’s spouse, dependent or other qualified beneficiary). Following the execution of this Agreement, the Company and Parent shall work together in good faith to attempt to extend the contract with the PEO for COBRA and certain payroll purposes following the Closing. If the Parties are unable to extend the PEO contract, Parent shall, or shall cause its Affiliates to, implement an alternative arrangement sufficient to satisfy Parent’s obligations under this Section 6.21(f). In all events, Parent shall, or shall cause its Affiliates to, timely offer, provide and administer continuation coverage under COBRA and any other applicable continuation coverage Law to all M&amp;A qualified beneficiaries for the full period required under applicable Law, and shall be solely responsible for all notices, elections, premiums, claims administration, reporting, recordkeeping and other obligations associated with such continuation coverage. The Parties shall cooperate in good faith to ensure that all required COBRA notices and other material communications are timely prepared and distributed, and each Party shall promptly provide the other with any information reasonably necessary to administer them. For the avoidance of doubt, Parent’s obligations under this Section 6.21(f) apply to each M&amp;A qualified beneficiary for the balance of the maximum coverage period required under applicable Law, regardless of whether the qualifying event occurred before, on or after the Closing. Parent and the Company desire that the PEO process and report any required payments to employees and former employees of the Company through payroll and the filing of all required tax reports, including Form W-2s, and any related matters, in each case with respect to periods during which the PEO employed such individuals.</w:t>
      </w:r>
    </w:p>
    <w:p>
      <w:pPr>
        <w:pStyle w:val="TextBody"/>
        <w:bidi w:val="0"/>
        <w:spacing w:lineRule="auto" w:line="240" w:before="0" w:after="240"/>
        <w:ind w:left="0" w:right="0" w:firstLine="720"/>
        <w:jc w:val="both"/>
        <w:rPr/>
      </w:pPr>
      <w:bookmarkStart w:id="359" w:name="iee149fc668534fe6bee23a480a6979b7"/>
      <w:bookmarkEnd w:id="359"/>
      <w:r>
        <w:rPr>
          <w:rFonts w:ascii="Times New Roman;serif" w:hAnsi="Times New Roman;serif"/>
          <w:b w:val="false"/>
          <w:color w:val="000000"/>
          <w:sz w:val="24"/>
        </w:rPr>
        <w:t>(g)</w:t>
      </w:r>
      <w:r>
        <w:rPr>
          <w:rFonts w:ascii="Times New Roman;serif" w:hAnsi="Times New Roman;serif"/>
          <w:b w:val="false"/>
          <w:color w:val="000000"/>
          <w:sz w:val="24"/>
          <w:shd w:fill="FFFFFF" w:val="clear"/>
        </w:rPr>
        <w:t>Prior to the Closing, the Company shall amend its severance policy and any similar arrangements to provide that, if any officer or employee of the Company or any of its Subsidiaries is offered similar employment or continued similar employment with Parent, the Surviving Entity, Parent Manager or any of their respective Affiliates effective at or after the Closing and such person accepts such offer, such employee or officer shall not be entitled to any such severance or similar pay or benefits in connection with the termination of his or her employment with the Company or its Subsidiaries, provided that Parent, the Surviving Entity, Parent Manager or such Affiliate, as applicable, agreed to pay such severance or similar pay or benefits if they thereafter terminate such person’s employment without cause within twelve (12) months after the Closing Date.</w:t>
      </w:r>
    </w:p>
    <w:p>
      <w:pPr>
        <w:pStyle w:val="TextBody"/>
        <w:bidi w:val="0"/>
        <w:spacing w:lineRule="auto" w:line="240" w:before="0" w:after="240"/>
        <w:ind w:left="0" w:right="0" w:firstLine="720"/>
        <w:jc w:val="both"/>
        <w:rPr/>
      </w:pPr>
      <w:bookmarkStart w:id="360" w:name="i825faf426d8440e9b169dacda07b57db"/>
      <w:bookmarkEnd w:id="360"/>
      <w:r>
        <w:rPr>
          <w:rFonts w:ascii="Times New Roman;serif" w:hAnsi="Times New Roman;serif"/>
          <w:b w:val="false"/>
          <w:color w:val="000000"/>
          <w:sz w:val="24"/>
        </w:rPr>
        <w:t>(h)</w:t>
      </w:r>
      <w:r>
        <w:rPr>
          <w:rFonts w:ascii="Times New Roman;serif" w:hAnsi="Times New Roman;serif"/>
          <w:b w:val="false"/>
          <w:color w:val="000000"/>
          <w:sz w:val="24"/>
          <w:shd w:fill="FFFFFF" w:val="clear"/>
        </w:rPr>
        <w:t>Between the date of this Agreement and the Closing Date, the Company shall, and shall cause its applicable Subsidiaries to, use their reasonable best efforts to make their respective employees available to Parent Manager or its Representatives, at Parent Manager’s request and upon reasonable notice and at reasonable times, for the purpose of discussing potential employment with Parent Manager for the period after the Closing.</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60705"/>
                <wp:effectExtent l="0" t="0" r="0" b="0"/>
                <wp:wrapNone/>
                <wp:docPr id="99" name="Frame9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61" w:name="i641a227e07e84b82aab5cda02516d98f"/>
      <w:bookmarkEnd w:id="361"/>
      <w:r>
        <w:rPr>
          <w:rFonts w:ascii="Times New Roman;serif" w:hAnsi="Times New Roman;serif"/>
          <w:b w:val="false"/>
          <w:color w:val="000000"/>
          <w:sz w:val="24"/>
        </w:rPr>
        <w:t>(i)</w:t>
      </w:r>
      <w:r>
        <w:rPr>
          <w:rFonts w:ascii="Times New Roman;serif" w:hAnsi="Times New Roman;serif"/>
          <w:b w:val="false"/>
          <w:color w:val="000000"/>
          <w:sz w:val="24"/>
          <w:shd w:fill="FFFFFF" w:val="clear"/>
        </w:rPr>
        <w:t>From and after the date of this Agreement until the Closing, the Company and Parent shall cooperate in good faith in identifying and analyzing any payments or benefits that may be subject to Section 280G or Section 4999 of the Code, including by furnishing such information as is reasonably requested in connection with any updated analysis prior to the Closing.</w:t>
      </w:r>
    </w:p>
    <w:p>
      <w:pPr>
        <w:pStyle w:val="TextBody"/>
        <w:bidi w:val="0"/>
        <w:spacing w:lineRule="auto" w:line="240" w:before="0" w:after="240"/>
        <w:ind w:left="0" w:right="0" w:firstLine="720"/>
        <w:jc w:val="both"/>
        <w:rPr/>
      </w:pPr>
      <w:bookmarkStart w:id="362" w:name="i9f66c948da4a4318b6442401cc2b0d6f"/>
      <w:bookmarkEnd w:id="362"/>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With respect to matters described in this </w:t>
      </w:r>
      <w:r>
        <w:rPr>
          <w:rFonts w:ascii="Times New Roman;serif" w:hAnsi="Times New Roman;serif"/>
          <w:b w:val="false"/>
          <w:color w:val="000000"/>
          <w:sz w:val="24"/>
          <w:u w:val="single"/>
          <w:shd w:fill="FFFFFF" w:val="clear"/>
        </w:rPr>
        <w:t>Section 6.21</w:t>
      </w:r>
      <w:r>
        <w:rPr>
          <w:rFonts w:ascii="Times New Roman;serif" w:hAnsi="Times New Roman;serif"/>
          <w:b w:val="false"/>
          <w:color w:val="000000"/>
          <w:sz w:val="24"/>
          <w:shd w:fill="FFFFFF" w:val="clear"/>
        </w:rPr>
        <w:t>, the Company shall not send any written notices or other written communications to employees of the Company or its Subsidiaries without the prior written consent of Parent, which shall not be unreasonably withheld, conditioned or delayed.</w:t>
      </w:r>
    </w:p>
    <w:p>
      <w:pPr>
        <w:pStyle w:val="TextBody"/>
        <w:bidi w:val="0"/>
        <w:spacing w:lineRule="auto" w:line="240" w:before="0" w:after="240"/>
        <w:ind w:left="0" w:right="0" w:firstLine="720"/>
        <w:jc w:val="both"/>
        <w:rPr/>
      </w:pPr>
      <w:bookmarkStart w:id="363" w:name="ifbef8a6824a34bbc8eae667ff8abaf44"/>
      <w:bookmarkEnd w:id="363"/>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Nothing contained in this Agreement is intended, express or implied, or shall be construed to confer upon any employee of the Company or any of its Subsidiaries or any other Person any right to employment with the Surviving Entity, Parent, Parent Manager or any of their respective Affiliates for any specified period, nor shall it alter or modify the at-will employment status of the Continuing Employees. </w:t>
      </w:r>
    </w:p>
    <w:p>
      <w:pPr>
        <w:pStyle w:val="TextBody"/>
        <w:bidi w:val="0"/>
        <w:spacing w:lineRule="auto" w:line="240" w:before="0" w:after="240"/>
        <w:ind w:left="0" w:right="0" w:firstLine="720"/>
        <w:jc w:val="both"/>
        <w:rPr/>
      </w:pPr>
      <w:bookmarkStart w:id="364" w:name="ie8d9ef92c7924402af73bc1a599466ae"/>
      <w:bookmarkEnd w:id="364"/>
      <w:r>
        <w:rPr>
          <w:rFonts w:ascii="Times New Roman;serif" w:hAnsi="Times New Roman;serif"/>
          <w:b w:val="false"/>
          <w:color w:val="000000"/>
          <w:sz w:val="24"/>
        </w:rPr>
        <w:t>(l)</w:t>
      </w:r>
      <w:r>
        <w:rPr>
          <w:rFonts w:ascii="Times New Roman;serif" w:hAnsi="Times New Roman;serif"/>
          <w:b w:val="false"/>
          <w:color w:val="000000"/>
          <w:sz w:val="24"/>
          <w:shd w:fill="FFFFFF" w:val="clear"/>
        </w:rPr>
        <w:t xml:space="preserve">Each of the parties to this agreement hereby agrees that no provision of this </w:t>
      </w:r>
      <w:r>
        <w:rPr>
          <w:rFonts w:ascii="Times New Roman;serif" w:hAnsi="Times New Roman;serif"/>
          <w:b w:val="false"/>
          <w:color w:val="000000"/>
          <w:sz w:val="24"/>
          <w:u w:val="single"/>
          <w:shd w:fill="FFFFFF" w:val="clear"/>
        </w:rPr>
        <w:t>Section 6.21</w:t>
      </w:r>
      <w:r>
        <w:rPr>
          <w:color w:val="000000"/>
          <w:shd w:fill="FFFFFF" w:val="clear"/>
        </w:rPr>
        <w:t xml:space="preserve"> </w:t>
      </w:r>
      <w:r>
        <w:rPr>
          <w:rFonts w:ascii="Times New Roman;serif" w:hAnsi="Times New Roman;serif"/>
          <w:b w:val="false"/>
          <w:color w:val="000000"/>
          <w:sz w:val="24"/>
          <w:shd w:fill="FFFFFF" w:val="clear"/>
        </w:rPr>
        <w:t>is intended to, and that no such provision does, confer upon any Person other than the party hereto any right to or remedies hereunder, including the right to enforce any obligations of any party hereto contained herein. Nothing in this Agreement, express or implied, will be construed to prevent a party hereto or any of its Affiliates (including the Surviving Entity or its Affiliates) after the Closing from: (i) terminating, or modifying the terms of employment of, any employees; or (ii) adopting, amending, terminating or modifying (for any purpose) to any extent any Benefit Plan or any other employee benefit plan, program, Contract, agreement or arrangement. Nothing in this Agreement will be construed as an amendment or modification (for any purpose) to any Benefit Plan or any other compensation or benefit plans maintained for or provided to directors, managers, officers, employees or independent contractors of Parent, the Company, its successor or their respective Affiliates prior to or following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365" w:name="ibe7bff78c787449b96f6d696d8e402b6"/>
      <w:bookmarkEnd w:id="365"/>
      <w:r>
        <w:rPr>
          <w:rFonts w:ascii="Times New Roman;serif" w:hAnsi="Times New Roman;serif"/>
          <w:b w:val="false"/>
          <w:color w:val="000000"/>
          <w:sz w:val="24"/>
        </w:rPr>
        <w:t>Article VII</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CONDITIONS PRECEDENT TO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66" w:name="id104c23a558e409998bc296aa2a8a5af"/>
      <w:bookmarkEnd w:id="366"/>
      <w:r>
        <w:rPr>
          <w:rFonts w:ascii="Times New Roman;serif" w:hAnsi="Times New Roman;serif"/>
          <w:b w:val="false"/>
          <w:color w:val="000000"/>
          <w:sz w:val="24"/>
        </w:rPr>
        <w:t>7.1.</w:t>
      </w:r>
      <w:r>
        <w:rPr>
          <w:rFonts w:ascii="Times New Roman;serif" w:hAnsi="Times New Roman;serif"/>
          <w:b w:val="false"/>
          <w:color w:val="000000"/>
          <w:sz w:val="24"/>
          <w:u w:val="single"/>
          <w:shd w:fill="FFFFFF" w:val="clear"/>
        </w:rPr>
        <w:t>Conditions to Each Party’s Obligations</w:t>
      </w:r>
      <w:r>
        <w:rPr>
          <w:rFonts w:ascii="Times New Roman;serif" w:hAnsi="Times New Roman;serif"/>
          <w:b w:val="false"/>
          <w:color w:val="000000"/>
          <w:sz w:val="24"/>
        </w:rPr>
        <w:t xml:space="preserve">. The obligations of the Company, the Company Operating Partnership, Parent, Merger Sub and Parent Manager to complete the Closing and effect the Mergers under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this Agreement are subject to the satisfaction of the following conditions precedent on or before the Closing:</w:t>
      </w:r>
    </w:p>
    <w:p>
      <w:pPr>
        <w:pStyle w:val="TextBody"/>
        <w:bidi w:val="0"/>
        <w:spacing w:lineRule="auto" w:line="240" w:before="0" w:after="240"/>
        <w:ind w:left="0" w:right="0" w:firstLine="720"/>
        <w:jc w:val="both"/>
        <w:rPr/>
      </w:pPr>
      <w:bookmarkStart w:id="367" w:name="i1d695264a6944480a064acd4e9fbdb57"/>
      <w:bookmarkEnd w:id="367"/>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No Prohibition</w:t>
      </w:r>
      <w:r>
        <w:rPr>
          <w:rFonts w:ascii="Times New Roman;serif" w:hAnsi="Times New Roman;serif"/>
          <w:b w:val="false"/>
          <w:color w:val="000000"/>
          <w:sz w:val="24"/>
          <w:shd w:fill="FFFFFF" w:val="clear"/>
        </w:rPr>
        <w:t>. No Governmental Authority of competent jurisdiction shall have, after the date of this Agreement, (i) enacted, issued or promulgated any Law that is in effect; or (ii) issued or granted any Order or injunction (whether temporary, preliminary or permanent) that is in effect, in each case which has the effect of restraining, enjoining or prohibiting the consummation of the Mergers.</w:t>
      </w:r>
    </w:p>
    <w:p>
      <w:pPr>
        <w:pStyle w:val="TextBody"/>
        <w:bidi w:val="0"/>
        <w:spacing w:lineRule="auto" w:line="240" w:before="0" w:after="240"/>
        <w:ind w:left="0" w:right="0" w:firstLine="720"/>
        <w:jc w:val="both"/>
        <w:rPr/>
      </w:pPr>
      <w:bookmarkStart w:id="368" w:name="icbfe403c0bec4b6eb77ae87dd1722e18"/>
      <w:bookmarkEnd w:id="368"/>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Stockholder Approval</w:t>
      </w:r>
      <w:r>
        <w:rPr>
          <w:rFonts w:ascii="Times New Roman;serif" w:hAnsi="Times New Roman;serif"/>
          <w:b w:val="false"/>
          <w:color w:val="000000"/>
          <w:sz w:val="24"/>
          <w:shd w:fill="FFFFFF" w:val="clear"/>
        </w:rPr>
        <w:t>. (i) The Company Stockholder Approval shall have been obtained and (ii) the Parent Stockholder Approval shall have been obtained.</w:t>
      </w:r>
    </w:p>
    <w:p>
      <w:pPr>
        <w:pStyle w:val="TextBody"/>
        <w:bidi w:val="0"/>
        <w:spacing w:lineRule="auto" w:line="240" w:before="0" w:after="240"/>
        <w:ind w:left="0" w:right="0" w:firstLine="720"/>
        <w:jc w:val="both"/>
        <w:rPr/>
      </w:pPr>
      <w:bookmarkStart w:id="369" w:name="ie7d1a0c7e36345d4871dc9759ddd7a35"/>
      <w:bookmarkEnd w:id="369"/>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Form S-4</w:t>
      </w:r>
      <w:r>
        <w:rPr>
          <w:rFonts w:ascii="Times New Roman;serif" w:hAnsi="Times New Roman;serif"/>
          <w:b w:val="false"/>
          <w:color w:val="000000"/>
          <w:sz w:val="24"/>
          <w:shd w:fill="FFFFFF" w:val="clear"/>
        </w:rPr>
        <w:t>. The Form S-4 shall have been declared effective by the SEC under the Securities Act and no stop order suspending the effectiveness of the Form S-4 shall be in effect and no proceedings for such purpose shall be pending before or threatened by the SEC.</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60705"/>
                <wp:effectExtent l="0" t="0" r="0" b="0"/>
                <wp:wrapNone/>
                <wp:docPr id="100" name="Frame10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70" w:name="i9cffd9082796409c8d9b678bc9851442"/>
      <w:bookmarkEnd w:id="370"/>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Parent Common Stock and Parent Preferred Stock</w:t>
      </w:r>
      <w:r>
        <w:rPr>
          <w:rFonts w:ascii="Times New Roman;serif" w:hAnsi="Times New Roman;serif"/>
          <w:b w:val="false"/>
          <w:color w:val="000000"/>
          <w:sz w:val="24"/>
          <w:shd w:fill="FFFFFF" w:val="clear"/>
        </w:rPr>
        <w:t>. The shares of Parent Common Stock, Parent Series D Cumulative Redeemable Preferred Stock and Parent Series E Cumulative Redeemable Preferred Stock to be issued in the Mergers shall have been approved for listing on the NYSE, subject to official notice of issuance.</w:t>
      </w:r>
    </w:p>
    <w:p>
      <w:pPr>
        <w:pStyle w:val="TextBody"/>
        <w:bidi w:val="0"/>
        <w:spacing w:lineRule="auto" w:line="240" w:before="0" w:after="240"/>
        <w:ind w:left="0" w:right="0" w:firstLine="720"/>
        <w:jc w:val="both"/>
        <w:rPr/>
      </w:pPr>
      <w:bookmarkStart w:id="371" w:name="i440f144f3cee4c08b9a62b735b1f4158"/>
      <w:bookmarkEnd w:id="371"/>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Regulatory Approval</w:t>
      </w:r>
      <w:r>
        <w:rPr>
          <w:rFonts w:ascii="Times New Roman;serif" w:hAnsi="Times New Roman;serif"/>
          <w:b w:val="false"/>
          <w:color w:val="000000"/>
          <w:sz w:val="24"/>
          <w:shd w:fill="FFFFFF" w:val="clear"/>
        </w:rPr>
        <w:t xml:space="preserve">. Each of the consents, authorizations and approvals from the Governmental Authorities set forth on </w:t>
      </w:r>
      <w:r>
        <w:rPr>
          <w:rFonts w:ascii="Times New Roman;serif" w:hAnsi="Times New Roman;serif"/>
          <w:b w:val="false"/>
          <w:color w:val="000000"/>
          <w:sz w:val="24"/>
          <w:u w:val="single"/>
          <w:shd w:fill="FFFFFF" w:val="clear"/>
        </w:rPr>
        <w:t>Section 7.1(e)(i)</w:t>
      </w:r>
      <w:r>
        <w:rPr>
          <w:color w:val="000000"/>
          <w:shd w:fill="FFFFFF" w:val="clear"/>
        </w:rPr>
        <w:t xml:space="preserve"> </w:t>
      </w:r>
      <w:r>
        <w:rPr>
          <w:rFonts w:ascii="Times New Roman;serif" w:hAnsi="Times New Roman;serif"/>
          <w:b w:val="false"/>
          <w:color w:val="000000"/>
          <w:sz w:val="24"/>
          <w:shd w:fill="FFFFFF" w:val="clear"/>
        </w:rPr>
        <w:t>of the Company Disclosure Letter (collectively, the “</w:t>
      </w:r>
      <w:r>
        <w:rPr>
          <w:rFonts w:ascii="Times New Roman;serif" w:hAnsi="Times New Roman;serif"/>
          <w:b w:val="false"/>
          <w:color w:val="000000"/>
          <w:sz w:val="24"/>
          <w:u w:val="single"/>
          <w:shd w:fill="FFFFFF" w:val="clear"/>
        </w:rPr>
        <w:t>Required Regulatory Approvals</w:t>
      </w:r>
      <w:r>
        <w:rPr>
          <w:color w:val="000000"/>
          <w:shd w:fill="FFFFFF" w:val="clear"/>
        </w:rPr>
        <w:t>”</w:t>
      </w:r>
      <w:r>
        <w:rPr>
          <w:rFonts w:ascii="Times New Roman;serif" w:hAnsi="Times New Roman;serif"/>
          <w:b w:val="false"/>
          <w:color w:val="000000"/>
          <w:sz w:val="24"/>
          <w:shd w:fill="FFFFFF" w:val="clear"/>
        </w:rPr>
        <w:t>) shall have been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72" w:name="i1b9da52986dd4a02b517bd128c084c88"/>
      <w:bookmarkEnd w:id="372"/>
      <w:r>
        <w:rPr>
          <w:rFonts w:ascii="Times New Roman;serif" w:hAnsi="Times New Roman;serif"/>
          <w:b w:val="false"/>
          <w:color w:val="000000"/>
          <w:sz w:val="24"/>
        </w:rPr>
        <w:t>7.2.</w:t>
      </w:r>
      <w:r>
        <w:rPr>
          <w:rFonts w:ascii="Times New Roman;serif" w:hAnsi="Times New Roman;serif"/>
          <w:b w:val="false"/>
          <w:color w:val="000000"/>
          <w:sz w:val="24"/>
          <w:u w:val="single"/>
          <w:shd w:fill="FFFFFF" w:val="clear"/>
        </w:rPr>
        <w:t>Conditions to Obligations of Parent, Merger Sub and Parent Manager</w:t>
      </w:r>
      <w:r>
        <w:rPr>
          <w:rFonts w:ascii="Times New Roman;serif" w:hAnsi="Times New Roman;serif"/>
          <w:b w:val="false"/>
          <w:color w:val="000000"/>
          <w:sz w:val="24"/>
          <w:shd w:fill="FFFFFF" w:val="clear"/>
        </w:rPr>
        <w:t xml:space="preserve">. The obligations of Parent, Merger Sub and Parent Manager to complete the Closing and effect the Mergers under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of this Agreement are further subject to the satisfaction (or waiver in writing by Parent, Merger Sub and Parent Manager, to the extent permitted under applicable Law) of the following conditions precedent on or before the Closing:</w:t>
      </w:r>
    </w:p>
    <w:p>
      <w:pPr>
        <w:pStyle w:val="TextBody"/>
        <w:bidi w:val="0"/>
        <w:spacing w:lineRule="auto" w:line="240" w:before="0" w:after="240"/>
        <w:ind w:left="0" w:right="0" w:firstLine="720"/>
        <w:jc w:val="both"/>
        <w:rPr/>
      </w:pPr>
      <w:bookmarkStart w:id="373" w:name="i1264f0268b6b4246b67fe3af1574666d"/>
      <w:bookmarkEnd w:id="373"/>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representations and warranties of the Company and the Company Operating Partnership set forth in (i) </w:t>
      </w:r>
      <w:r>
        <w:rPr>
          <w:rFonts w:ascii="Times New Roman;serif" w:hAnsi="Times New Roman;serif"/>
          <w:b w:val="false"/>
          <w:color w:val="000000"/>
          <w:sz w:val="24"/>
          <w:u w:val="single"/>
          <w:shd w:fill="FFFFFF" w:val="clear"/>
        </w:rPr>
        <w:t>Sections 4.1(d)(i)-(iv)</w:t>
      </w:r>
      <w:r>
        <w:rPr>
          <w:color w:val="000000"/>
          <w:shd w:fill="FFFFFF" w:val="clear"/>
        </w:rPr>
        <w:t xml:space="preserve"> </w:t>
      </w:r>
      <w:r>
        <w:rPr>
          <w:rFonts w:ascii="Times New Roman;serif" w:hAnsi="Times New Roman;serif"/>
          <w:b w:val="false"/>
          <w:color w:val="000000"/>
          <w:sz w:val="24"/>
          <w:shd w:fill="FFFFFF" w:val="clear"/>
        </w:rPr>
        <w:t xml:space="preserve">shall be true and correct (except for any </w:t>
      </w:r>
      <w:r>
        <w:rPr>
          <w:rFonts w:ascii="Times New Roman;serif" w:hAnsi="Times New Roman;serif"/>
          <w:b w:val="false"/>
          <w:i/>
          <w:color w:val="000000"/>
          <w:sz w:val="24"/>
          <w:shd w:fill="FFFFFF" w:val="clear"/>
        </w:rPr>
        <w:t>de minimis</w:t>
      </w:r>
      <w:r>
        <w:rPr>
          <w:color w:val="000000"/>
          <w:shd w:fill="FFFFFF" w:val="clear"/>
        </w:rPr>
        <w:t xml:space="preserve"> </w:t>
      </w:r>
      <w:r>
        <w:rPr>
          <w:rFonts w:ascii="Times New Roman;serif" w:hAnsi="Times New Roman;serif"/>
          <w:b w:val="false"/>
          <w:color w:val="000000"/>
          <w:sz w:val="24"/>
          <w:shd w:fill="FFFFFF" w:val="clear"/>
        </w:rPr>
        <w:t xml:space="preserve">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(ii) </w:t>
      </w:r>
      <w:r>
        <w:rPr>
          <w:rFonts w:ascii="Times New Roman;serif" w:hAnsi="Times New Roman;serif"/>
          <w:b w:val="false"/>
          <w:color w:val="000000"/>
          <w:sz w:val="24"/>
          <w:u w:val="single"/>
          <w:shd w:fill="FFFFFF" w:val="clear"/>
        </w:rPr>
        <w:t>Section 4.1(a)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4.1(d)(v)</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4.2</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4.3(a)(i)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4.18</w:t>
      </w:r>
      <w:r>
        <w:rPr>
          <w:color w:val="000000"/>
          <w:shd w:fill="FFFFFF" w:val="clear"/>
        </w:rPr>
        <w:t xml:space="preserve"> </w:t>
      </w:r>
      <w:r>
        <w:rPr>
          <w:rFonts w:ascii="Times New Roman;serif" w:hAnsi="Times New Roman;serif"/>
          <w:b w:val="false"/>
          <w:color w:val="000000"/>
          <w:sz w:val="24"/>
          <w:shd w:fill="FFFFFF" w:val="clear"/>
        </w:rPr>
        <w:t>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w:t>
      </w:r>
      <w:r>
        <w:rPr>
          <w:color w:val="000000"/>
        </w:rPr>
        <w:t xml:space="preserve"> </w:t>
      </w:r>
      <w:r>
        <w:rPr>
          <w:rFonts w:ascii="Times New Roman;serif" w:hAnsi="Times New Roman;serif"/>
          <w:b w:val="false"/>
          <w:color w:val="000000"/>
          <w:sz w:val="24"/>
          <w:shd w:fill="FFFFFF" w:val="clear"/>
        </w:rPr>
        <w:t xml:space="preserve">the second sentence of </w:t>
      </w:r>
      <w:r>
        <w:rPr>
          <w:rFonts w:ascii="Times New Roman;serif" w:hAnsi="Times New Roman;serif"/>
          <w:b w:val="false"/>
          <w:color w:val="000000"/>
          <w:sz w:val="24"/>
          <w:u w:val="single"/>
          <w:shd w:fill="FFFFFF" w:val="clear"/>
        </w:rPr>
        <w:t>Section 4.15</w:t>
      </w:r>
      <w:r>
        <w:rPr>
          <w:color w:val="000000"/>
          <w:shd w:fill="FFFFFF" w:val="clear"/>
        </w:rPr>
        <w:t xml:space="preserve"> </w:t>
      </w:r>
      <w:r>
        <w:rPr>
          <w:rFonts w:ascii="Times New Roman;serif" w:hAnsi="Times New Roman;serif"/>
          <w:b w:val="false"/>
          <w:color w:val="000000"/>
          <w:sz w:val="24"/>
          <w:shd w:fill="FFFFFF" w:val="clear"/>
        </w:rPr>
        <w:t xml:space="preserve">shall be true and correct in all respects as of the date of this Agreement and as of the Closing Date as though made as of the Closing Date, and (iv) </w:t>
      </w:r>
      <w:r>
        <w:rPr>
          <w:rFonts w:ascii="Times New Roman;serif" w:hAnsi="Times New Roman;serif"/>
          <w:b w:val="false"/>
          <w:color w:val="000000"/>
          <w:sz w:val="24"/>
          <w:u w:val="single"/>
          <w:shd w:fill="FFFFFF" w:val="clear"/>
        </w:rPr>
        <w:t>Article IV</w:t>
      </w:r>
      <w:r>
        <w:rPr>
          <w:rFonts w:ascii="Times New Roman;serif" w:hAnsi="Times New Roman;serif"/>
          <w:b w:val="false"/>
          <w:color w:val="000000"/>
          <w:sz w:val="24"/>
          <w:shd w:fill="FFFFFF" w:val="clear"/>
        </w:rPr>
        <w:t xml:space="preserve">, other than the representations and warranties listed in the immediately preceding </w:t>
      </w:r>
      <w:r>
        <w:rPr>
          <w:rFonts w:ascii="Times New Roman;serif" w:hAnsi="Times New Roman;serif"/>
          <w:b w:val="false"/>
          <w:color w:val="000000"/>
          <w:sz w:val="24"/>
          <w:u w:val="single"/>
          <w:shd w:fill="FFFFFF" w:val="clear"/>
        </w:rPr>
        <w:t>clauses (i)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shall be true and correct as of the date of this Agreement and as of the Closing Date (without giving effect to any “materiality” or “Company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w:t>
      </w:r>
      <w:r>
        <w:rPr>
          <w:rFonts w:ascii="Times New Roman;serif" w:hAnsi="Times New Roman;serif"/>
          <w:b w:val="false"/>
          <w:color w:val="000000"/>
          <w:sz w:val="24"/>
          <w:u w:val="single"/>
          <w:shd w:fill="FFFFFF" w:val="clear"/>
        </w:rPr>
        <w:t>clause (iv)</w:t>
      </w:r>
      <w:r>
        <w:rPr>
          <w:rFonts w:ascii="Times New Roman;serif" w:hAnsi="Times New Roman;serif"/>
          <w:b w:val="false"/>
          <w:color w:val="000000"/>
          <w:sz w:val="24"/>
          <w:shd w:fill="FFFFFF" w:val="clear"/>
        </w:rPr>
        <w:t>, for such failures to be true and correct as have not had and would not reasonably be expected to have, individually or in the aggregate, a Company Material Adverse Effect.</w:t>
      </w:r>
    </w:p>
    <w:p>
      <w:pPr>
        <w:pStyle w:val="TextBody"/>
        <w:bidi w:val="0"/>
        <w:spacing w:lineRule="auto" w:line="240" w:before="0" w:after="240"/>
        <w:ind w:left="0" w:right="0" w:firstLine="720"/>
        <w:jc w:val="both"/>
        <w:rPr/>
      </w:pPr>
      <w:bookmarkStart w:id="374" w:name="id92f7cd573cd4a1cacb88e9d830f149b"/>
      <w:bookmarkEnd w:id="374"/>
      <w:r>
        <w:rPr>
          <w:rFonts w:ascii="Times New Roman;serif" w:hAnsi="Times New Roman;serif"/>
          <w:b w:val="false"/>
          <w:color w:val="000000"/>
          <w:sz w:val="24"/>
        </w:rPr>
        <w:t>(b)</w:t>
      </w:r>
      <w:r>
        <w:rPr>
          <w:rFonts w:ascii="Times New Roman;serif" w:hAnsi="Times New Roman;serif"/>
          <w:b w:val="false"/>
          <w:color w:val="000000"/>
          <w:sz w:val="24"/>
          <w:shd w:fill="FFFFFF" w:val="clear"/>
        </w:rPr>
        <w:t>Each of the Company and the Company Operating Partnership shall have duly performed and complied with, in all material respects, the covenants, obligations and agreements contained in this Agreement to be performed and complied with by it at or prior to the Closing.</w:t>
      </w:r>
    </w:p>
    <w:p>
      <w:pPr>
        <w:pStyle w:val="TextBody"/>
        <w:bidi w:val="0"/>
        <w:spacing w:lineRule="auto" w:line="240" w:before="0" w:after="240"/>
        <w:ind w:left="0" w:right="0" w:firstLine="720"/>
        <w:jc w:val="both"/>
        <w:rPr/>
      </w:pPr>
      <w:bookmarkStart w:id="375" w:name="ife3cac176ce44854855b07bda65c1d40"/>
      <w:bookmarkEnd w:id="375"/>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and Merger Sub shall have received a certificate executed on behalf of the Company by its Chief Executive Officer or Chief Financial Officer confirming that the conditions set forth in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(b)</w:t>
      </w:r>
      <w:r>
        <w:rPr>
          <w:color w:val="000000"/>
          <w:shd w:fill="FFFFFF" w:val="clear"/>
        </w:rPr>
        <w:t xml:space="preserve"> </w:t>
      </w:r>
      <w:r>
        <w:rPr>
          <w:rFonts w:ascii="Times New Roman;serif" w:hAnsi="Times New Roman;serif"/>
          <w:b w:val="false"/>
          <w:color w:val="000000"/>
          <w:sz w:val="24"/>
          <w:shd w:fill="FFFFFF" w:val="clear"/>
        </w:rPr>
        <w:t xml:space="preserve">of this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have been duly satisfied.</w:t>
      </w:r>
    </w:p>
    <w:p>
      <w:pPr>
        <w:pStyle w:val="TextBody"/>
        <w:bidi w:val="0"/>
        <w:spacing w:lineRule="auto" w:line="240" w:before="0" w:after="240"/>
        <w:ind w:left="0" w:right="0" w:firstLine="720"/>
        <w:jc w:val="both"/>
        <w:rPr/>
      </w:pPr>
      <w:bookmarkStart w:id="376" w:name="i8dece2483b7b4697a070df7e659535c7"/>
      <w:bookmarkEnd w:id="376"/>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Parent shall have received a written opinion of Mayer Brown LLP (or other counsel to the Company reasonably satisfactory to Parent), dated as of the Closing Date and in substantially the form attached hereto as </w:t>
      </w:r>
      <w:r>
        <w:rPr>
          <w:rFonts w:ascii="Times New Roman;serif" w:hAnsi="Times New Roman;serif"/>
          <w:b w:val="false"/>
          <w:color w:val="000000"/>
          <w:sz w:val="24"/>
          <w:u w:val="single"/>
          <w:shd w:fill="FFFFFF" w:val="clear"/>
        </w:rPr>
        <w:t>Annex C</w:t>
      </w:r>
      <w:r>
        <w:rPr>
          <w:rFonts w:ascii="Times New Roman;serif" w:hAnsi="Times New Roman;serif"/>
          <w:b w:val="false"/>
          <w:color w:val="000000"/>
          <w:sz w:val="24"/>
          <w:shd w:fill="FFFFFF" w:val="clear"/>
        </w:rPr>
        <w:t xml:space="preserve">, to the effect that, on the basis of the facts, representations and assumptions set forth or referred to in such opinion, commencing with the Company’s taxable year ended December 31, 2020, the Company has been organized and operated in conformity with the requirements for qualification and taxation as a REIT under the Code and its actual method of operation has enabled the Company to meet, through the Company Merger Effective Time, the requirements for qualification and taxation as a REIT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60705"/>
                <wp:effectExtent l="0" t="0" r="0" b="0"/>
                <wp:wrapNone/>
                <wp:docPr id="101" name="Frame10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under the Code. In rendering the opinion described in this </w:t>
      </w:r>
      <w:r>
        <w:rPr>
          <w:rFonts w:ascii="Times New Roman;serif" w:hAnsi="Times New Roman;serif"/>
          <w:b w:val="false"/>
          <w:color w:val="000000"/>
          <w:sz w:val="24"/>
          <w:u w:val="single"/>
          <w:shd w:fill="FFFFFF" w:val="clear"/>
        </w:rPr>
        <w:t>Section 7.2(d)</w:t>
      </w:r>
      <w:r>
        <w:rPr>
          <w:rFonts w:ascii="Times New Roman;serif" w:hAnsi="Times New Roman;serif"/>
          <w:b w:val="false"/>
          <w:color w:val="000000"/>
          <w:sz w:val="24"/>
          <w:shd w:fill="FFFFFF" w:val="clear"/>
        </w:rPr>
        <w:t xml:space="preserve">, counsel shall be entitled to require and rely upon customary representations contained in certificates of officers of the Company and Parent;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Parent and the Company are given a reasonable opportunity to review such representations and find them to be reasonably satisfactory in form and substance.</w:t>
      </w:r>
    </w:p>
    <w:p>
      <w:pPr>
        <w:pStyle w:val="TextBody"/>
        <w:bidi w:val="0"/>
        <w:spacing w:lineRule="auto" w:line="240" w:before="0" w:after="240"/>
        <w:ind w:left="0" w:right="0" w:firstLine="720"/>
        <w:jc w:val="both"/>
        <w:rPr/>
      </w:pPr>
      <w:bookmarkStart w:id="377" w:name="ieedd9db83988472ca4b2ebbb635d0b76"/>
      <w:bookmarkEnd w:id="377"/>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Parent shall have received a written opinion of Hunton Andrews Kurth LLP, dated as of the Closing Date and in substantially the form attached hereto as </w:t>
      </w:r>
      <w:r>
        <w:rPr>
          <w:rFonts w:ascii="Times New Roman;serif" w:hAnsi="Times New Roman;serif"/>
          <w:b w:val="false"/>
          <w:color w:val="000000"/>
          <w:sz w:val="24"/>
          <w:u w:val="single"/>
          <w:shd w:fill="FFFFFF" w:val="clear"/>
        </w:rPr>
        <w:t>Annex D</w:t>
      </w:r>
      <w:r>
        <w:rPr>
          <w:rFonts w:ascii="Times New Roman;serif" w:hAnsi="Times New Roman;serif"/>
          <w:b w:val="false"/>
          <w:color w:val="000000"/>
          <w:sz w:val="24"/>
          <w:shd w:fill="FFFFFF" w:val="clear"/>
        </w:rPr>
        <w:t xml:space="preserve">,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serif" w:hAnsi="Times New Roman;serif"/>
          <w:b w:val="false"/>
          <w:color w:val="000000"/>
          <w:sz w:val="24"/>
          <w:u w:val="single"/>
          <w:shd w:fill="FFFFFF" w:val="clear"/>
        </w:rPr>
        <w:t>Section 7.2(e)</w:t>
      </w:r>
      <w:r>
        <w:rPr>
          <w:rFonts w:ascii="Times New Roman;serif" w:hAnsi="Times New Roman;serif"/>
          <w:b w:val="false"/>
          <w:color w:val="000000"/>
          <w:sz w:val="24"/>
          <w:shd w:fill="FFFFFF" w:val="clear"/>
        </w:rPr>
        <w:t xml:space="preserve">, counsel shall be entitled to require and rely upon customary representations contained in certificates of officers of the Company and Parent;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Parent and the Company are given a reasonable opportunity to review such representations and find them to be reasonably satisfactory in form and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78" w:name="i93e13a894e0b47aabf5fba5c7d92a9ed"/>
      <w:bookmarkEnd w:id="378"/>
      <w:r>
        <w:rPr>
          <w:rFonts w:ascii="Times New Roman;serif" w:hAnsi="Times New Roman;serif"/>
          <w:b w:val="false"/>
          <w:color w:val="000000"/>
          <w:sz w:val="24"/>
        </w:rPr>
        <w:t>7.3.</w:t>
      </w:r>
      <w:r>
        <w:rPr>
          <w:rFonts w:ascii="Times New Roman;serif" w:hAnsi="Times New Roman;serif"/>
          <w:b w:val="false"/>
          <w:color w:val="000000"/>
          <w:sz w:val="24"/>
          <w:u w:val="single"/>
          <w:shd w:fill="FFFFFF" w:val="clear"/>
        </w:rPr>
        <w:t>Conditions to Obligations of the Company and the Company Operating Partnership</w:t>
      </w:r>
      <w:r>
        <w:rPr>
          <w:rFonts w:ascii="Times New Roman;serif" w:hAnsi="Times New Roman;serif"/>
          <w:b w:val="false"/>
          <w:color w:val="000000"/>
          <w:sz w:val="24"/>
          <w:shd w:fill="FFFFFF" w:val="clear"/>
        </w:rPr>
        <w:t>. The obligation of the Company and the Company Operating Partnership to complete the Closing and effect the Mergers are further subject to the satisfaction (or waiver in writing by the Company and the Company Operating Partnership, to the extent permitted under applicable Law) of the following conditions precedent on or before the Closing:</w:t>
      </w:r>
    </w:p>
    <w:p>
      <w:pPr>
        <w:pStyle w:val="TextBody"/>
        <w:bidi w:val="0"/>
        <w:spacing w:lineRule="auto" w:line="240" w:before="0" w:after="240"/>
        <w:ind w:left="0" w:right="0" w:firstLine="720"/>
        <w:jc w:val="both"/>
        <w:rPr/>
      </w:pPr>
      <w:bookmarkStart w:id="379" w:name="i85ebbfc5acb5481686f199e461dcb6ac"/>
      <w:bookmarkEnd w:id="379"/>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representations and warranties of Parent, Merger Sub and, as applicable, Parent Manager set forth in (i) </w:t>
      </w:r>
      <w:r>
        <w:rPr>
          <w:rFonts w:ascii="Times New Roman;serif" w:hAnsi="Times New Roman;serif"/>
          <w:b w:val="false"/>
          <w:color w:val="000000"/>
          <w:sz w:val="24"/>
          <w:u w:val="single"/>
          <w:shd w:fill="FFFFFF" w:val="clear"/>
        </w:rPr>
        <w:t>Sections 5.1(c)(i)</w:t>
      </w:r>
      <w:r>
        <w:rPr>
          <w:rFonts w:ascii="Times New Roman;serif" w:hAnsi="Times New Roman;serif"/>
          <w:b w:val="false"/>
          <w:color w:val="000000"/>
          <w:sz w:val="24"/>
          <w:shd w:fill="FFFFFF" w:val="clear"/>
        </w:rPr>
        <w:t>-</w:t>
      </w:r>
      <w:r>
        <w:rPr>
          <w:rFonts w:ascii="Times New Roman;serif" w:hAnsi="Times New Roman;serif"/>
          <w:b w:val="false"/>
          <w:color w:val="000000"/>
          <w:sz w:val="24"/>
          <w:u w:val="single"/>
          <w:shd w:fill="FFFFFF" w:val="clear"/>
        </w:rPr>
        <w:t>(iii)</w:t>
      </w:r>
      <w:r>
        <w:rPr>
          <w:color w:val="000000"/>
          <w:shd w:fill="FFFFFF" w:val="clear"/>
        </w:rPr>
        <w:t xml:space="preserve"> </w:t>
      </w:r>
      <w:r>
        <w:rPr>
          <w:rFonts w:ascii="Times New Roman;serif" w:hAnsi="Times New Roman;serif"/>
          <w:b w:val="false"/>
          <w:color w:val="000000"/>
          <w:sz w:val="24"/>
          <w:shd w:fill="FFFFFF" w:val="clear"/>
        </w:rPr>
        <w:t xml:space="preserve">shall be true and correct (except for any </w:t>
      </w:r>
      <w:r>
        <w:rPr>
          <w:rFonts w:ascii="Times New Roman;serif" w:hAnsi="Times New Roman;serif"/>
          <w:b w:val="false"/>
          <w:i/>
          <w:color w:val="000000"/>
          <w:sz w:val="24"/>
          <w:shd w:fill="FFFFFF" w:val="clear"/>
        </w:rPr>
        <w:t>de minimis</w:t>
      </w:r>
      <w:r>
        <w:rPr>
          <w:color w:val="000000"/>
          <w:shd w:fill="FFFFFF" w:val="clear"/>
        </w:rPr>
        <w:t xml:space="preserve"> </w:t>
      </w:r>
      <w:r>
        <w:rPr>
          <w:rFonts w:ascii="Times New Roman;serif" w:hAnsi="Times New Roman;serif"/>
          <w:b w:val="false"/>
          <w:color w:val="000000"/>
          <w:sz w:val="24"/>
          <w:shd w:fill="FFFFFF" w:val="clear"/>
        </w:rPr>
        <w:t xml:space="preserve">inaccuracies) as of the Closing Date as though made as of the date of this Agreement and as of the Closing Date (except to the extent that any such representation and warranty speaks as of any earlier date, in which case such representation and warranty shall be true and correct as of such earlier date), (ii) </w:t>
      </w:r>
      <w:r>
        <w:rPr>
          <w:rFonts w:ascii="Times New Roman;serif" w:hAnsi="Times New Roman;serif"/>
          <w:b w:val="false"/>
          <w:color w:val="000000"/>
          <w:sz w:val="24"/>
          <w:u w:val="single"/>
          <w:shd w:fill="FFFFFF" w:val="clear"/>
        </w:rPr>
        <w:t>Section 5.1(a)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5.1(c)(iv)</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5.2</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5.3</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5.15</w:t>
      </w:r>
      <w:r>
        <w:rPr>
          <w:color w:val="000000"/>
          <w:shd w:fill="FFFFFF" w:val="clear"/>
        </w:rPr>
        <w:t xml:space="preserve"> </w:t>
      </w:r>
      <w:r>
        <w:rPr>
          <w:rFonts w:ascii="Times New Roman;serif" w:hAnsi="Times New Roman;serif"/>
          <w:b w:val="false"/>
          <w:color w:val="000000"/>
          <w:sz w:val="24"/>
          <w:shd w:fill="FFFFFF" w:val="clear"/>
        </w:rPr>
        <w:t xml:space="preserve">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 the second sentence of </w:t>
      </w:r>
      <w:r>
        <w:rPr>
          <w:rFonts w:ascii="Times New Roman;serif" w:hAnsi="Times New Roman;serif"/>
          <w:b w:val="false"/>
          <w:color w:val="000000"/>
          <w:sz w:val="24"/>
          <w:u w:val="single"/>
          <w:shd w:fill="FFFFFF" w:val="clear"/>
        </w:rPr>
        <w:t>Section 5.12</w:t>
      </w:r>
      <w:r>
        <w:rPr>
          <w:color w:val="000000"/>
          <w:shd w:fill="FFFFFF" w:val="clear"/>
        </w:rPr>
        <w:t xml:space="preserve"> </w:t>
      </w:r>
      <w:r>
        <w:rPr>
          <w:rFonts w:ascii="Times New Roman;serif" w:hAnsi="Times New Roman;serif"/>
          <w:b w:val="false"/>
          <w:color w:val="000000"/>
          <w:sz w:val="24"/>
          <w:shd w:fill="FFFFFF" w:val="clear"/>
        </w:rPr>
        <w:t xml:space="preserve">shall be true and correct in all respects as of the date of this Agreement and as of the Closing Date as though made as of the Closing Date, and (iv) </w:t>
      </w:r>
      <w:r>
        <w:rPr>
          <w:rFonts w:ascii="Times New Roman;serif" w:hAnsi="Times New Roman;serif"/>
          <w:b w:val="false"/>
          <w:color w:val="000000"/>
          <w:sz w:val="24"/>
          <w:u w:val="single"/>
          <w:shd w:fill="FFFFFF" w:val="clear"/>
        </w:rPr>
        <w:t>Article V</w:t>
      </w:r>
      <w:r>
        <w:rPr>
          <w:rFonts w:ascii="Times New Roman;serif" w:hAnsi="Times New Roman;serif"/>
          <w:b w:val="false"/>
          <w:color w:val="000000"/>
          <w:sz w:val="24"/>
          <w:shd w:fill="FFFFFF" w:val="clear"/>
        </w:rPr>
        <w:t xml:space="preserve">, other than the representations and warranties listed in the immediately preceding </w:t>
      </w:r>
      <w:r>
        <w:rPr>
          <w:rFonts w:ascii="Times New Roman;serif" w:hAnsi="Times New Roman;serif"/>
          <w:b w:val="false"/>
          <w:color w:val="000000"/>
          <w:sz w:val="24"/>
          <w:u w:val="single"/>
          <w:shd w:fill="FFFFFF" w:val="clear"/>
        </w:rPr>
        <w:t>clauses (i)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shall be true and correct as of the date of this Agreement and as of the Closing Date (without giving effect to any “materiality” or “Parent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w:t>
      </w:r>
      <w:r>
        <w:rPr>
          <w:rFonts w:ascii="Times New Roman;serif" w:hAnsi="Times New Roman;serif"/>
          <w:b w:val="false"/>
          <w:color w:val="000000"/>
          <w:sz w:val="24"/>
          <w:u w:val="single"/>
          <w:shd w:fill="FFFFFF" w:val="clear"/>
        </w:rPr>
        <w:t>clause (iv)</w:t>
      </w:r>
      <w:r>
        <w:rPr>
          <w:rFonts w:ascii="Times New Roman;serif" w:hAnsi="Times New Roman;serif"/>
          <w:b w:val="false"/>
          <w:color w:val="000000"/>
          <w:sz w:val="24"/>
          <w:shd w:fill="FFFFFF" w:val="clear"/>
        </w:rPr>
        <w:t>, for such failures to be true and correct as (A) in the case of Parent and Merger Sub, have not had and would not reasonably be expected to have, individually or in the aggregate, a Parent Material Adverse Effect, and (B) in the case of Parent Manager, would not reasonably be expected to materially prevent the ability of Parent Manager to consummate the Transactions before the Termination Date.</w:t>
      </w:r>
    </w:p>
    <w:p>
      <w:pPr>
        <w:pStyle w:val="TextBody"/>
        <w:bidi w:val="0"/>
        <w:spacing w:lineRule="auto" w:line="240" w:before="0" w:after="240"/>
        <w:ind w:left="0" w:right="0" w:firstLine="720"/>
        <w:jc w:val="both"/>
        <w:rPr/>
      </w:pPr>
      <w:bookmarkStart w:id="380" w:name="i9d1e7495ff7d4d1398f98c958db903f9"/>
      <w:bookmarkEnd w:id="380"/>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Merger Sub and Parent Manager shall have duly performed and complied with, in all material respects, the respective covenants, obligations and agreements contained in this Agreement to be performed and complied with by Parent, Merger Sub and Parent Manager at or prior to the Closing.</w:t>
      </w:r>
    </w:p>
    <w:p>
      <w:pPr>
        <w:pStyle w:val="TextBody"/>
        <w:bidi w:val="0"/>
        <w:spacing w:lineRule="auto" w:line="240" w:before="0" w:after="240"/>
        <w:ind w:left="0" w:right="0" w:firstLine="720"/>
        <w:jc w:val="both"/>
        <w:rPr/>
      </w:pPr>
      <w:bookmarkStart w:id="381" w:name="icdc527a037ef4eef85bcb255999bfda1"/>
      <w:bookmarkEnd w:id="381"/>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The Company shall have received (i) a certificate executed on behalf of Parent by its Chief Executive Officer or Chief Financial Officer confirming that the conditions set forth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60705"/>
                <wp:effectExtent l="0" t="0" r="0" b="0"/>
                <wp:wrapNone/>
                <wp:docPr id="102" name="Frame10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in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(b)</w:t>
      </w:r>
      <w:r>
        <w:rPr>
          <w:color w:val="000000"/>
          <w:shd w:fill="FFFFFF" w:val="clear"/>
        </w:rPr>
        <w:t xml:space="preserve"> </w:t>
      </w:r>
      <w:r>
        <w:rPr>
          <w:rFonts w:ascii="Times New Roman;serif" w:hAnsi="Times New Roman;serif"/>
          <w:b w:val="false"/>
          <w:color w:val="000000"/>
          <w:sz w:val="24"/>
          <w:shd w:fill="FFFFFF" w:val="clear"/>
        </w:rPr>
        <w:t xml:space="preserve">of this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 xml:space="preserve">(solely with respect to representations, warranties, agreements and obligations of Parent and Merger Sub) have been duly satisfied, and (ii) a certificate executed on behalf of Parent Manager by an executive officer Parent Manager confirming that the conditions set forth in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(b)</w:t>
      </w:r>
      <w:r>
        <w:rPr>
          <w:color w:val="000000"/>
          <w:shd w:fill="FFFFFF" w:val="clear"/>
        </w:rPr>
        <w:t xml:space="preserve"> </w:t>
      </w:r>
      <w:r>
        <w:rPr>
          <w:rFonts w:ascii="Times New Roman;serif" w:hAnsi="Times New Roman;serif"/>
          <w:b w:val="false"/>
          <w:color w:val="000000"/>
          <w:sz w:val="24"/>
          <w:shd w:fill="FFFFFF" w:val="clear"/>
        </w:rPr>
        <w:t xml:space="preserve">of this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(solely with respect to representations, warranties, agreements and obligations of Parent Manager) have been duly satisfied.</w:t>
      </w:r>
    </w:p>
    <w:p>
      <w:pPr>
        <w:pStyle w:val="TextBody"/>
        <w:bidi w:val="0"/>
        <w:spacing w:lineRule="auto" w:line="240" w:before="0" w:after="240"/>
        <w:ind w:left="0" w:right="0" w:firstLine="720"/>
        <w:jc w:val="both"/>
        <w:rPr/>
      </w:pPr>
      <w:bookmarkStart w:id="382" w:name="if811756a6a464dd29af85b753721ea77"/>
      <w:bookmarkEnd w:id="382"/>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The Company shall have received a written opinion of Hunton Andrews Kurth LLP (or other counsel to Parent reasonably satisfactory to the Company), dated as of the Closing Date and in substantially the form attached hereto as </w:t>
      </w:r>
      <w:r>
        <w:rPr>
          <w:rFonts w:ascii="Times New Roman;serif" w:hAnsi="Times New Roman;serif"/>
          <w:b w:val="false"/>
          <w:color w:val="000000"/>
          <w:sz w:val="24"/>
          <w:u w:val="single"/>
          <w:shd w:fill="FFFFFF" w:val="clear"/>
        </w:rPr>
        <w:t>Annex E</w:t>
      </w:r>
      <w:r>
        <w:rPr>
          <w:rFonts w:ascii="Times New Roman;serif" w:hAnsi="Times New Roman;serif"/>
          <w:b w:val="false"/>
          <w:color w:val="000000"/>
          <w:sz w:val="24"/>
          <w:shd w:fill="FFFFFF" w:val="clear"/>
        </w:rPr>
        <w:t xml:space="preserve">, to the effect that, on the basis of the facts, representations and assumptions set forth or referred to in such opinion, commencing with Parent’s taxable year ended December 31, 2020, Parent has been organized and operated in conformity with the requirements for qualification and taxation as a REIT under the Code and its actual method of operation has enabled Parent to meet, through the Company Merger Effective Time, the requirements for qualification and taxation as a REIT under the Code, and Parent’s proposed method of organization and operation will enable Parent to continue to satisfy the requirements for qualification and taxation as a REIT under the Code. In rendering the opinion described in this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counsel shall be entitled to require and rely upon customary representations contained in certificates of officers of the Company and Parent;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Parent and the Company are given a reasonable opportunity to review such representations and find them to be reasonably satisfactory in form and substance.</w:t>
      </w:r>
    </w:p>
    <w:p>
      <w:pPr>
        <w:pStyle w:val="TextBody"/>
        <w:bidi w:val="0"/>
        <w:spacing w:lineRule="auto" w:line="240" w:before="0" w:after="240"/>
        <w:ind w:left="0" w:right="0" w:firstLine="720"/>
        <w:jc w:val="both"/>
        <w:rPr/>
      </w:pPr>
      <w:bookmarkStart w:id="383" w:name="i1d1ded1974b24677a58a9325e6b49150"/>
      <w:bookmarkEnd w:id="383"/>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Company shall have received a written opinion of Mayer Brown LLP, dated as of the Closing Date and in substantially the form attached hereto as </w:t>
      </w:r>
      <w:r>
        <w:rPr>
          <w:rFonts w:ascii="Times New Roman;serif" w:hAnsi="Times New Roman;serif"/>
          <w:b w:val="false"/>
          <w:color w:val="000000"/>
          <w:sz w:val="24"/>
          <w:u w:val="single"/>
          <w:shd w:fill="FFFFFF" w:val="clear"/>
        </w:rPr>
        <w:t>Annex F</w:t>
      </w:r>
      <w:r>
        <w:rPr>
          <w:rFonts w:ascii="Times New Roman;serif" w:hAnsi="Times New Roman;serif"/>
          <w:b w:val="false"/>
          <w:color w:val="000000"/>
          <w:sz w:val="24"/>
          <w:shd w:fill="FFFFFF" w:val="clear"/>
        </w:rPr>
        <w:t xml:space="preserve">,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xml:space="preserve">, counsel shall be entitled to require and rely upon customary representations contained in certificates of officers of the Company and Parent;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Parent and the Company are given a reasonable opportunity to review such representations and find them to be reasonably satisfactory in form and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384" w:name="i0a59fce7ebd94937ad9a6db14e1bfca6"/>
      <w:bookmarkEnd w:id="384"/>
      <w:r>
        <w:rPr>
          <w:rFonts w:ascii="Times New Roman;serif" w:hAnsi="Times New Roman;serif"/>
          <w:b w:val="false"/>
          <w:color w:val="000000"/>
          <w:sz w:val="24"/>
        </w:rPr>
        <w:t>Article VIII</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385" w:name="ic62e420d16734c1394414dfb16c526fd"/>
      <w:bookmarkEnd w:id="385"/>
      <w:r>
        <w:rPr>
          <w:rFonts w:ascii="Times New Roman;serif" w:hAnsi="Times New Roman;serif"/>
          <w:b w:val="false"/>
          <w:color w:val="000000"/>
          <w:sz w:val="24"/>
        </w:rPr>
        <w:t>8.1.</w:t>
      </w:r>
      <w:r>
        <w:rPr>
          <w:rFonts w:ascii="Times New Roman;serif" w:hAnsi="Times New Roman;serif"/>
          <w:b w:val="false"/>
          <w:color w:val="000000"/>
          <w:sz w:val="24"/>
          <w:u w:val="single"/>
          <w:shd w:fill="FFFFFF" w:val="clear"/>
        </w:rPr>
        <w:t>Termination</w:t>
      </w:r>
      <w:r>
        <w:rPr>
          <w:rFonts w:ascii="Times New Roman;serif" w:hAnsi="Times New Roman;serif"/>
          <w:b w:val="false"/>
          <w:color w:val="000000"/>
          <w:sz w:val="24"/>
        </w:rPr>
        <w:t>. This Agreement may be terminated at any time on or prior to the Partnership Merger Effective Time, whether (except as expressly set forth below) before or after the Company Stockholder Approval or the Parent Stockholder Approval has been obtained, only as follows:</w:t>
      </w:r>
    </w:p>
    <w:p>
      <w:pPr>
        <w:pStyle w:val="TextBody"/>
        <w:bidi w:val="0"/>
        <w:spacing w:lineRule="auto" w:line="240" w:before="0" w:after="240"/>
        <w:ind w:left="0" w:right="0" w:firstLine="720"/>
        <w:jc w:val="both"/>
        <w:rPr/>
      </w:pPr>
      <w:bookmarkStart w:id="386" w:name="if5299d5859fd414987d1b9e4dd20af45"/>
      <w:bookmarkEnd w:id="386"/>
      <w:r>
        <w:rPr>
          <w:rFonts w:ascii="Times New Roman;serif" w:hAnsi="Times New Roman;serif"/>
          <w:b w:val="false"/>
          <w:color w:val="000000"/>
          <w:sz w:val="24"/>
        </w:rPr>
        <w:t>(a)</w:t>
      </w:r>
      <w:r>
        <w:rPr>
          <w:rFonts w:ascii="Times New Roman;serif" w:hAnsi="Times New Roman;serif"/>
          <w:b w:val="false"/>
          <w:color w:val="000000"/>
          <w:sz w:val="24"/>
          <w:shd w:fill="FFFFFF" w:val="clear"/>
        </w:rPr>
        <w:t>With the mutual written consent of each of the Company and Parent;</w:t>
      </w:r>
    </w:p>
    <w:p>
      <w:pPr>
        <w:pStyle w:val="TextBody"/>
        <w:bidi w:val="0"/>
        <w:spacing w:lineRule="auto" w:line="240" w:before="0" w:after="240"/>
        <w:ind w:left="0" w:right="0" w:firstLine="720"/>
        <w:jc w:val="both"/>
        <w:rPr/>
      </w:pPr>
      <w:bookmarkStart w:id="387" w:name="ib41bd1ab38b74e02995106dd7b96ece7"/>
      <w:bookmarkEnd w:id="387"/>
      <w:r>
        <w:rPr>
          <w:rFonts w:ascii="Times New Roman;serif" w:hAnsi="Times New Roman;serif"/>
          <w:b w:val="false"/>
          <w:color w:val="000000"/>
          <w:sz w:val="24"/>
        </w:rPr>
        <w:t>(b)</w:t>
      </w:r>
      <w:r>
        <w:rPr>
          <w:rFonts w:ascii="Times New Roman;serif" w:hAnsi="Times New Roman;serif"/>
          <w:b w:val="false"/>
          <w:color w:val="000000"/>
          <w:sz w:val="24"/>
          <w:shd w:fill="FFFFFF" w:val="clear"/>
        </w:rPr>
        <w:t>By written notice of either the Company or Parent, if the Closing shall not have occurred on or before 11:59 p.m. Eastern Time on March 9, 2027 (such date, the “</w:t>
      </w:r>
      <w:r>
        <w:rPr>
          <w:rFonts w:ascii="Times New Roman;serif" w:hAnsi="Times New Roman;serif"/>
          <w:b w:val="false"/>
          <w:color w:val="000000"/>
          <w:sz w:val="24"/>
          <w:u w:val="single"/>
          <w:shd w:fill="FFFFFF" w:val="clear"/>
        </w:rPr>
        <w:t>Termination Date</w:t>
      </w:r>
      <w:r>
        <w:rPr>
          <w:color w:val="000000"/>
          <w:shd w:fill="FFFFFF" w:val="clear"/>
        </w:rPr>
        <w:t>”</w:t>
      </w:r>
      <w:r>
        <w:rPr>
          <w:rFonts w:ascii="Times New Roman;serif" w:hAnsi="Times New Roman;serif"/>
          <w:b w:val="false"/>
          <w:color w:val="000000"/>
          <w:sz w:val="24"/>
          <w:shd w:fill="FFFFFF" w:val="clear"/>
        </w:rPr>
        <w:t xml:space="preserve">); provided, however (A) that if, as of the Termination Date, all conditions set forth in </w:t>
      </w:r>
      <w:r>
        <w:rPr>
          <w:rFonts w:ascii="Times New Roman;serif" w:hAnsi="Times New Roman;serif"/>
          <w:b w:val="false"/>
          <w:color w:val="000000"/>
          <w:sz w:val="24"/>
          <w:u w:val="single"/>
          <w:shd w:fill="FFFFFF" w:val="clear"/>
        </w:rPr>
        <w:t>Article VII</w:t>
      </w:r>
      <w:r>
        <w:rPr>
          <w:color w:val="000000"/>
          <w:u w:val="single"/>
        </w:rPr>
        <w:t xml:space="preserve"> </w:t>
      </w:r>
      <w:r>
        <w:rPr>
          <w:rFonts w:ascii="Times New Roman;serif" w:hAnsi="Times New Roman;serif"/>
          <w:b w:val="false"/>
          <w:color w:val="000000"/>
          <w:sz w:val="24"/>
          <w:shd w:fill="FFFFFF" w:val="clear"/>
        </w:rPr>
        <w:t xml:space="preserve">other than the conditions set forth in </w:t>
      </w:r>
      <w:r>
        <w:rPr>
          <w:rFonts w:ascii="Times New Roman;serif" w:hAnsi="Times New Roman;serif"/>
          <w:b w:val="false"/>
          <w:color w:val="000000"/>
          <w:sz w:val="24"/>
          <w:u w:val="single"/>
          <w:shd w:fill="FFFFFF" w:val="clear"/>
        </w:rPr>
        <w:t>Section 7.1(e)</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7.1(a)</w:t>
      </w:r>
      <w:r>
        <w:rPr>
          <w:color w:val="000000"/>
          <w:u w:val="single"/>
        </w:rPr>
        <w:t xml:space="preserve"> </w:t>
      </w:r>
      <w:r>
        <w:rPr>
          <w:rFonts w:ascii="Times New Roman;serif" w:hAnsi="Times New Roman;serif"/>
          <w:b w:val="false"/>
          <w:color w:val="000000"/>
          <w:sz w:val="24"/>
          <w:shd w:fill="FFFFFF" w:val="clear"/>
        </w:rPr>
        <w:t>(to the extent related to</w:t>
      </w:r>
      <w:r>
        <w:rPr>
          <w:color w:val="000000"/>
          <w:u w:val="single"/>
          <w:shd w:fill="FFFFFF" w:val="clear"/>
        </w:rPr>
        <w:t xml:space="preserve"> </w:t>
      </w:r>
      <w:r>
        <w:rPr>
          <w:rFonts w:ascii="Times New Roman;serif" w:hAnsi="Times New Roman;serif"/>
          <w:b w:val="false"/>
          <w:color w:val="000000"/>
          <w:sz w:val="24"/>
          <w:u w:val="single"/>
          <w:shd w:fill="FFFFFF" w:val="clear"/>
        </w:rPr>
        <w:t>Section 7.1(e)</w:t>
      </w:r>
      <w:r>
        <w:rPr>
          <w:rFonts w:ascii="Times New Roman;serif" w:hAnsi="Times New Roman;serif"/>
          <w:b w:val="false"/>
          <w:color w:val="000000"/>
          <w:sz w:val="24"/>
          <w:shd w:fill="FFFFFF" w:val="clear"/>
        </w:rPr>
        <w:t xml:space="preserve">) shall have been satisfied or shall be capable of being satisfied on the Closing Date were the Closing to happen on such date, then the Termination Date shall automatically be extended for an additional 60 days, which date thereafter shall be deemed to be the Termination Date;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further</w:t>
      </w:r>
      <w:r>
        <w:rPr>
          <w:rFonts w:ascii="Times New Roman;serif" w:hAnsi="Times New Roman;serif"/>
          <w:b w:val="false"/>
          <w:color w:val="000000"/>
          <w:sz w:val="24"/>
          <w:shd w:fill="FFFFFF" w:val="clear"/>
        </w:rPr>
        <w:t xml:space="preserve">, that the right to terminate this Agreement pursuant to this </w:t>
      </w:r>
      <w:r>
        <w:rPr>
          <w:rFonts w:ascii="Times New Roman;serif" w:hAnsi="Times New Roman;serif"/>
          <w:b w:val="false"/>
          <w:color w:val="000000"/>
          <w:sz w:val="24"/>
          <w:u w:val="single"/>
          <w:shd w:fill="FFFFFF" w:val="clear"/>
        </w:rPr>
        <w:t>Section 8.1(b)</w:t>
      </w:r>
      <w:r>
        <w:rPr>
          <w:color w:val="000000"/>
          <w:shd w:fill="FFFFFF" w:val="clear"/>
        </w:rPr>
        <w:t xml:space="preserve"> </w:t>
      </w:r>
      <w:r>
        <w:rPr>
          <w:rFonts w:ascii="Times New Roman;serif" w:hAnsi="Times New Roman;serif"/>
          <w:b w:val="false"/>
          <w:color w:val="000000"/>
          <w:sz w:val="24"/>
          <w:shd w:fill="FFFFFF" w:val="clear"/>
        </w:rPr>
        <w:t xml:space="preserve">will not be available to any party hereto that has breached in any material respect any provision of this Agreement in any manner that shall have contributed materially to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60705"/>
                <wp:effectExtent l="0" t="0" r="0" b="0"/>
                <wp:wrapNone/>
                <wp:docPr id="103" name="Frame10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the failure of the Closing to occur on or before the Termination Date (it being understood that, for purposes of this Agreement, a breach of this Agreement by (x) Merger Sub shall be deemed to be a breach by Parent and (y) the Company Operating Partnership shall be deemed to be a breach by the Company);</w:t>
      </w:r>
      <w:r>
        <w:rPr>
          <w:color w:val="000000"/>
        </w:rPr>
        <w:t xml:space="preserve"> </w:t>
      </w:r>
    </w:p>
    <w:p>
      <w:pPr>
        <w:pStyle w:val="TextBody"/>
        <w:bidi w:val="0"/>
        <w:spacing w:lineRule="auto" w:line="240" w:before="0" w:after="240"/>
        <w:ind w:left="0" w:right="0" w:firstLine="720"/>
        <w:jc w:val="both"/>
        <w:rPr/>
      </w:pPr>
      <w:bookmarkStart w:id="388" w:name="i8b826e44ff60489e96d6b360856a9a2c"/>
      <w:bookmarkEnd w:id="388"/>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By written notice of either the Company or Parent, 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right to terminate this Agreement pursuant to this </w:t>
      </w:r>
      <w:r>
        <w:rPr>
          <w:rFonts w:ascii="Times New Roman;serif" w:hAnsi="Times New Roman;serif"/>
          <w:b w:val="false"/>
          <w:color w:val="000000"/>
          <w:sz w:val="24"/>
          <w:u w:val="single"/>
          <w:shd w:fill="FFFFFF" w:val="clear"/>
        </w:rPr>
        <w:t>Section 8.1(c)</w:t>
      </w:r>
      <w:r>
        <w:rPr>
          <w:color w:val="000000"/>
          <w:shd w:fill="FFFFFF" w:val="clear"/>
        </w:rPr>
        <w:t xml:space="preserve"> </w:t>
      </w:r>
      <w:r>
        <w:rPr>
          <w:rFonts w:ascii="Times New Roman;serif" w:hAnsi="Times New Roman;serif"/>
          <w:b w:val="false"/>
          <w:color w:val="000000"/>
          <w:sz w:val="24"/>
          <w:shd w:fill="FFFFFF" w:val="clear"/>
        </w:rPr>
        <w:t>will not be available to the Company or Parent (x) unless such party hereto has used its best efforts to remove such Order and (y) if such party hereto has breached in any material respect any provision of this Agreement in any manner that has contributed materially to the issuance of such Order;</w:t>
      </w:r>
    </w:p>
    <w:p>
      <w:pPr>
        <w:pStyle w:val="TextBody"/>
        <w:bidi w:val="0"/>
        <w:spacing w:lineRule="auto" w:line="240" w:before="0" w:after="240"/>
        <w:ind w:left="0" w:right="0" w:firstLine="720"/>
        <w:jc w:val="both"/>
        <w:rPr/>
      </w:pPr>
      <w:bookmarkStart w:id="389" w:name="ib3b5913a91724beaaab6c97b55caea2e"/>
      <w:bookmarkEnd w:id="389"/>
      <w:r>
        <w:rPr>
          <w:rFonts w:ascii="Times New Roman;serif" w:hAnsi="Times New Roman;serif"/>
          <w:b w:val="false"/>
          <w:color w:val="000000"/>
          <w:sz w:val="24"/>
        </w:rPr>
        <w:t>(d)</w:t>
      </w:r>
      <w:r>
        <w:rPr>
          <w:rFonts w:ascii="Times New Roman;serif" w:hAnsi="Times New Roman;serif"/>
          <w:b w:val="false"/>
          <w:color w:val="000000"/>
          <w:sz w:val="24"/>
          <w:shd w:fill="FFFFFF" w:val="clear"/>
        </w:rPr>
        <w:t>By written notice of the Company:</w:t>
      </w:r>
    </w:p>
    <w:p>
      <w:pPr>
        <w:pStyle w:val="TextBody"/>
        <w:bidi w:val="0"/>
        <w:spacing w:lineRule="auto" w:line="240" w:before="0" w:after="240"/>
        <w:ind w:left="0" w:right="0" w:firstLine="720"/>
        <w:jc w:val="both"/>
        <w:rPr/>
      </w:pPr>
      <w:bookmarkStart w:id="390" w:name="iaefc95019f8b4db1909ed7081cbb74e2"/>
      <w:bookmarkEnd w:id="390"/>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prior to the Closing, if Parent, Merger Sub or Parent Manager shall have breached or failed to perform in any material respect any of their respective representations, warranties, covenants or other agreements contained in this Agreement, which breach or failure to perform </w:t>
      </w:r>
      <w:r>
        <w:rPr>
          <w:rFonts w:ascii="Times New Roman;serif" w:hAnsi="Times New Roman;serif"/>
          <w:b w:val="false"/>
          <w:color w:val="000000"/>
          <w:sz w:val="24"/>
        </w:rPr>
        <w:t>(A)</w:t>
      </w:r>
      <w:bookmarkStart w:id="391" w:name="i0b570a8d18f94a53a33e2ce9e5d3efef"/>
      <w:bookmarkEnd w:id="391"/>
      <w:r>
        <w:rPr>
          <w:color w:val="000000"/>
          <w:shd w:fill="FFFFFF" w:val="clear"/>
        </w:rPr>
        <w:t xml:space="preserve"> </w:t>
      </w:r>
      <w:r>
        <w:rPr>
          <w:rFonts w:ascii="Times New Roman;serif" w:hAnsi="Times New Roman;serif"/>
          <w:b w:val="false"/>
          <w:color w:val="000000"/>
          <w:sz w:val="24"/>
          <w:shd w:fill="FFFFFF" w:val="clear"/>
        </w:rPr>
        <w:t xml:space="preserve">would give rise to the failure of a condition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 xml:space="preserve">to be satisfied and </w:t>
      </w:r>
      <w:r>
        <w:rPr>
          <w:rFonts w:ascii="Times New Roman;serif" w:hAnsi="Times New Roman;serif"/>
          <w:b w:val="false"/>
          <w:color w:val="000000"/>
          <w:sz w:val="24"/>
        </w:rPr>
        <w:t>(B)</w:t>
      </w:r>
      <w:bookmarkStart w:id="392" w:name="i538d1c8e27e04cb0bda1afd725103789"/>
      <w:bookmarkEnd w:id="392"/>
      <w:r>
        <w:rPr>
          <w:color w:val="000000"/>
          <w:shd w:fill="FFFFFF" w:val="clear"/>
        </w:rPr>
        <w:t xml:space="preserve"> </w:t>
      </w:r>
      <w:r>
        <w:rPr>
          <w:rFonts w:ascii="Times New Roman;serif" w:hAnsi="Times New Roman;serif"/>
          <w:b w:val="false"/>
          <w:color w:val="000000"/>
          <w:sz w:val="24"/>
          <w:shd w:fill="FFFFFF" w:val="clear"/>
        </w:rPr>
        <w:t xml:space="preserve">is incapable of being cured or, if curable, has not been cured, by Parent, Merger Sub or Parent Manager, as applicable, prior to the earlier of the (x) Termination Date and (y) thirtieth (30th) Business Day after its receipt of written notice thereof from the Company;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shd w:fill="FFFFFF" w:val="clear"/>
        </w:rPr>
        <w:t xml:space="preserve"> </w:t>
      </w:r>
      <w:r>
        <w:rPr>
          <w:rFonts w:ascii="Times New Roman;serif" w:hAnsi="Times New Roman;serif"/>
          <w:b w:val="false"/>
          <w:color w:val="000000"/>
          <w:sz w:val="24"/>
          <w:shd w:fill="FFFFFF" w:val="clear"/>
        </w:rPr>
        <w:t xml:space="preserve">that the Company and the Company Operating Partnership shall not have breached or failed to perform in any material respect any of their respective representations, warranties, covenants or other agreements contained in this Agreement so as to cause the closing conditions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not to be satisfied;</w:t>
      </w:r>
      <w:r>
        <w:rPr>
          <w:color w:val="000000"/>
        </w:rPr>
        <w:t xml:space="preserve"> </w:t>
      </w:r>
    </w:p>
    <w:p>
      <w:pPr>
        <w:pStyle w:val="TextBody"/>
        <w:bidi w:val="0"/>
        <w:spacing w:lineRule="auto" w:line="240" w:before="0" w:after="240"/>
        <w:ind w:left="0" w:right="0" w:firstLine="720"/>
        <w:jc w:val="both"/>
        <w:rPr/>
      </w:pPr>
      <w:bookmarkStart w:id="393" w:name="i1fada656921e4fde9524b53430f73dbd"/>
      <w:bookmarkEnd w:id="393"/>
      <w:r>
        <w:rPr>
          <w:rFonts w:ascii="Times New Roman;serif" w:hAnsi="Times New Roman;serif"/>
          <w:b w:val="false"/>
          <w:color w:val="000000"/>
          <w:sz w:val="24"/>
        </w:rPr>
        <w:t>(ii)</w:t>
      </w:r>
      <w:r>
        <w:rPr>
          <w:rFonts w:ascii="Times New Roman;serif" w:hAnsi="Times New Roman;serif"/>
          <w:b w:val="false"/>
          <w:color w:val="000000"/>
          <w:sz w:val="24"/>
          <w:shd w:fill="FFFFFF" w:val="clear"/>
        </w:rPr>
        <w:t>prior to obtaining the Company Stockholder Approval</w:t>
      </w:r>
      <w:r>
        <w:rPr>
          <w:rFonts w:ascii="Times New Roman;serif" w:hAnsi="Times New Roman;serif"/>
          <w:b w:val="false"/>
          <w:color w:val="000000"/>
          <w:sz w:val="24"/>
        </w:rPr>
        <w:t xml:space="preserve">, in accordance with, and subject to compliance with the terms and conditions of, </w:t>
      </w:r>
      <w:r>
        <w:rPr>
          <w:rFonts w:ascii="Times New Roman;serif" w:hAnsi="Times New Roman;serif"/>
          <w:b w:val="false"/>
          <w:color w:val="000000"/>
          <w:sz w:val="24"/>
          <w:u w:val="single"/>
        </w:rPr>
        <w:t>Section 6.5(d)</w:t>
      </w:r>
      <w:r>
        <w:rPr>
          <w:rFonts w:ascii="Times New Roman;serif" w:hAnsi="Times New Roman;serif"/>
          <w:b w:val="false"/>
          <w:color w:val="000000"/>
          <w:sz w:val="24"/>
        </w:rPr>
        <w:t xml:space="preserve">, in order to enter into a definitive agreement providing for a Company Superior Proposal (with such definitive agreement being entered into substantially concurrently with the termination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concurrently with such termination, the Company pays the Company Termination Fee pursuant to </w:t>
      </w:r>
      <w:r>
        <w:rPr>
          <w:rFonts w:ascii="Times New Roman;serif" w:hAnsi="Times New Roman;serif"/>
          <w:b w:val="false"/>
          <w:color w:val="000000"/>
          <w:sz w:val="24"/>
          <w:u w:val="single"/>
        </w:rPr>
        <w:t>Section 8.3(b)(i)</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pPr>
      <w:bookmarkStart w:id="394" w:name="ic324e6c6ca294e2ea13d1f026f351137"/>
      <w:bookmarkEnd w:id="394"/>
      <w:r>
        <w:rPr>
          <w:rFonts w:ascii="Times New Roman;serif" w:hAnsi="Times New Roman;serif"/>
          <w:b w:val="false"/>
          <w:color w:val="000000"/>
          <w:sz w:val="24"/>
        </w:rPr>
        <w:t xml:space="preserve">(iii)prior to obtaining the Parent Stockholder Approval, if (A) a Parent Change of Recommendation shall have occurred or (B) Parent has materially breached </w:t>
      </w:r>
      <w:r>
        <w:rPr>
          <w:rFonts w:ascii="Times New Roman;serif" w:hAnsi="Times New Roman;serif"/>
          <w:b w:val="false"/>
          <w:color w:val="000000"/>
          <w:sz w:val="24"/>
          <w:u w:val="single"/>
        </w:rPr>
        <w:t>Section 6.6(a)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95" w:name="i8b789c18535e4c0cbe7cb718bc73817e"/>
      <w:bookmarkEnd w:id="395"/>
      <w:r>
        <w:rPr>
          <w:rFonts w:ascii="Times New Roman;serif" w:hAnsi="Times New Roman;serif"/>
          <w:b w:val="false"/>
          <w:color w:val="000000"/>
          <w:sz w:val="24"/>
        </w:rPr>
        <w:t>(e)</w:t>
      </w:r>
      <w:r>
        <w:rPr>
          <w:rFonts w:ascii="Times New Roman;serif" w:hAnsi="Times New Roman;serif"/>
          <w:b w:val="false"/>
          <w:color w:val="000000"/>
          <w:sz w:val="24"/>
          <w:shd w:fill="FFFFFF" w:val="clear"/>
        </w:rPr>
        <w:t>By written notice of Parent:</w:t>
      </w:r>
    </w:p>
    <w:p>
      <w:pPr>
        <w:pStyle w:val="TextBody"/>
        <w:bidi w:val="0"/>
        <w:spacing w:lineRule="auto" w:line="240" w:before="0" w:after="240"/>
        <w:ind w:left="0" w:right="0" w:firstLine="720"/>
        <w:jc w:val="both"/>
        <w:rPr/>
      </w:pPr>
      <w:bookmarkStart w:id="396" w:name="idfbc40df1f64456a835b9c92c478823e"/>
      <w:bookmarkEnd w:id="396"/>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prior to the Closing, if the Company or the Company Operating Partnership shall have breached or failed to perform in any material respect any of their respective representations, warranties, covenants or other agreements contained in this Agreement, which breach or failure to perform </w:t>
      </w:r>
      <w:r>
        <w:rPr>
          <w:rFonts w:ascii="Times New Roman;serif" w:hAnsi="Times New Roman;serif"/>
          <w:b w:val="false"/>
          <w:color w:val="000000"/>
          <w:sz w:val="24"/>
        </w:rPr>
        <w:t>(A)</w:t>
      </w:r>
      <w:bookmarkStart w:id="397" w:name="icafefb822b784a329c2cb69b7514c165"/>
      <w:bookmarkEnd w:id="397"/>
      <w:r>
        <w:rPr>
          <w:color w:val="000000"/>
          <w:shd w:fill="FFFFFF" w:val="clear"/>
        </w:rPr>
        <w:t xml:space="preserve"> </w:t>
      </w:r>
      <w:r>
        <w:rPr>
          <w:rFonts w:ascii="Times New Roman;serif" w:hAnsi="Times New Roman;serif"/>
          <w:b w:val="false"/>
          <w:color w:val="000000"/>
          <w:sz w:val="24"/>
          <w:shd w:fill="FFFFFF" w:val="clear"/>
        </w:rPr>
        <w:t xml:space="preserve">would give rise to the failure of a condition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 xml:space="preserve">to be satisfied, and </w:t>
      </w:r>
      <w:r>
        <w:rPr>
          <w:rFonts w:ascii="Times New Roman;serif" w:hAnsi="Times New Roman;serif"/>
          <w:b w:val="false"/>
          <w:color w:val="000000"/>
          <w:sz w:val="24"/>
        </w:rPr>
        <w:t>(B)</w:t>
      </w:r>
      <w:bookmarkStart w:id="398" w:name="i86738d5121fb480a956e47417cab47f3"/>
      <w:bookmarkEnd w:id="398"/>
      <w:r>
        <w:rPr>
          <w:color w:val="000000"/>
          <w:shd w:fill="FFFFFF" w:val="clear"/>
        </w:rPr>
        <w:t xml:space="preserve"> </w:t>
      </w:r>
      <w:r>
        <w:rPr>
          <w:rFonts w:ascii="Times New Roman;serif" w:hAnsi="Times New Roman;serif"/>
          <w:b w:val="false"/>
          <w:color w:val="000000"/>
          <w:sz w:val="24"/>
          <w:shd w:fill="FFFFFF" w:val="clear"/>
        </w:rPr>
        <w:t xml:space="preserve">is incapable of being cured or, if curable, has not been cured, by the Company or the Company Operating Partnership prior to the earlier of the (x) Termination Date and (y) thirtieth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60705"/>
                <wp:effectExtent l="0" t="0" r="0" b="0"/>
                <wp:wrapNone/>
                <wp:docPr id="104" name="Frame10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(30th) Business Day after its receipt of written notice thereof from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shd w:fill="FFFFFF" w:val="clear"/>
        </w:rPr>
        <w:t xml:space="preserve"> </w:t>
      </w:r>
      <w:r>
        <w:rPr>
          <w:rFonts w:ascii="Times New Roman;serif" w:hAnsi="Times New Roman;serif"/>
          <w:b w:val="false"/>
          <w:color w:val="000000"/>
          <w:sz w:val="24"/>
          <w:shd w:fill="FFFFFF" w:val="clear"/>
        </w:rPr>
        <w:t xml:space="preserve">that Parent and Merger Sub shall not have breached or failed to perform in any material respect any of their respective representations, warranties, covenants or other agreements contained in this Agreement so as to cause the closing conditions in </w:t>
      </w:r>
      <w:r>
        <w:rPr>
          <w:rFonts w:ascii="Times New Roman;serif" w:hAnsi="Times New Roman;serif"/>
          <w:b w:val="false"/>
          <w:color w:val="000000"/>
          <w:sz w:val="24"/>
          <w:u w:val="single"/>
          <w:shd w:fill="FFFFFF" w:val="clear"/>
        </w:rPr>
        <w:t>Sections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7.3</w:t>
      </w:r>
      <w:r>
        <w:rPr>
          <w:color w:val="000000"/>
          <w:shd w:fill="FFFFFF" w:val="clear"/>
        </w:rPr>
        <w:t xml:space="preserve"> </w:t>
      </w:r>
      <w:r>
        <w:rPr>
          <w:rFonts w:ascii="Times New Roman;serif" w:hAnsi="Times New Roman;serif"/>
          <w:b w:val="false"/>
          <w:color w:val="000000"/>
          <w:sz w:val="24"/>
          <w:shd w:fill="FFFFFF" w:val="clear"/>
        </w:rPr>
        <w:t>not to be satisfied; or</w:t>
      </w:r>
    </w:p>
    <w:p>
      <w:pPr>
        <w:pStyle w:val="TextBody"/>
        <w:bidi w:val="0"/>
        <w:spacing w:lineRule="auto" w:line="240" w:before="0" w:after="240"/>
        <w:ind w:left="0" w:right="0" w:firstLine="720"/>
        <w:jc w:val="both"/>
        <w:rPr/>
      </w:pPr>
      <w:bookmarkStart w:id="399" w:name="ibe85d1c6465d454c8f67c70ac7c46a63"/>
      <w:bookmarkEnd w:id="399"/>
      <w:r>
        <w:rPr>
          <w:rFonts w:ascii="Times New Roman;serif" w:hAnsi="Times New Roman;serif"/>
          <w:b w:val="false"/>
          <w:color w:val="000000"/>
          <w:sz w:val="24"/>
        </w:rPr>
        <w:t>(ii)</w:t>
      </w:r>
      <w:r>
        <w:rPr>
          <w:rFonts w:ascii="Times New Roman;serif" w:hAnsi="Times New Roman;serif"/>
          <w:b w:val="false"/>
          <w:color w:val="000000"/>
          <w:sz w:val="24"/>
          <w:shd w:fill="FFFFFF" w:val="clear"/>
        </w:rPr>
        <w:t xml:space="preserve">prior to obtaining the Parent Stockholder Approval, in accordance with, and subject to compliance with the terms and conditions of,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xml:space="preserve">, in order to enter into a definitive agreement providing for a Parent Superior Proposal (with such definitive agreement being entered into substantially concurrently with the termination of this Agreement);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concurrently with such termination, Parent pays the Parent Termination Fee pursuant to </w:t>
      </w:r>
      <w:r>
        <w:rPr>
          <w:rFonts w:ascii="Times New Roman;serif" w:hAnsi="Times New Roman;serif"/>
          <w:b w:val="false"/>
          <w:color w:val="000000"/>
          <w:sz w:val="24"/>
          <w:u w:val="single"/>
          <w:shd w:fill="FFFFFF" w:val="clear"/>
        </w:rPr>
        <w:t>Section 8.3(c)(i)</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720"/>
        <w:jc w:val="both"/>
        <w:rPr/>
      </w:pPr>
      <w:bookmarkStart w:id="400" w:name="i694f0d11238a41ffa9e43359bf60ae8b"/>
      <w:bookmarkEnd w:id="400"/>
      <w:r>
        <w:rPr>
          <w:rFonts w:ascii="Times New Roman;serif" w:hAnsi="Times New Roman;serif"/>
          <w:b w:val="false"/>
          <w:color w:val="000000"/>
          <w:sz w:val="24"/>
        </w:rPr>
        <w:t>(iii)</w:t>
      </w:r>
      <w:r>
        <w:rPr>
          <w:rFonts w:ascii="Times New Roman;serif" w:hAnsi="Times New Roman;serif"/>
          <w:b w:val="false"/>
          <w:color w:val="000000"/>
          <w:sz w:val="24"/>
          <w:shd w:fill="FFFFFF" w:val="clear"/>
        </w:rPr>
        <w:t xml:space="preserve">prior to obtaining the Company Stockholder Approval, if (A) a Company Change of Recommendation shall have occurred or (B) the Company has materially breached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720"/>
        <w:jc w:val="both"/>
        <w:rPr/>
      </w:pPr>
      <w:bookmarkStart w:id="401" w:name="ie012421026774c5fa61d9d2d4b98227e"/>
      <w:bookmarkEnd w:id="401"/>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By written notice of either the Company or Parent: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402" w:name="i14b2fc2a26f04ba98a0576c31ece5fcd"/>
      <w:bookmarkEnd w:id="402"/>
      <w:r>
        <w:rPr>
          <w:rFonts w:ascii="Times New Roman;serif" w:hAnsi="Times New Roman;serif"/>
          <w:b w:val="false"/>
          <w:color w:val="000000"/>
          <w:sz w:val="24"/>
        </w:rPr>
        <w:t>(i)if the Company Stockholder Approval shall not have been obtained at the Company Stockholders Meeting duly convened therefor (including any adjournments or postponements thereof permitted by this Agreement) at which a vote on the approval of this Agreement was taken; or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403" w:name="ica2186ca903849f2a54bebe857269b48"/>
      <w:bookmarkEnd w:id="403"/>
      <w:r>
        <w:rPr>
          <w:rFonts w:ascii="Times New Roman;serif" w:hAnsi="Times New Roman;serif"/>
          <w:b w:val="false"/>
          <w:color w:val="000000"/>
          <w:sz w:val="24"/>
        </w:rPr>
        <w:t>(ii)if the Parent Stockholder Approval shall not have been obtained at the Parent Stockholders Meeting duly convened therefor (including any adjournments or postponements thereof permitted by this Agreement) at which a vote on the approval of the Parent Common Stock Issuance was taken.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04" w:name="ib93f4540ca624e53b090854ad610d6fe"/>
      <w:bookmarkEnd w:id="404"/>
      <w:r>
        <w:rPr>
          <w:rFonts w:ascii="Times New Roman;serif" w:hAnsi="Times New Roman;serif"/>
          <w:b w:val="false"/>
          <w:color w:val="000000"/>
          <w:sz w:val="24"/>
        </w:rPr>
        <w:t>8.2.</w:t>
      </w:r>
      <w:r>
        <w:rPr>
          <w:rFonts w:ascii="Times New Roman;serif" w:hAnsi="Times New Roman;serif"/>
          <w:b w:val="false"/>
          <w:color w:val="000000"/>
          <w:sz w:val="24"/>
          <w:u w:val="single"/>
          <w:shd w:fill="FFFFFF" w:val="clear"/>
        </w:rPr>
        <w:t>Expenses; Transfer Taxes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405" w:name="i0f8fb637329142608e8605caf215f915"/>
      <w:bookmarkEnd w:id="405"/>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Except as otherwise specifically provided herein, each party hereto shall bear its own expenses in connection with this Agreement and the Transactions, including the expenses associated with the printing and mailing of its proxy materials to its stockholders in connection with this Agreement and the Transactions. </w:t>
      </w:r>
    </w:p>
    <w:p>
      <w:pPr>
        <w:pStyle w:val="TextBody"/>
        <w:bidi w:val="0"/>
        <w:spacing w:lineRule="auto" w:line="240" w:before="0" w:after="240"/>
        <w:ind w:left="0" w:right="0" w:firstLine="720"/>
        <w:jc w:val="both"/>
        <w:rPr/>
      </w:pPr>
      <w:bookmarkStart w:id="406" w:name="i646013b46d314ec1b1cac3334aad039a"/>
      <w:bookmarkEnd w:id="406"/>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Except as otherwise provided in </w:t>
      </w:r>
      <w:r>
        <w:rPr>
          <w:rFonts w:ascii="Times New Roman;serif" w:hAnsi="Times New Roman;serif"/>
          <w:b w:val="false"/>
          <w:color w:val="000000"/>
          <w:sz w:val="24"/>
          <w:u w:val="single"/>
          <w:shd w:fill="FFFFFF" w:val="clear"/>
        </w:rPr>
        <w:t>Section 3.4(b)</w:t>
      </w:r>
      <w:r>
        <w:rPr>
          <w:rFonts w:ascii="Times New Roman;serif" w:hAnsi="Times New Roman;serif"/>
          <w:b w:val="false"/>
          <w:color w:val="000000"/>
          <w:sz w:val="24"/>
          <w:shd w:fill="FFFFFF" w:val="clear"/>
        </w:rPr>
        <w:t>, all stock transfer, real estate transfer, documentary, sales, use, stamp, property, conveyancing, value added, goods and services, registration and other such Taxes (including interest, penalties and additions to any such Taxes) (“</w:t>
      </w:r>
      <w:r>
        <w:rPr>
          <w:rFonts w:ascii="Times New Roman;serif" w:hAnsi="Times New Roman;serif"/>
          <w:b w:val="false"/>
          <w:color w:val="000000"/>
          <w:sz w:val="24"/>
          <w:u w:val="single"/>
          <w:shd w:fill="FFFFFF" w:val="clear"/>
        </w:rPr>
        <w:t>Transfer Taxes</w:t>
      </w:r>
      <w:r>
        <w:rPr>
          <w:color w:val="000000"/>
          <w:shd w:fill="FFFFFF" w:val="clear"/>
        </w:rPr>
        <w:t>”</w:t>
      </w:r>
      <w:r>
        <w:rPr>
          <w:rFonts w:ascii="Times New Roman;serif" w:hAnsi="Times New Roman;serif"/>
          <w:b w:val="false"/>
          <w:color w:val="000000"/>
          <w:sz w:val="24"/>
          <w:shd w:fill="FFFFFF" w:val="clear"/>
        </w:rPr>
        <w:t xml:space="preserve">), provided, for the avoidance of doubt, that Transfer Taxes shall not include any income, franchise or similar Taxes arising from the Transactions, shall be borne and paid by Parent, Merger Sub or the Surviving Entity when due, and expressly shall not be a liability of holders of Company Common Stock, whether levied on Parent or any other Person, and Parent, Merger Sub or the Surviving Entity shall file any necessary Tax Returns and other documentation with respect to such Transfer Taxes. For the avoidance of doubt, the payment of Merger Consideration pursuant to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shall not be construed as discharging any obligation pursuant to this </w:t>
      </w:r>
      <w:r>
        <w:rPr>
          <w:rFonts w:ascii="Times New Roman;serif" w:hAnsi="Times New Roman;serif"/>
          <w:b w:val="false"/>
          <w:color w:val="000000"/>
          <w:sz w:val="24"/>
          <w:u w:val="single"/>
          <w:shd w:fill="FFFFFF" w:val="clear"/>
        </w:rPr>
        <w:t>Section 8.2(b)</w:t>
      </w:r>
      <w:r>
        <w:rPr>
          <w:color w:val="000000"/>
          <w:shd w:fill="FFFFFF" w:val="clear"/>
        </w:rPr>
        <w:t xml:space="preserve"> </w:t>
      </w:r>
      <w:r>
        <w:rPr>
          <w:rFonts w:ascii="Times New Roman;serif" w:hAnsi="Times New Roman;serif"/>
          <w:b w:val="false"/>
          <w:color w:val="000000"/>
          <w:sz w:val="24"/>
          <w:shd w:fill="FFFFFF" w:val="clear"/>
        </w:rPr>
        <w:t>of Parent, Merger Sub or the Surviving Entity with respect to Transfer Taxes.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07" w:name="i08c0154daec848f88af6e24af1b68561"/>
      <w:bookmarkEnd w:id="407"/>
      <w:r>
        <w:rPr>
          <w:rFonts w:ascii="Times New Roman;serif" w:hAnsi="Times New Roman;serif"/>
          <w:b w:val="false"/>
          <w:color w:val="000000"/>
          <w:sz w:val="24"/>
        </w:rPr>
        <w:t>8.3.</w:t>
      </w:r>
      <w:r>
        <w:rPr>
          <w:rFonts w:ascii="Times New Roman;serif" w:hAnsi="Times New Roman;serif"/>
          <w:b w:val="false"/>
          <w:color w:val="000000"/>
          <w:sz w:val="24"/>
          <w:u w:val="single"/>
          <w:shd w:fill="FFFFFF" w:val="clear"/>
        </w:rPr>
        <w:t>Effect of Termination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bookmarkStart w:id="408" w:name="id64ce17b880441b8b90477d9c151d4c6"/>
      <w:bookmarkEnd w:id="408"/>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In the event of termination of this Agreement by either the Company or Parent pursuant to </w:t>
      </w:r>
      <w:r>
        <w:rPr>
          <w:rFonts w:ascii="Times New Roman;serif" w:hAnsi="Times New Roman;serif"/>
          <w:b w:val="false"/>
          <w:color w:val="000000"/>
          <w:sz w:val="24"/>
          <w:u w:val="single"/>
          <w:shd w:fill="FFFFFF" w:val="clear"/>
        </w:rPr>
        <w:t>Section 8.1</w:t>
      </w:r>
      <w:r>
        <w:rPr>
          <w:rFonts w:ascii="Times New Roman;serif" w:hAnsi="Times New Roman;serif"/>
          <w:b w:val="false"/>
          <w:color w:val="000000"/>
          <w:sz w:val="24"/>
          <w:shd w:fill="FFFFFF" w:val="clear"/>
        </w:rPr>
        <w:t xml:space="preserve">, this Agreement will forthwith become void and have no further force or effect, without any Liability on the part of Parent, Merger Sub, Parent Manager, the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60705"/>
                <wp:effectExtent l="0" t="0" r="0" b="0"/>
                <wp:wrapNone/>
                <wp:docPr id="105" name="Frame10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Company, the Company Operating Partnership or any of their respective Subsidiaries, except as provided in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6.1(c)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6.10</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8.2</w:t>
      </w:r>
      <w:r>
        <w:rPr>
          <w:rFonts w:ascii="Times New Roman;serif" w:hAnsi="Times New Roman;serif"/>
          <w:b w:val="false"/>
          <w:color w:val="000000"/>
          <w:sz w:val="24"/>
          <w:shd w:fill="FFFFFF" w:val="clear"/>
        </w:rPr>
        <w:t xml:space="preserve">, and </w:t>
      </w:r>
      <w:r>
        <w:rPr>
          <w:rFonts w:ascii="Times New Roman;serif" w:hAnsi="Times New Roman;serif"/>
          <w:b w:val="false"/>
          <w:color w:val="000000"/>
          <w:sz w:val="24"/>
          <w:u w:val="single"/>
          <w:shd w:fill="FFFFFF" w:val="clear"/>
        </w:rPr>
        <w:t>Article IX</w:t>
      </w:r>
      <w:r>
        <w:rPr>
          <w:rFonts w:ascii="Times New Roman;serif" w:hAnsi="Times New Roman;serif"/>
          <w:b w:val="false"/>
          <w:color w:val="000000"/>
          <w:sz w:val="24"/>
          <w:shd w:fill="FFFFFF" w:val="clear"/>
        </w:rPr>
        <w:t xml:space="preserve">, which will survive any termination hereof;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subject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none of Parent, Merger Sub, Parent Manager, the Company or the Company Operating Partnership shall be relieved or released from any Liabilities arising out of its intentional fraud or Willful Breach, and the aggrieved party will be entitled to all rights and remedies available at law or in equity (including, in the case of a Willful Breach, the loss to the applicable party or the holders of its common stock of the economic benefits of the Mergers, it being understood that each party shall be entitled to pursue such monetary damages on behalf of such holders of common stock in its sole and absolute discretion, and any amounts recovered in connection therewith shall be paid to such party).</w:t>
      </w:r>
    </w:p>
    <w:p>
      <w:pPr>
        <w:pStyle w:val="TextBody"/>
        <w:bidi w:val="0"/>
        <w:spacing w:lineRule="auto" w:line="240" w:before="0" w:after="240"/>
        <w:ind w:left="0" w:right="0" w:firstLine="720"/>
        <w:jc w:val="both"/>
        <w:rPr/>
      </w:pPr>
      <w:bookmarkStart w:id="409" w:name="id7ac3eccbb484dbca51a3c4ed6ae16e1"/>
      <w:bookmarkEnd w:id="409"/>
      <w:r>
        <w:rPr>
          <w:rFonts w:ascii="Times New Roman;serif" w:hAnsi="Times New Roman;serif"/>
          <w:b w:val="false"/>
          <w:color w:val="000000"/>
          <w:sz w:val="24"/>
        </w:rPr>
        <w:t>(b)</w:t>
      </w:r>
      <w:r>
        <w:rPr>
          <w:rFonts w:ascii="Times New Roman;serif" w:hAnsi="Times New Roman;serif"/>
          <w:b w:val="false"/>
          <w:color w:val="000000"/>
          <w:sz w:val="24"/>
          <w:shd w:fill="FFFFFF" w:val="clear"/>
        </w:rPr>
        <w:t>In the event that:</w:t>
      </w:r>
    </w:p>
    <w:p>
      <w:pPr>
        <w:pStyle w:val="TextBody"/>
        <w:bidi w:val="0"/>
        <w:spacing w:lineRule="auto" w:line="240" w:before="0" w:after="240"/>
        <w:ind w:left="0" w:right="0" w:firstLine="720"/>
        <w:jc w:val="both"/>
        <w:rPr/>
      </w:pPr>
      <w:bookmarkStart w:id="410" w:name="id431ea5bb658496aa0b0ad0b0f54414e"/>
      <w:bookmarkEnd w:id="410"/>
      <w:r>
        <w:rPr>
          <w:rFonts w:ascii="Times New Roman;serif" w:hAnsi="Times New Roman;serif"/>
          <w:b w:val="false"/>
          <w:color w:val="000000"/>
          <w:sz w:val="24"/>
        </w:rPr>
        <w:t xml:space="preserve">(i)this Agreement is terminated (x) by the Company pursuant to </w:t>
      </w:r>
      <w:r>
        <w:rPr>
          <w:rFonts w:ascii="Times New Roman;serif" w:hAnsi="Times New Roman;serif"/>
          <w:b w:val="false"/>
          <w:color w:val="000000"/>
          <w:sz w:val="24"/>
          <w:u w:val="single"/>
        </w:rPr>
        <w:t>Section 8.1(d)(ii)</w:t>
      </w:r>
      <w:r>
        <w:rPr>
          <w:color w:val="000000"/>
        </w:rPr>
        <w:t xml:space="preserve"> </w:t>
      </w:r>
      <w:r>
        <w:rPr>
          <w:rFonts w:ascii="Times New Roman;serif" w:hAnsi="Times New Roman;serif"/>
          <w:b w:val="false"/>
          <w:color w:val="000000"/>
          <w:sz w:val="24"/>
        </w:rPr>
        <w:t xml:space="preserve">(Company Superior Proposal) or (y) by Parent pursuant to </w:t>
      </w:r>
      <w:r>
        <w:rPr>
          <w:rFonts w:ascii="Times New Roman;serif" w:hAnsi="Times New Roman;serif"/>
          <w:b w:val="false"/>
          <w:color w:val="000000"/>
          <w:sz w:val="24"/>
          <w:u w:val="single"/>
        </w:rPr>
        <w:t>Section 8.1(e)(iii)</w:t>
      </w:r>
      <w:r>
        <w:rPr>
          <w:color w:val="000000"/>
        </w:rPr>
        <w:t xml:space="preserve"> </w:t>
      </w:r>
      <w:r>
        <w:rPr>
          <w:rFonts w:ascii="Times New Roman;serif" w:hAnsi="Times New Roman;serif"/>
          <w:b w:val="false"/>
          <w:color w:val="000000"/>
          <w:sz w:val="24"/>
        </w:rPr>
        <w:t>(Company Change of Recommendation), then the Company shall pay the Company Termination Fee to Parent, at or prior to the time of termination in the case of termination by the Company, or as promptly as reasonably practicable (and, in any event, within two Business Days following such termination) in the case of termination by Parent, in each case, payable by wire transfer of immediately available funds to an account designated in writing by Parent; or</w:t>
      </w:r>
    </w:p>
    <w:p>
      <w:pPr>
        <w:pStyle w:val="TextBody"/>
        <w:bidi w:val="0"/>
        <w:spacing w:lineRule="auto" w:line="240" w:before="0" w:after="240"/>
        <w:ind w:left="0" w:right="0" w:firstLine="720"/>
        <w:jc w:val="both"/>
        <w:rPr/>
      </w:pPr>
      <w:bookmarkStart w:id="411" w:name="i2830cf1ff90a4406af93350e6830a91d"/>
      <w:bookmarkEnd w:id="411"/>
      <w:r>
        <w:rPr>
          <w:rFonts w:ascii="Times New Roman;serif" w:hAnsi="Times New Roman;serif"/>
          <w:b w:val="false"/>
          <w:color w:val="000000"/>
          <w:sz w:val="24"/>
        </w:rPr>
        <w:t xml:space="preserve">(ii)(A) this Agreement is terminated by (x) either Parent or the Company pursuant to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Section 8.1(f)(i)</w:t>
      </w:r>
      <w:r>
        <w:rPr>
          <w:color w:val="000000"/>
        </w:rPr>
        <w:t xml:space="preserve"> </w:t>
      </w:r>
      <w:r>
        <w:rPr>
          <w:rFonts w:ascii="Times New Roman;serif" w:hAnsi="Times New Roman;serif"/>
          <w:b w:val="false"/>
          <w:color w:val="000000"/>
          <w:sz w:val="24"/>
        </w:rPr>
        <w:t xml:space="preserve">(Company Stockholders Meeting) or (y) by Parent pursuant to </w:t>
      </w:r>
      <w:r>
        <w:rPr>
          <w:rFonts w:ascii="Times New Roman;serif" w:hAnsi="Times New Roman;serif"/>
          <w:b w:val="false"/>
          <w:color w:val="000000"/>
          <w:sz w:val="24"/>
          <w:u w:val="single"/>
        </w:rPr>
        <w:t>Section 8.1(e)(i)</w:t>
      </w:r>
      <w:r>
        <w:rPr>
          <w:color w:val="000000"/>
        </w:rPr>
        <w:t xml:space="preserve"> </w:t>
      </w:r>
      <w:r>
        <w:rPr>
          <w:rFonts w:ascii="Times New Roman;serif" w:hAnsi="Times New Roman;serif"/>
          <w:b w:val="false"/>
          <w:color w:val="000000"/>
          <w:sz w:val="24"/>
        </w:rPr>
        <w:t xml:space="preserve">(Company Breach); (B)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written Company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the Company or any of its Subsidiaries completes, or enters into a definitive agreement with respect to and thereafter completes (regardless of whether such completion occurs within such twelve (12)-month period) a Company Takeover Proposal, then the Company shall pay to Parent the Company Termination Fee, such payment to be made promptly upon completion of such Company Takeover Proposal, payable by wire transfer of immediately available funds to an account designated in writing by Parent;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purposes of this </w:t>
      </w:r>
      <w:r>
        <w:rPr>
          <w:rFonts w:ascii="Times New Roman;serif" w:hAnsi="Times New Roman;serif"/>
          <w:b w:val="false"/>
          <w:color w:val="000000"/>
          <w:sz w:val="24"/>
          <w:u w:val="single"/>
        </w:rPr>
        <w:t>Section 8.3(b)(ii)</w:t>
      </w:r>
      <w:r>
        <w:rPr>
          <w:rFonts w:ascii="Times New Roman;serif" w:hAnsi="Times New Roman;serif"/>
          <w:b w:val="false"/>
          <w:color w:val="000000"/>
          <w:sz w:val="24"/>
        </w:rPr>
        <w:t xml:space="preserve">, all references in the definition of Company Takeover Proposal to twenty percent (20%) or eighty percent (80%) shall be deemed references to fifty percent (50%). </w:t>
      </w:r>
    </w:p>
    <w:p>
      <w:pPr>
        <w:pStyle w:val="TextBody"/>
        <w:bidi w:val="0"/>
        <w:spacing w:lineRule="auto" w:line="240" w:before="0" w:after="240"/>
        <w:ind w:left="0" w:right="0" w:firstLine="720"/>
        <w:jc w:val="both"/>
        <w:rPr/>
      </w:pPr>
      <w:bookmarkStart w:id="412" w:name="i306482ad13be4e6596d0d4259014263f"/>
      <w:bookmarkEnd w:id="412"/>
      <w:r>
        <w:rPr>
          <w:rFonts w:ascii="Times New Roman;serif" w:hAnsi="Times New Roman;serif"/>
          <w:b w:val="false"/>
          <w:color w:val="000000"/>
          <w:sz w:val="24"/>
        </w:rPr>
        <w:t>(c)</w:t>
      </w:r>
      <w:r>
        <w:rPr>
          <w:rFonts w:ascii="Times New Roman;serif" w:hAnsi="Times New Roman;serif"/>
          <w:b w:val="false"/>
          <w:color w:val="000000"/>
          <w:sz w:val="24"/>
          <w:shd w:fill="FFFFFF" w:val="clear"/>
        </w:rPr>
        <w:t>In the event that:</w:t>
      </w:r>
    </w:p>
    <w:p>
      <w:pPr>
        <w:pStyle w:val="TextBody"/>
        <w:bidi w:val="0"/>
        <w:spacing w:lineRule="auto" w:line="240" w:before="0" w:after="240"/>
        <w:ind w:left="0" w:right="0" w:firstLine="720"/>
        <w:jc w:val="both"/>
        <w:rPr/>
      </w:pPr>
      <w:bookmarkStart w:id="413" w:name="i31488732f9c14990ab5b579b98f13f1e"/>
      <w:bookmarkEnd w:id="413"/>
      <w:r>
        <w:rPr>
          <w:rFonts w:ascii="Times New Roman;serif" w:hAnsi="Times New Roman;serif"/>
          <w:b w:val="false"/>
          <w:color w:val="000000"/>
          <w:sz w:val="24"/>
        </w:rPr>
        <w:t xml:space="preserve">(i)this Agreement is terminated (x) by Parent pursuant to </w:t>
      </w:r>
      <w:r>
        <w:rPr>
          <w:rFonts w:ascii="Times New Roman;serif" w:hAnsi="Times New Roman;serif"/>
          <w:b w:val="false"/>
          <w:color w:val="000000"/>
          <w:sz w:val="24"/>
          <w:u w:val="single"/>
        </w:rPr>
        <w:t>Section 8.1(e)(ii)</w:t>
      </w:r>
      <w:r>
        <w:rPr>
          <w:color w:val="000000"/>
        </w:rPr>
        <w:t xml:space="preserve"> </w:t>
      </w:r>
      <w:r>
        <w:rPr>
          <w:rFonts w:ascii="Times New Roman;serif" w:hAnsi="Times New Roman;serif"/>
          <w:b w:val="false"/>
          <w:color w:val="000000"/>
          <w:sz w:val="24"/>
        </w:rPr>
        <w:t xml:space="preserve">(Parent Superior Proposal) or (y) by the Company pursuant to </w:t>
      </w:r>
      <w:r>
        <w:rPr>
          <w:rFonts w:ascii="Times New Roman;serif" w:hAnsi="Times New Roman;serif"/>
          <w:b w:val="false"/>
          <w:color w:val="000000"/>
          <w:sz w:val="24"/>
          <w:u w:val="single"/>
        </w:rPr>
        <w:t>Section 8.1(f)(ii)</w:t>
      </w:r>
      <w:r>
        <w:rPr>
          <w:color w:val="000000"/>
        </w:rPr>
        <w:t xml:space="preserve"> </w:t>
      </w:r>
      <w:r>
        <w:rPr>
          <w:rFonts w:ascii="Times New Roman;serif" w:hAnsi="Times New Roman;serif"/>
          <w:b w:val="false"/>
          <w:color w:val="000000"/>
          <w:sz w:val="24"/>
        </w:rPr>
        <w:t>(Parent Change of Recommendation), then Parent shall pay the Parent Termination Fee to the Company, at or prior to the time of termination in the case of termination by Parent, or as promptly as reasonably practicable (and, in any event, within two Business Days following such termination) in the case of termination by the Company, in each case, payable by wire transfer of immediately available funds to an account designated in writing by the Company; or</w:t>
      </w:r>
    </w:p>
    <w:p>
      <w:pPr>
        <w:pStyle w:val="TextBody"/>
        <w:bidi w:val="0"/>
        <w:spacing w:lineRule="auto" w:line="240" w:before="0" w:after="240"/>
        <w:ind w:left="0" w:right="0" w:firstLine="720"/>
        <w:jc w:val="both"/>
        <w:rPr/>
      </w:pPr>
      <w:bookmarkStart w:id="414" w:name="i704b46bd4694496c9975969c8ea61d8d"/>
      <w:bookmarkEnd w:id="414"/>
      <w:r>
        <w:rPr>
          <w:rFonts w:ascii="Times New Roman;serif" w:hAnsi="Times New Roman;serif"/>
          <w:b w:val="false"/>
          <w:color w:val="000000"/>
          <w:sz w:val="24"/>
        </w:rPr>
        <w:t xml:space="preserve">(ii)(A) this Agreement is terminated by (x) either the Company or Parent pursuant to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Section 8.1(f)(ii)</w:t>
      </w:r>
      <w:r>
        <w:rPr>
          <w:color w:val="000000"/>
        </w:rPr>
        <w:t xml:space="preserve"> </w:t>
      </w:r>
      <w:r>
        <w:rPr>
          <w:rFonts w:ascii="Times New Roman;serif" w:hAnsi="Times New Roman;serif"/>
          <w:b w:val="false"/>
          <w:color w:val="000000"/>
          <w:sz w:val="24"/>
        </w:rPr>
        <w:t xml:space="preserve">(Parent Stockholders Meeting) or (y) by the Company pursuant to </w:t>
      </w:r>
      <w:r>
        <w:rPr>
          <w:rFonts w:ascii="Times New Roman;serif" w:hAnsi="Times New Roman;serif"/>
          <w:b w:val="false"/>
          <w:color w:val="000000"/>
          <w:sz w:val="24"/>
          <w:u w:val="single"/>
        </w:rPr>
        <w:t>Section 8.1(d)(i)</w:t>
      </w:r>
      <w:r>
        <w:rPr>
          <w:color w:val="000000"/>
        </w:rPr>
        <w:t xml:space="preserve"> </w:t>
      </w:r>
      <w:r>
        <w:rPr>
          <w:rFonts w:ascii="Times New Roman;serif" w:hAnsi="Times New Roman;serif"/>
          <w:b w:val="false"/>
          <w:color w:val="000000"/>
          <w:sz w:val="24"/>
        </w:rPr>
        <w:t xml:space="preserve">(Parent Breach); (B) a bona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60705"/>
                <wp:effectExtent l="0" t="0" r="0" b="0"/>
                <wp:wrapNone/>
                <wp:docPr id="106" name="Frame10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fide written Parent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Parent or any of its Subsidiaries completes, or enters into a definitive agreement with respect to and thereafter completes (regardless of whether such completion occurs within such twelve (12)-month period) a Parent Takeover Proposal, then Parent shall pay to the Company the Parent Termination Fee, such payment to be made promptly upon completion of such Parent Takeover Proposal, payable by wire transfer of immediately available funds to an account designated in writing by the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purposes of this </w:t>
      </w:r>
      <w:r>
        <w:rPr>
          <w:rFonts w:ascii="Times New Roman;serif" w:hAnsi="Times New Roman;serif"/>
          <w:b w:val="false"/>
          <w:color w:val="000000"/>
          <w:sz w:val="24"/>
          <w:u w:val="single"/>
        </w:rPr>
        <w:t>Section 8.3(c)(ii)</w:t>
      </w:r>
      <w:r>
        <w:rPr>
          <w:rFonts w:ascii="Times New Roman;serif" w:hAnsi="Times New Roman;serif"/>
          <w:b w:val="false"/>
          <w:color w:val="000000"/>
          <w:sz w:val="24"/>
        </w:rPr>
        <w:t>, all references in the definition of Parent Takeover Proposal to twenty percent (20%) or eighty percent (80%) shall be deemed references to fifty percent (50%).</w:t>
      </w:r>
    </w:p>
    <w:p>
      <w:pPr>
        <w:pStyle w:val="TextBody"/>
        <w:bidi w:val="0"/>
        <w:spacing w:lineRule="auto" w:line="240" w:before="0" w:after="240"/>
        <w:ind w:left="0" w:right="0" w:firstLine="720"/>
        <w:jc w:val="both"/>
        <w:rPr/>
      </w:pPr>
      <w:bookmarkStart w:id="415" w:name="i328d24d5e92b426e864077e9b9630ac3"/>
      <w:bookmarkEnd w:id="415"/>
      <w:r>
        <w:rPr>
          <w:rFonts w:ascii="Times New Roman;serif" w:hAnsi="Times New Roman;serif"/>
          <w:b w:val="false"/>
          <w:color w:val="000000"/>
          <w:sz w:val="24"/>
        </w:rPr>
        <w:t>(d)</w:t>
      </w:r>
      <w:r>
        <w:rPr>
          <w:rFonts w:ascii="Times New Roman;serif" w:hAnsi="Times New Roman;serif"/>
          <w:b w:val="false"/>
          <w:color w:val="000000"/>
          <w:sz w:val="24"/>
          <w:shd w:fill="FFFFFF" w:val="clear"/>
        </w:rPr>
        <w:t>The parties hereto acknowledge and agree that in no event shall (i) the Company be required to pay the Company Termination Fee on more than one occasion or (ii) Parent be required to pay the Parent Termination Fee on more than one occasion. Each of the parties hereto acknowledges that each of the Company Termination Fee and the Parent Termination Fee is not intended to be a penalty but rather is liquidated damages in a reasonable amount that will compensate Parent, in the circumstances in which such Company Termination Fee is paid, and the Company, in the circumstances in which such Parent Termination Fee is paid, as the case may be, for the efforts and resources expended and opportunities foregone while negotiating this Agreement and in reliance on this Agreement and on the expectation of the consummation of the Transactions, which amount would otherwise be impossible to calculate with precision.</w:t>
      </w:r>
    </w:p>
    <w:p>
      <w:pPr>
        <w:pStyle w:val="TextBody"/>
        <w:bidi w:val="0"/>
        <w:spacing w:lineRule="auto" w:line="240" w:before="0" w:after="240"/>
        <w:ind w:left="0" w:right="0" w:firstLine="720"/>
        <w:jc w:val="both"/>
        <w:rPr/>
      </w:pPr>
      <w:bookmarkStart w:id="416" w:name="ia0b689b0e15948b58f00ad16c4d09de1"/>
      <w:bookmarkEnd w:id="416"/>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Each of the parties acknowledges that the agreements contained in this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are an integral part of the Transactions and that, without these agreements, the parties hereto would not enter into this Agreement. Accordingly, if a party hereto fails to promptly pay any amount due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and the other party commences a suit that results in a final and non-appealable judgment against the failing party for the amounts set forth in this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or a portion thereof, the failing party shall pay to the other party all reasonable and documented out-of-pocket fees, costs and expenses of enforcement (including reasonable and documented out-of-pocket attorney’s fees as well as expenses incurred in connection with any such action), together with interest on such amount or such portion thereof at the prime lending rate as published in the </w:t>
      </w:r>
      <w:r>
        <w:rPr>
          <w:rFonts w:ascii="Times New Roman;serif" w:hAnsi="Times New Roman;serif"/>
          <w:b w:val="false"/>
          <w:i/>
          <w:color w:val="000000"/>
          <w:sz w:val="24"/>
          <w:shd w:fill="FFFFFF" w:val="clear"/>
        </w:rPr>
        <w:t>Wall Street Journal</w:t>
      </w:r>
      <w:r>
        <w:rPr>
          <w:rFonts w:ascii="Times New Roman;serif" w:hAnsi="Times New Roman;serif"/>
          <w:b w:val="false"/>
          <w:color w:val="000000"/>
          <w:sz w:val="24"/>
          <w:shd w:fill="FFFFFF" w:val="clear"/>
        </w:rPr>
        <w:t>, in effect on the date such payment is required to be made (together, the “</w:t>
      </w:r>
      <w:r>
        <w:rPr>
          <w:rFonts w:ascii="Times New Roman;serif" w:hAnsi="Times New Roman;serif"/>
          <w:b w:val="false"/>
          <w:color w:val="000000"/>
          <w:sz w:val="24"/>
          <w:u w:val="single"/>
          <w:shd w:fill="FFFFFF" w:val="clear"/>
        </w:rPr>
        <w:t>Termination Expenses and Interest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417" w:name="if1d67c33bd084e0a81569d9b60ebf68b"/>
      <w:bookmarkEnd w:id="417"/>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anything to the contrary in this Agreement, but subject to the provisos in </w:t>
      </w:r>
      <w:r>
        <w:rPr>
          <w:rFonts w:ascii="Times New Roman;serif" w:hAnsi="Times New Roman;serif"/>
          <w:b w:val="false"/>
          <w:color w:val="000000"/>
          <w:sz w:val="24"/>
          <w:u w:val="single"/>
          <w:shd w:fill="FFFFFF" w:val="clear"/>
        </w:rPr>
        <w:t>Section 8.3(a)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in any circumstance in which this Agreement is terminated and Parent has the right to receive payment of the Company Termination Fee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the payment of the Company Termination Fee and, if applicable, the Termination Expenses and Interest, shall be the sole and exclusive remedy of Parent and the Merger Sub against the Company and the Company Operating Partnership pursuant to this Agreement, and upon payment of such amounts, the Company and the Company Operating Partnership shall have no further liability or obligation relating to or arising out of this Agreement (except that the Company remains obligated to pay to Parent and Merger Sub any amount due and payable pursuant to </w:t>
      </w:r>
      <w:r>
        <w:rPr>
          <w:rFonts w:ascii="Times New Roman;serif" w:hAnsi="Times New Roman;serif"/>
          <w:b w:val="false"/>
          <w:color w:val="000000"/>
          <w:sz w:val="24"/>
          <w:u w:val="single"/>
          <w:shd w:fill="FFFFFF" w:val="clear"/>
        </w:rPr>
        <w:t>Section 8.3(e)</w:t>
      </w:r>
      <w:r>
        <w:rPr>
          <w:rFonts w:ascii="Times New Roman;serif" w:hAnsi="Times New Roman;serif"/>
          <w:b w:val="false"/>
          <w:color w:val="000000"/>
          <w:sz w:val="24"/>
          <w:shd w:fill="FFFFFF" w:val="clear"/>
        </w:rPr>
        <w:t>), whether in equity or at law, in contract, in tort or otherwise.</w:t>
      </w:r>
    </w:p>
    <w:p>
      <w:pPr>
        <w:pStyle w:val="TextBody"/>
        <w:bidi w:val="0"/>
        <w:spacing w:lineRule="auto" w:line="240" w:before="0" w:after="240"/>
        <w:ind w:left="0" w:right="0" w:firstLine="720"/>
        <w:jc w:val="both"/>
        <w:rPr/>
      </w:pPr>
      <w:bookmarkStart w:id="418" w:name="ie266b733d8354aee83a5e5bdfbfbdc68"/>
      <w:bookmarkEnd w:id="418"/>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Notwithstanding anything to the contrary in this Agreement, but subject to the provisos in </w:t>
      </w:r>
      <w:r>
        <w:rPr>
          <w:rFonts w:ascii="Times New Roman;serif" w:hAnsi="Times New Roman;serif"/>
          <w:b w:val="false"/>
          <w:color w:val="000000"/>
          <w:sz w:val="24"/>
          <w:u w:val="single"/>
          <w:shd w:fill="FFFFFF" w:val="clear"/>
        </w:rPr>
        <w:t>Section 8.3(a)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in any circumstance in which this Agreement is terminated and the Company has the right to receive payment of the Parent Termination Fee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the payment of the Parent Termination Fee and, if applicable, the </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60705"/>
                <wp:effectExtent l="0" t="0" r="0" b="0"/>
                <wp:wrapNone/>
                <wp:docPr id="107" name="Frame10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Termination Expenses and Interest, shall be the sole and exclusive remedy of the Company and the Company Operating Partnership against Parent, Merger Sub and Parent Manager pursuant to this Agreement, and upon payment of such amounts, Parent, Merger Sub and Parent Manager shall have no further liability or obligation relating to or arising out of this Agreement (except that Parent remains obligated to pay to the Company any amount due and payable pursuant to </w:t>
      </w:r>
      <w:r>
        <w:rPr>
          <w:rFonts w:ascii="Times New Roman;serif" w:hAnsi="Times New Roman;serif"/>
          <w:b w:val="false"/>
          <w:color w:val="000000"/>
          <w:sz w:val="24"/>
          <w:u w:val="single"/>
          <w:shd w:fill="FFFFFF" w:val="clear"/>
        </w:rPr>
        <w:t>Section 8.3(e)</w:t>
      </w:r>
      <w:r>
        <w:rPr>
          <w:rFonts w:ascii="Times New Roman;serif" w:hAnsi="Times New Roman;serif"/>
          <w:b w:val="false"/>
          <w:color w:val="000000"/>
          <w:sz w:val="24"/>
          <w:shd w:fill="FFFFFF" w:val="clear"/>
        </w:rPr>
        <w:t>), whether in equity or at law, in contract, in tort or otherwise.</w:t>
      </w:r>
    </w:p>
    <w:p>
      <w:pPr>
        <w:pStyle w:val="TextBody"/>
        <w:bidi w:val="0"/>
        <w:spacing w:lineRule="auto" w:line="240" w:before="0" w:after="240"/>
        <w:ind w:left="0" w:right="0" w:firstLine="720"/>
        <w:jc w:val="both"/>
        <w:rPr/>
      </w:pPr>
      <w:bookmarkStart w:id="419" w:name="i77c3f1864999434588b9a1548c31c5ee"/>
      <w:bookmarkEnd w:id="419"/>
      <w:r>
        <w:rPr>
          <w:rFonts w:ascii="Times New Roman;serif" w:hAnsi="Times New Roman;serif"/>
          <w:b w:val="false"/>
          <w:color w:val="000000"/>
          <w:sz w:val="24"/>
        </w:rPr>
        <w:t>(h)</w:t>
      </w:r>
      <w:r>
        <w:rPr>
          <w:rFonts w:ascii="Times New Roman;serif" w:hAnsi="Times New Roman;serif"/>
          <w:b w:val="false"/>
          <w:color w:val="000000"/>
          <w:sz w:val="24"/>
          <w:shd w:fill="FFFFFF" w:val="clear"/>
        </w:rPr>
        <w:t>In the event that the Company is required to pay the Company Termination Fee:</w:t>
      </w:r>
    </w:p>
    <w:p>
      <w:pPr>
        <w:pStyle w:val="TextBody"/>
        <w:bidi w:val="0"/>
        <w:spacing w:lineRule="auto" w:line="240" w:before="0" w:after="240"/>
        <w:ind w:left="0" w:right="0" w:firstLine="720"/>
        <w:jc w:val="both"/>
        <w:rPr/>
      </w:pPr>
      <w:bookmarkStart w:id="420" w:name="iaed5825a2d5a46caa420b24ac3fa45a6"/>
      <w:bookmarkEnd w:id="420"/>
      <w:r>
        <w:rPr>
          <w:rFonts w:ascii="Times New Roman;serif" w:hAnsi="Times New Roman;serif"/>
          <w:b w:val="false"/>
          <w:color w:val="000000"/>
          <w:sz w:val="24"/>
        </w:rPr>
        <w:t>(i)The amount payable to Parent in any tax year of Parent shall not exceed the lesser of (A) the Company Termination Fee payable to Parent; and (B) the sum of (1) the maximum amount that can be paid to Parent without causing Parent to fail to meet the requirements of Sections 856(c)(2) and 856(c)(3) of the Code for the relevant tax year, determined as if the payment of such amount did not constitute income described in Sections 856(c)(2) or 856(c)(3) of the Code (“</w:t>
      </w:r>
      <w:r>
        <w:rPr>
          <w:rFonts w:ascii="Times New Roman;serif" w:hAnsi="Times New Roman;serif"/>
          <w:b w:val="false"/>
          <w:color w:val="000000"/>
          <w:sz w:val="24"/>
          <w:u w:val="single"/>
        </w:rPr>
        <w:t>Parent Qualifying Income</w:t>
      </w:r>
      <w:r>
        <w:rPr>
          <w:color w:val="000000"/>
        </w:rPr>
        <w:t>”</w:t>
      </w:r>
      <w:r>
        <w:rPr>
          <w:rFonts w:ascii="Times New Roman;serif" w:hAnsi="Times New Roman;serif"/>
          <w:b w:val="false"/>
          <w:color w:val="000000"/>
          <w:sz w:val="24"/>
        </w:rPr>
        <w:t xml:space="preserve">) and Parent has income from unknown sources during such year in an amount equal to one percent (1%) of its gross income which is not Parent Qualifying Income (in addition to any known or anticipated income which is not Parent Qualifying Income), in each case, as determined by Parent’s independent accountants,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(2) in the event that Parent received either (x) a letter from Parent’s counsel indicating that Parent has received a ruling from the IRS as described below or (y) an opinion from Parent’s outside counsel as described below, an amount equal to the excess of the Company Termination Fee, less the amount payable under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above.</w:t>
      </w:r>
    </w:p>
    <w:p>
      <w:pPr>
        <w:pStyle w:val="TextBody"/>
        <w:bidi w:val="0"/>
        <w:spacing w:lineRule="auto" w:line="240" w:before="0" w:after="240"/>
        <w:ind w:left="0" w:right="0" w:firstLine="720"/>
        <w:jc w:val="both"/>
        <w:rPr/>
      </w:pPr>
      <w:bookmarkStart w:id="421" w:name="i0dd70e15fb054a06b163c35e8e7dc535"/>
      <w:bookmarkEnd w:id="421"/>
      <w:r>
        <w:rPr>
          <w:rFonts w:ascii="Times New Roman;serif" w:hAnsi="Times New Roman;serif"/>
          <w:b w:val="false"/>
          <w:color w:val="000000"/>
          <w:sz w:val="24"/>
        </w:rPr>
        <w:t xml:space="preserve">(ii)To secure the Company’s obligation to pay the amounts described in </w:t>
      </w:r>
      <w:r>
        <w:rPr>
          <w:rFonts w:ascii="Times New Roman;serif" w:hAnsi="Times New Roman;serif"/>
          <w:b w:val="false"/>
          <w:color w:val="000000"/>
          <w:sz w:val="24"/>
          <w:u w:val="single"/>
        </w:rPr>
        <w:t>Section 8.3(h)(i)</w:t>
      </w:r>
      <w:r>
        <w:rPr>
          <w:rFonts w:ascii="Times New Roman;serif" w:hAnsi="Times New Roman;serif"/>
          <w:b w:val="false"/>
          <w:color w:val="000000"/>
          <w:sz w:val="24"/>
        </w:rPr>
        <w:t xml:space="preserve">, the Company shall deposit into escrow the amount in cash equal to the Company Termination Fee with an escrow agent selected by the Parent on such terms (subject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shall be mutually and reasonably agreed upon by Parent, the Company and the escrow agent. The payment or deposit into escrow of the Company Termination Fee pursuant to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shall be made at the time the Company is obligated to pay the Company Termination Fee. The escrow agent shall provide that the Company Termination Fee in escrow or any portion thereof shall not be released to Parent unless the escrow agent receives any one or a combination of the following: (i) a letter from Parent’s independent accountants indicating the maximum amount that can be paid by the escrow agent to Parent without causing Parent to fail to meet the requirements of Sections 856(c)(2) or 856(c)(3) of the Code determined as if the payment of such amount did not constitute Parent Qualifying Income and Parent has income from unknown sources during such year in an amount equal to one percent (1%) of its gross income which is not Parent Qualifying Income (in addition to any known or anticipated income which is not Parent Qualifying Income), in which case the escrow agent shall release such amount to Parent; or (ii) a letter from Parent’s counsel indicating that (A) Parent has received a ruling from the IRS holding that the receipt by Parent of the Company Termination Fee would either constitute Parent Qualifying Income or would be excluded from gross income within the meaning of Sections 856(c)(2) and 856(c)(3) of the Code or (B) Parent’s outside counsel has rendered a legal opinion to the effect that the receipt by Parent of the Company Termination Fee should either constitute Parent Qualifying Income or should be excluded from gross income within the meaning of Sections 856(c)(2) and 856(c)(3) of the Code, in which case the escrow agent shall release the remainder of the Company Termination Fee to Parent. The Company agrees to amend this </w:t>
      </w:r>
      <w:r>
        <w:rPr>
          <w:rFonts w:ascii="Times New Roman;serif" w:hAnsi="Times New Roman;serif"/>
          <w:b w:val="false"/>
          <w:color w:val="000000"/>
          <w:sz w:val="24"/>
          <w:u w:val="single"/>
        </w:rPr>
        <w:t>Section 8.3(h)</w:t>
      </w:r>
      <w:r>
        <w:rPr>
          <w:color w:val="000000"/>
        </w:rPr>
        <w:t xml:space="preserve"> </w:t>
      </w:r>
      <w:r>
        <w:rPr>
          <w:rFonts w:ascii="Times New Roman;serif" w:hAnsi="Times New Roman;serif"/>
          <w:b w:val="false"/>
          <w:color w:val="000000"/>
          <w:sz w:val="24"/>
        </w:rPr>
        <w:t xml:space="preserve">at the reasonable request of Parent in order to (1) maximize that portion of the Company Termination Fee that may be distributed to Parent hereunder without causing Parent to fail to meet the requirements of Sections 856(c)(2) and 856(c)(3) of the Code or (2) assist Parent in obtaining a favorable ruling from the IRS or legal opinion from its outside counsel, in each case, as described in this </w:t>
      </w:r>
      <w:r>
        <w:rPr>
          <w:rFonts w:ascii="Times New Roman;serif" w:hAnsi="Times New Roman;serif"/>
          <w:b w:val="false"/>
          <w:color w:val="000000"/>
          <w:sz w:val="24"/>
          <w:u w:val="single"/>
        </w:rPr>
        <w:t>Section 8.3(h)(ii)</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60705"/>
                <wp:effectExtent l="0" t="0" r="0" b="0"/>
                <wp:wrapNone/>
                <wp:docPr id="108" name="Frame10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amount of the Company Termination Fee that remains unpaid as of the end of a taxable year shall be paid as soon as possible during the following taxable year, subject to the foregoing limitation of this </w:t>
      </w:r>
      <w:r>
        <w:rPr>
          <w:rFonts w:ascii="Times New Roman;serif" w:hAnsi="Times New Roman;serif"/>
          <w:b w:val="false"/>
          <w:color w:val="000000"/>
          <w:sz w:val="24"/>
          <w:u w:val="single"/>
        </w:rPr>
        <w:t>Section 8.3(h)(i)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422" w:name="i7c4bbafc385440cbbc14173941e3778f"/>
      <w:bookmarkEnd w:id="422"/>
      <w:r>
        <w:rPr>
          <w:rFonts w:ascii="Times New Roman;serif" w:hAnsi="Times New Roman;serif"/>
          <w:b w:val="false"/>
          <w:color w:val="000000"/>
          <w:sz w:val="24"/>
        </w:rPr>
        <w:t>(i)</w:t>
      </w:r>
      <w:r>
        <w:rPr>
          <w:rFonts w:ascii="Times New Roman;serif" w:hAnsi="Times New Roman;serif"/>
          <w:b w:val="false"/>
          <w:color w:val="000000"/>
          <w:sz w:val="24"/>
          <w:shd w:fill="FFFFFF" w:val="clear"/>
        </w:rPr>
        <w:t>In the event that Parent is required to pay the Parent Termination Fee:</w:t>
      </w:r>
    </w:p>
    <w:p>
      <w:pPr>
        <w:pStyle w:val="TextBody"/>
        <w:bidi w:val="0"/>
        <w:spacing w:lineRule="auto" w:line="240" w:before="0" w:after="240"/>
        <w:ind w:left="0" w:right="0" w:firstLine="720"/>
        <w:jc w:val="both"/>
        <w:rPr/>
      </w:pPr>
      <w:bookmarkStart w:id="423" w:name="icff516235c974160b8d6cd6af78b2af2"/>
      <w:bookmarkEnd w:id="423"/>
      <w:r>
        <w:rPr>
          <w:rFonts w:ascii="Times New Roman;serif" w:hAnsi="Times New Roman;serif"/>
          <w:b w:val="false"/>
          <w:color w:val="000000"/>
          <w:sz w:val="24"/>
        </w:rPr>
        <w:t xml:space="preserve">(i)The amount payable to the Company in any tax year of the Company shall not exceed the lesser of (A) Parent Termination Fee payable to the Company; and (B) the sum of (1) the maximum amount that can be paid to the Company without causing the Company to fail to meet the requirements of Sections 856(c)(2) and 856(c)(3) of the Code for the relevant tax year, determined as if the payment of such amount did not constitute income described in Sections 856(c)(2) or 856(c)(3) of the Code (“Company Qualifying Income”) and the Company has income from unknown sources during such year in an amount equal to one percent (1%) of its gross income which is not Company Qualifying Income (in addition to any known or anticipated income which is not Company Qualifying Income), in each case, as determined by the Company’s independent accountants, plus (2) in the event that the Company received either (x) a letter from the Company’s counsel indicating that the Company has received a ruling from the IRS as described below or (y) an opinion from the Company’s outside counsel as described below, an amount equal to the excess of Parent Termination Fee, less the amount payable under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above.</w:t>
      </w:r>
    </w:p>
    <w:p>
      <w:pPr>
        <w:pStyle w:val="TextBody"/>
        <w:bidi w:val="0"/>
        <w:spacing w:lineRule="auto" w:line="240" w:before="0" w:after="240"/>
        <w:ind w:left="0" w:right="0" w:firstLine="720"/>
        <w:jc w:val="both"/>
        <w:rPr/>
      </w:pPr>
      <w:bookmarkStart w:id="424" w:name="i88db6876fa3c44f0a77e142c839a16a4"/>
      <w:bookmarkEnd w:id="424"/>
      <w:r>
        <w:rPr>
          <w:rFonts w:ascii="Times New Roman;serif" w:hAnsi="Times New Roman;serif"/>
          <w:b w:val="false"/>
          <w:color w:val="000000"/>
          <w:sz w:val="24"/>
        </w:rPr>
        <w:t xml:space="preserve">(ii)To secure Parent’s obligation to pay the amounts described in </w:t>
      </w:r>
      <w:r>
        <w:rPr>
          <w:rFonts w:ascii="Times New Roman;serif" w:hAnsi="Times New Roman;serif"/>
          <w:b w:val="false"/>
          <w:color w:val="000000"/>
          <w:sz w:val="24"/>
          <w:u w:val="single"/>
        </w:rPr>
        <w:t>Section 8.3(h)(i)</w:t>
      </w:r>
      <w:r>
        <w:rPr>
          <w:rFonts w:ascii="Times New Roman;serif" w:hAnsi="Times New Roman;serif"/>
          <w:b w:val="false"/>
          <w:color w:val="000000"/>
          <w:sz w:val="24"/>
        </w:rPr>
        <w:t xml:space="preserve">, Parent shall deposit into escrow the amount in cash equal to the Parent Termination Fee with an escrow agent selected by the Company on such terms (subject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shall be mutually and reasonably agreed upon by Parent, the Company and the escrow agent. The payment or deposit into escrow of the Parent Termination Fee pursuant to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shall be made at the time Parent is obligated to pay the Parent Termination Fee. The escrow agent shall provide that the Parent Termination Fee in escrow or any portion thereof shall not be released to the Company unless the escrow agent receives any one or a combination of the following: (i) a letter from the Company’s independent accountants indicating the maximum amount that can be paid by the escrow agent to the Company without causing the Company to fail to meet the requirements of Sections 856(c)(2) or 856(c)(3) of the Code determined as if the payment of such amount did not constitute Company Qualifying Income and the Company has income from unknown sources during such year in an amount equal to one percent (1%) of its gross income which is not Company Qualifying Income (in addition to any known or anticipated income which is not Company Qualifying Income), in which case the escrow agent shall release such amount to the Company; or (ii) a letter from the Company’s counsel indicating that (A) the Company has received a ruling from the IRS holding that the receipt by the Company of the Parent Termination Fee would either constitute Company Qualifying Income or would be excluded from gross income within the meaning of Sections 856(c)(2) and 856(c)(3) of the Code or (B) the Company’s outside counsel has rendered a legal opinion to the effect that the receipt by the Company of the Parent Termination Fee should either constitute Company Qualifying Income or should be excluded from gross income within the meaning of Sections 856(c)(2) and 856(c)(3) of the Code, in which case the escrow agent shall release the remainder of the Parent Termination Fee to the Company. Parent agrees to amend this </w:t>
      </w:r>
      <w:r>
        <w:rPr>
          <w:rFonts w:ascii="Times New Roman;serif" w:hAnsi="Times New Roman;serif"/>
          <w:b w:val="false"/>
          <w:color w:val="000000"/>
          <w:sz w:val="24"/>
          <w:u w:val="single"/>
        </w:rPr>
        <w:t>Section 8.3(i)</w:t>
      </w:r>
      <w:r>
        <w:rPr>
          <w:color w:val="000000"/>
        </w:rPr>
        <w:t xml:space="preserve"> </w:t>
      </w:r>
      <w:r>
        <w:rPr>
          <w:rFonts w:ascii="Times New Roman;serif" w:hAnsi="Times New Roman;serif"/>
          <w:b w:val="false"/>
          <w:color w:val="000000"/>
          <w:sz w:val="24"/>
        </w:rPr>
        <w:t xml:space="preserve">at the reasonable request of the Company in order to (1) maximize that portion of the Parent Termination Fee that may be distributed to the Company hereunder without causing the Company to fail to meet the requirements of Sections 856(c)(2) and 856(c)(3) of the Code or (2) assist the Company in obtaining a favorable ruling from the IRS or legal opinion from its outside counsel, in each case, as described in this </w:t>
      </w:r>
      <w:r>
        <w:rPr>
          <w:rFonts w:ascii="Times New Roman;serif" w:hAnsi="Times New Roman;serif"/>
          <w:b w:val="false"/>
          <w:color w:val="000000"/>
          <w:sz w:val="24"/>
          <w:u w:val="single"/>
        </w:rPr>
        <w:t>Section 8.3(i)(ii)</w:t>
      </w:r>
      <w:r>
        <w:rPr>
          <w:rFonts w:ascii="Times New Roman;serif" w:hAnsi="Times New Roman;serif"/>
          <w:b w:val="false"/>
          <w:color w:val="000000"/>
          <w:sz w:val="24"/>
        </w:rPr>
        <w:t xml:space="preserve">. Any amount of the Parent Termination Fee that remains unpaid as of the end of a taxable year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60705"/>
                <wp:effectExtent l="0" t="0" r="0" b="0"/>
                <wp:wrapNone/>
                <wp:docPr id="109" name="Frame10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shall be paid as soon as possible during the following taxable year, subject to the foregoing limitation of this </w:t>
      </w:r>
      <w:r>
        <w:rPr>
          <w:rFonts w:ascii="Times New Roman;serif" w:hAnsi="Times New Roman;serif"/>
          <w:b w:val="false"/>
          <w:color w:val="000000"/>
          <w:sz w:val="24"/>
          <w:u w:val="single"/>
        </w:rPr>
        <w:t>Section 8.3(i)(ii)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425" w:name="i542707ed33d94fa3a82fec71941e1e38"/>
      <w:bookmarkEnd w:id="425"/>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Notwithstanding anything to the contrary in this Agreement, Parent and Merger Sub, on the one hand, and Parent Manager, on the other hand, shall be severally, not jointly, liable in respect of their respective obligations under this Agreement, and, except as provided in </w:t>
      </w:r>
      <w:r>
        <w:rPr>
          <w:rFonts w:ascii="Times New Roman;serif" w:hAnsi="Times New Roman;serif"/>
          <w:b w:val="false"/>
          <w:color w:val="000000"/>
          <w:sz w:val="24"/>
          <w:u w:val="single"/>
          <w:shd w:fill="FFFFFF" w:val="clear"/>
        </w:rPr>
        <w:t>Section 3.4(a)</w:t>
      </w:r>
      <w:r>
        <w:rPr>
          <w:rFonts w:ascii="Times New Roman;serif" w:hAnsi="Times New Roman;serif"/>
          <w:b w:val="false"/>
          <w:color w:val="000000"/>
          <w:sz w:val="24"/>
          <w:shd w:fill="FFFFFF" w:val="clear"/>
        </w:rPr>
        <w:t>, neither the Parent nor Merger Sub shall be responsible for the obligations of Parent Manager hereunder, nor shall Parent Manager be responsible for the obligations of Parent and Merger Sub hereunder (including the obligation to pay the Per Share Parent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bookmarkStart w:id="426" w:name="i8dc35341d7ea4c3fa76d7c10aca71668"/>
      <w:bookmarkEnd w:id="426"/>
      <w:r>
        <w:rPr>
          <w:rFonts w:ascii="Times New Roman;serif" w:hAnsi="Times New Roman;serif"/>
          <w:b w:val="false"/>
          <w:color w:val="000000"/>
          <w:sz w:val="24"/>
        </w:rPr>
        <w:t>Article IX</w:t>
      </w:r>
      <w:r>
        <w:rPr>
          <w:rFonts w:ascii="Times New Roman;serif" w:hAnsi="Times New Roman;serif"/>
          <w:b w:val="false"/>
          <w:color w:val="000000"/>
          <w:sz w:val="24"/>
        </w:rPr>
        <w:br/>
        <w:br/>
      </w:r>
      <w:r>
        <w:rPr>
          <w:rFonts w:ascii="Times New Roman;serif" w:hAnsi="Times New Roman;serif"/>
          <w:b w:val="false"/>
          <w:color w:val="000000"/>
          <w:sz w:val="24"/>
          <w:shd w:fill="FFFFFF" w:val="clear"/>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27" w:name="i3c0968e300e74fdbb2c94ad0051d8f43"/>
      <w:bookmarkEnd w:id="427"/>
      <w:r>
        <w:rPr>
          <w:rFonts w:ascii="Times New Roman;serif" w:hAnsi="Times New Roman;serif"/>
          <w:b w:val="false"/>
          <w:color w:val="000000"/>
          <w:sz w:val="24"/>
        </w:rPr>
        <w:t>9.1.</w:t>
      </w:r>
      <w:r>
        <w:rPr>
          <w:rFonts w:ascii="Times New Roman;serif" w:hAnsi="Times New Roman;serif"/>
          <w:b w:val="false"/>
          <w:color w:val="000000"/>
          <w:sz w:val="24"/>
          <w:u w:val="single"/>
          <w:shd w:fill="FFFFFF" w:val="clear"/>
        </w:rPr>
        <w:t>Nonsurvival of Representations and Warranties</w:t>
      </w:r>
      <w:r>
        <w:rPr>
          <w:rFonts w:ascii="Times New Roman;serif" w:hAnsi="Times New Roman;serif"/>
          <w:b w:val="false"/>
          <w:color w:val="000000"/>
          <w:sz w:val="24"/>
        </w:rPr>
        <w:t xml:space="preserve">. None of the representations and warranties and, subject to the following sentence, covenants and agreements, in this Agreement or in any instrument delivered pursuant to this Agreement shall survive the Closing.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shall not limit any covenant or agreement of the parties hereto that by its terms contemplates performance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28" w:name="i87d0e077eb824c2484e072374187dea8"/>
      <w:bookmarkEnd w:id="428"/>
      <w:r>
        <w:rPr>
          <w:rFonts w:ascii="Times New Roman;serif" w:hAnsi="Times New Roman;serif"/>
          <w:b w:val="false"/>
          <w:color w:val="000000"/>
          <w:sz w:val="24"/>
        </w:rPr>
        <w:t>9.2.</w:t>
      </w:r>
      <w:r>
        <w:rPr>
          <w:rFonts w:ascii="Times New Roman;serif" w:hAnsi="Times New Roman;serif"/>
          <w:b w:val="false"/>
          <w:color w:val="000000"/>
          <w:sz w:val="24"/>
          <w:u w:val="single"/>
          <w:shd w:fill="FFFFFF" w:val="clear"/>
        </w:rPr>
        <w:t>Amendment; Waiver</w:t>
      </w:r>
      <w:r>
        <w:rPr>
          <w:rFonts w:ascii="Times New Roman;serif" w:hAnsi="Times New Roman;serif"/>
          <w:b w:val="false"/>
          <w:color w:val="000000"/>
          <w:sz w:val="24"/>
        </w:rPr>
        <w:t xml:space="preserve">. At any time prior to the Partnership Merger Effective Time, any provision of this Agreement may be amended or waived if, and only if, such amendment or waiver is in writing and signed, in the case of an amendment, by the Company, the Company Operating Partnership, Parent, Merger Sub and Parent Manager;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such amendment or waiver is proposed after the Company Stockholder Approval or the Parent Stockholder Approval is obtained, no such amendment or waiver shall be made or given that requires the approval of the stockholders of the Company or Parent under applicable Law unless the required further approval is obtained. After the Partnership Merger Effective Time, this Agreement may not be amended. Notwithstanding the foregoing, no failure or delay by any party hereto in exercising any right hereunder shall operate as a waiver thereof nor shall any single or partial exercise thereof preclude any other or further exercise of any other right 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29" w:name="id5a9bd8d3c374945bd919175fc2539bf"/>
      <w:bookmarkEnd w:id="429"/>
      <w:r>
        <w:rPr>
          <w:rFonts w:ascii="Times New Roman;serif" w:hAnsi="Times New Roman;serif"/>
          <w:b w:val="false"/>
          <w:color w:val="000000"/>
          <w:sz w:val="24"/>
        </w:rPr>
        <w:t>9.3.</w:t>
      </w:r>
      <w:r>
        <w:rPr>
          <w:rFonts w:ascii="Times New Roman;serif" w:hAnsi="Times New Roman;serif"/>
          <w:b w:val="false"/>
          <w:color w:val="000000"/>
          <w:sz w:val="24"/>
          <w:u w:val="single"/>
          <w:shd w:fill="FFFFFF" w:val="clear"/>
        </w:rPr>
        <w:t>Notice</w:t>
      </w:r>
      <w:r>
        <w:rPr>
          <w:rFonts w:ascii="Times New Roman;serif" w:hAnsi="Times New Roman;serif"/>
          <w:b w:val="false"/>
          <w:color w:val="000000"/>
          <w:sz w:val="24"/>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w:t>
      </w:r>
      <w:r>
        <w:rPr>
          <w:rFonts w:ascii="Times New Roman;serif" w:hAnsi="Times New Roman;serif"/>
          <w:b w:val="false"/>
          <w:color w:val="000000"/>
          <w:sz w:val="24"/>
          <w:shd w:fill="FFFFFF" w:val="clear"/>
        </w:rPr>
        <w:t xml:space="preserve">(c) </w:t>
      </w:r>
      <w:r>
        <w:rPr>
          <w:rFonts w:ascii="Times New Roman;serif" w:hAnsi="Times New Roman;serif"/>
          <w:b w:val="false"/>
          <w:color w:val="000000"/>
          <w:sz w:val="24"/>
        </w:rPr>
        <w:t xml:space="preserve">on the next Business Day if sent by an overnight delivery service marked for overnight delivery (providing proof of delivery), or </w:t>
      </w:r>
      <w:r>
        <w:rPr>
          <w:rFonts w:ascii="Times New Roman;serif" w:hAnsi="Times New Roman;serif"/>
          <w:b w:val="false"/>
          <w:color w:val="000000"/>
          <w:sz w:val="24"/>
          <w:shd w:fill="FFFFFF" w:val="clear"/>
        </w:rPr>
        <w:t xml:space="preserve">(d) </w:t>
      </w:r>
      <w:r>
        <w:rPr>
          <w:rFonts w:ascii="Times New Roman;serif" w:hAnsi="Times New Roman;serif"/>
          <w:b w:val="false"/>
          <w:color w:val="000000"/>
          <w:sz w:val="24"/>
        </w:rPr>
        <w:t>five Business Days after being deposited in the U.S. mail, certified or registered mail, postage prepaid:</w:t>
      </w:r>
    </w:p>
    <w:p>
      <w:pPr>
        <w:pStyle w:val="TextBody"/>
        <w:bidi w:val="0"/>
        <w:spacing w:lineRule="auto" w:line="288" w:before="0" w:after="240"/>
        <w:ind w:left="0" w:right="0" w:firstLine="720"/>
        <w:jc w:val="both"/>
        <w:rPr/>
      </w:pPr>
      <w:bookmarkStart w:id="430" w:name="i0d0d1ad7b055421ca4896e15aeceb5ff"/>
      <w:bookmarkEnd w:id="430"/>
      <w:r>
        <w:rPr>
          <w:rFonts w:ascii="Times New Roman;serif" w:hAnsi="Times New Roman;serif"/>
          <w:b w:val="false"/>
          <w:color w:val="000000"/>
          <w:sz w:val="24"/>
        </w:rPr>
        <w:t>(a)</w:t>
      </w:r>
      <w:r>
        <w:rPr>
          <w:rFonts w:ascii="Times New Roman;serif" w:hAnsi="Times New Roman;serif"/>
          <w:b w:val="false"/>
          <w:color w:val="000000"/>
          <w:sz w:val="24"/>
          <w:shd w:fill="FFFFFF" w:val="clear"/>
        </w:rPr>
        <w:t>If to the Company or the Company Operating Partnership, addressed as follows:</w:t>
      </w:r>
      <w:r>
        <w:rPr>
          <w:color w:val="000000"/>
        </w:rPr>
        <w:t xml:space="preserve"> </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 Cherry Hill Mortgage Investment Corporation</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4000 Route 66, Suite 310</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Tinton Falls, New Jersey 07753</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Attn: Jeffrey B. Lown II</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jay.lown@chmireit.com</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a copy (which shall not constitute notice) to:</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60705"/>
                <wp:effectExtent l="0" t="0" r="0" b="0"/>
                <wp:wrapNone/>
                <wp:docPr id="110" name="Frame1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shd w:fill="FFFFFF" w:val="clear"/>
        </w:rPr>
        <w:t>Mayer Brown LLP</w:t>
      </w:r>
      <w:r>
        <w:rPr>
          <w:color w:val="000000"/>
        </w:rPr>
        <w:t xml:space="preserve"> </w:t>
      </w:r>
      <w:r>
        <w:rPr>
          <w:rFonts w:ascii="Times New Roman;serif" w:hAnsi="Times New Roman;serif"/>
          <w:b w:val="false"/>
          <w:color w:val="000000"/>
          <w:sz w:val="24"/>
        </w:rPr>
        <w:br/>
      </w:r>
      <w:r>
        <w:rPr>
          <w:rFonts w:ascii="Times New Roman;serif" w:hAnsi="Times New Roman;serif"/>
          <w:b w:val="false"/>
          <w:color w:val="000000"/>
          <w:sz w:val="24"/>
          <w:shd w:fill="FFFFFF" w:val="clear"/>
        </w:rPr>
        <w:t>1221 Avenue of the Americas</w:t>
      </w:r>
      <w:r>
        <w:rPr>
          <w:rFonts w:ascii="Times New Roman;serif" w:hAnsi="Times New Roman;serif"/>
          <w:b w:val="false"/>
          <w:color w:val="000000"/>
          <w:sz w:val="24"/>
        </w:rPr>
        <w:br/>
      </w:r>
      <w:r>
        <w:rPr>
          <w:rFonts w:ascii="Times New Roman;serif" w:hAnsi="Times New Roman;serif"/>
          <w:b w:val="false"/>
          <w:color w:val="000000"/>
          <w:sz w:val="24"/>
          <w:shd w:fill="FFFFFF" w:val="clear"/>
        </w:rPr>
        <w:t>New York, New York 10020</w:t>
      </w:r>
      <w:r>
        <w:rPr>
          <w:rFonts w:ascii="Times New Roman;serif" w:hAnsi="Times New Roman;serif"/>
          <w:b w:val="false"/>
          <w:color w:val="000000"/>
          <w:sz w:val="24"/>
        </w:rPr>
        <w:br/>
      </w:r>
      <w:r>
        <w:rPr>
          <w:rFonts w:ascii="Times New Roman;serif" w:hAnsi="Times New Roman;serif"/>
          <w:b w:val="false"/>
          <w:color w:val="000000"/>
          <w:sz w:val="24"/>
          <w:shd w:fill="FFFFFF" w:val="clear"/>
        </w:rPr>
        <w:t>Attention: David Freed</w:t>
      </w:r>
      <w:r>
        <w:rPr>
          <w:rFonts w:ascii="Times New Roman;serif" w:hAnsi="Times New Roman;serif"/>
          <w:b w:val="false"/>
          <w:color w:val="000000"/>
          <w:sz w:val="24"/>
        </w:rPr>
        <w:br/>
      </w:r>
      <w:r>
        <w:rPr>
          <w:rFonts w:ascii="Times New Roman;serif" w:hAnsi="Times New Roman;serif"/>
          <w:b w:val="false"/>
          <w:color w:val="000000"/>
          <w:sz w:val="24"/>
          <w:shd w:fill="FFFFFF" w:val="clear"/>
        </w:rPr>
        <w:t>E-mail: dfreed@mayerbrown.com</w: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w:t>
      </w:r>
    </w:p>
    <w:p>
      <w:pPr>
        <w:pStyle w:val="TextBody"/>
        <w:bidi w:val="0"/>
        <w:spacing w:lineRule="auto" w:line="288" w:before="0" w:after="240"/>
        <w:jc w:val="left"/>
        <w:rPr/>
      </w:pPr>
      <w:r>
        <w:rPr>
          <w:rFonts w:ascii="Times New Roman;serif" w:hAnsi="Times New Roman;serif"/>
          <w:b w:val="false"/>
          <w:color w:val="000000"/>
          <w:sz w:val="24"/>
          <w:shd w:fill="FFFFFF" w:val="clear"/>
        </w:rPr>
        <w:t>Mayer Brown LLP</w:t>
      </w:r>
      <w:r>
        <w:rPr>
          <w:color w:val="000000"/>
        </w:rPr>
        <w:t xml:space="preserve"> </w:t>
      </w:r>
      <w:r>
        <w:rPr>
          <w:rFonts w:ascii="Times New Roman;serif" w:hAnsi="Times New Roman;serif"/>
          <w:b w:val="false"/>
          <w:color w:val="000000"/>
          <w:sz w:val="24"/>
        </w:rPr>
        <w:br/>
      </w:r>
      <w:r>
        <w:rPr>
          <w:rFonts w:ascii="Times New Roman;serif" w:hAnsi="Times New Roman;serif"/>
          <w:b w:val="false"/>
          <w:color w:val="000000"/>
          <w:sz w:val="24"/>
          <w:shd w:fill="FFFFFF" w:val="clear"/>
        </w:rPr>
        <w:t>71 South Wacker Drive</w:t>
      </w:r>
      <w:r>
        <w:rPr>
          <w:rFonts w:ascii="Times New Roman;serif" w:hAnsi="Times New Roman;serif"/>
          <w:b w:val="false"/>
          <w:color w:val="000000"/>
          <w:sz w:val="24"/>
        </w:rPr>
        <w:br/>
      </w:r>
      <w:r>
        <w:rPr>
          <w:rFonts w:ascii="Times New Roman;serif" w:hAnsi="Times New Roman;serif"/>
          <w:b w:val="false"/>
          <w:color w:val="000000"/>
          <w:sz w:val="24"/>
          <w:shd w:fill="FFFFFF" w:val="clear"/>
        </w:rPr>
        <w:t>Chicago, Illinois 60606</w:t>
      </w:r>
      <w:r>
        <w:rPr>
          <w:rFonts w:ascii="Times New Roman;serif" w:hAnsi="Times New Roman;serif"/>
          <w:b w:val="false"/>
          <w:color w:val="000000"/>
          <w:sz w:val="24"/>
        </w:rPr>
        <w:br/>
      </w:r>
      <w:r>
        <w:rPr>
          <w:rFonts w:ascii="Times New Roman;serif" w:hAnsi="Times New Roman;serif"/>
          <w:b w:val="false"/>
          <w:color w:val="000000"/>
          <w:sz w:val="24"/>
          <w:shd w:fill="FFFFFF" w:val="clear"/>
        </w:rPr>
        <w:t>Attention: Andrew Noreuil, Ryan Ferris</w:t>
      </w:r>
      <w:r>
        <w:rPr>
          <w:rFonts w:ascii="Times New Roman;serif" w:hAnsi="Times New Roman;serif"/>
          <w:b w:val="false"/>
          <w:color w:val="000000"/>
          <w:sz w:val="24"/>
        </w:rPr>
        <w:br/>
      </w:r>
      <w:r>
        <w:rPr>
          <w:rFonts w:ascii="Times New Roman;serif" w:hAnsi="Times New Roman;serif"/>
          <w:b w:val="false"/>
          <w:color w:val="000000"/>
          <w:sz w:val="24"/>
          <w:shd w:fill="FFFFFF" w:val="clear"/>
        </w:rPr>
        <w:t>E-mail: anoreuil@mayerbrown.com; rferris@mayerbrown.com</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ind w:left="0" w:right="0" w:firstLine="720"/>
        <w:jc w:val="both"/>
        <w:rPr/>
      </w:pPr>
      <w:bookmarkStart w:id="431" w:name="i1e5c4359d9664f4a87752bd122360553"/>
      <w:bookmarkEnd w:id="431"/>
      <w:r>
        <w:rPr>
          <w:rFonts w:ascii="Times New Roman;serif" w:hAnsi="Times New Roman;serif"/>
          <w:b w:val="false"/>
          <w:color w:val="000000"/>
          <w:sz w:val="24"/>
        </w:rPr>
        <w:t>(b)</w:t>
      </w:r>
      <w:r>
        <w:rPr>
          <w:rFonts w:ascii="Times New Roman;serif" w:hAnsi="Times New Roman;serif"/>
          <w:b w:val="false"/>
          <w:color w:val="000000"/>
          <w:sz w:val="24"/>
          <w:shd w:fill="FFFFFF" w:val="clear"/>
        </w:rPr>
        <w:t>If to Parent, Merger Sub or Parent Manager, or after the Closing, the Surviving Entity, addressed as follows:</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 AG REIT Management, LLC</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245 Park Avenue, 26th Floor</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New York, New York 10167</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Jenny B. Neslin, Legal Department</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jneslin@tpg.com; legal@angelogordon.com</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Hunton Andrews Kurth LLP</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200 Park Avenue</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New York, New York 10166</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Steven M. Haas</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shaas@hunton.com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Hunton Andrews Kurth LLP</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2200 Pennsylvania Avenue, NW</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Washington, DC 20037</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Robert K. Smith</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rsmith@hunton.com</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or to such other individual or address as a party hereto may designate for itself by notice given as herein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32" w:name="ib56e5ad8bac54d8a94d8d3d82bcaeba1"/>
      <w:bookmarkEnd w:id="432"/>
      <w:r>
        <w:rPr>
          <w:rFonts w:ascii="Times New Roman;serif" w:hAnsi="Times New Roman;serif"/>
          <w:b w:val="false"/>
          <w:color w:val="000000"/>
          <w:sz w:val="24"/>
        </w:rPr>
        <w:t>9.4.</w:t>
      </w:r>
      <w:r>
        <w:rPr>
          <w:rFonts w:ascii="Times New Roman;serif" w:hAnsi="Times New Roman;serif"/>
          <w:b w:val="false"/>
          <w:color w:val="000000"/>
          <w:sz w:val="24"/>
          <w:u w:val="single"/>
          <w:shd w:fill="FFFFFF" w:val="clear"/>
        </w:rPr>
        <w:t>Counterparts</w:t>
      </w:r>
      <w:r>
        <w:rPr>
          <w:rFonts w:ascii="Times New Roman;serif" w:hAnsi="Times New Roman;serif"/>
          <w:b w:val="false"/>
          <w:color w:val="000000"/>
          <w:sz w:val="24"/>
        </w:rPr>
        <w:t xml:space="preserve">.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60705"/>
                <wp:effectExtent l="0" t="0" r="0" b="0"/>
                <wp:wrapNone/>
                <wp:docPr id="111" name="Frame1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extent applicable, the foregoing constitutes the election of the parties hereto to invoke any Law authorizing electronic signatures.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33" w:name="i4e47b2a5a4354da4ac13a7970d3906b7"/>
      <w:bookmarkEnd w:id="433"/>
      <w:r>
        <w:rPr>
          <w:rFonts w:ascii="Times New Roman;serif" w:hAnsi="Times New Roman;serif"/>
          <w:b w:val="false"/>
          <w:color w:val="000000"/>
          <w:sz w:val="24"/>
        </w:rPr>
        <w:t>9.5.</w:t>
      </w:r>
      <w:r>
        <w:rPr>
          <w:rFonts w:ascii="Times New Roman;serif" w:hAnsi="Times New Roman;serif"/>
          <w:b w:val="false"/>
          <w:color w:val="000000"/>
          <w:sz w:val="24"/>
          <w:u w:val="single"/>
          <w:shd w:fill="FFFFFF" w:val="clear"/>
        </w:rPr>
        <w:t>Interpretation</w:t>
      </w:r>
      <w:r>
        <w:rPr>
          <w:rFonts w:ascii="Times New Roman;serif" w:hAnsi="Times New Roman;serif"/>
          <w:b w:val="false"/>
          <w:color w:val="000000"/>
          <w:sz w:val="24"/>
        </w:rPr>
        <w:t>. The headings preceding the text of Articles and Sections included in this Agreement and the headings to Sections of the Company Disclosure Letter and the Parent Disclosure Letter are for convenience only and shall not be deemed part of this Agreement, the Company Disclosure Letter or the Parent Disclosure Letter or be given any effect in interpreting this Agreement, the Company Disclosure Letter or the Parent Disclosure Letter.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Articles, Sections or Exhibits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References to documents or information “made available” or “provided” to Parent or similar terms shall mean documents or information (x) uploaded to the “Project Piper” data room hosted by Intralinks, Inc. or (y) provided via email or fileshare site or other method by a Representative of the Company to Parent or Representatives of Parent prior to the entry into and execution of this Agreement. The words “hereof”, “herein” and “hereunder” and words of like import used in this Agreement shall refer to this Agreement as a whole and not to any particular provision of this Agreement. Any capitalized term used in any Exhibit, the Company Disclosure Letter or the Parent Disclosure Letter but not otherwise defined therein shall have the meaning given to such term in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All references to dollars or to “$” shall be references to United States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34" w:name="ic83bebe660374a0692da43ec6ad20d68"/>
      <w:bookmarkEnd w:id="434"/>
      <w:r>
        <w:rPr>
          <w:rFonts w:ascii="Times New Roman;serif" w:hAnsi="Times New Roman;serif"/>
          <w:b w:val="false"/>
          <w:color w:val="000000"/>
          <w:sz w:val="24"/>
        </w:rPr>
        <w:t>9.6.</w:t>
      </w:r>
      <w:r>
        <w:rPr>
          <w:rFonts w:ascii="Times New Roman;serif" w:hAnsi="Times New Roman;serif"/>
          <w:b w:val="false"/>
          <w:color w:val="000000"/>
          <w:sz w:val="24"/>
          <w:u w:val="single"/>
          <w:shd w:fill="FFFFFF" w:val="clear"/>
        </w:rPr>
        <w:t>Specific Performance</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bookmarkStart w:id="435" w:name="i99d069fbf8b44d19b1e5edfaff14f7b0"/>
      <w:bookmarkEnd w:id="435"/>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parties hereto agree that irreparable damage for which monetary relief (including any fees payable pursuant to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the Mergers and effect the Closing. Subject to the following sentence, the parties hereto acknowledge and agree that (a) the parties hereto (on behalf of themselves or any third-party beneficiary to this Agreement) shall be entitled to an injunction or injunctions, specific performance or other equitable relief to prevent breaches of this Agreement and to enforce specifically the terms and provisions hereof in the courts described in </w:t>
      </w:r>
      <w:r>
        <w:rPr>
          <w:rFonts w:ascii="Times New Roman;serif" w:hAnsi="Times New Roman;serif"/>
          <w:b w:val="false"/>
          <w:color w:val="000000"/>
          <w:sz w:val="24"/>
          <w:u w:val="single"/>
          <w:shd w:fill="FFFFFF" w:val="clear"/>
        </w:rPr>
        <w:t>Section 9.7(b)</w:t>
      </w:r>
      <w:r>
        <w:rPr>
          <w:color w:val="000000"/>
          <w:shd w:fill="FFFFFF" w:val="clear"/>
        </w:rPr>
        <w:t xml:space="preserve"> </w:t>
      </w:r>
      <w:r>
        <w:rPr>
          <w:rFonts w:ascii="Times New Roman;serif" w:hAnsi="Times New Roman;serif"/>
          <w:b w:val="false"/>
          <w:color w:val="000000"/>
          <w:sz w:val="24"/>
          <w:shd w:fill="FFFFFF" w:val="clear"/>
        </w:rPr>
        <w:t xml:space="preserve">without proof of damages or otherwise, this being in addition to any other remedy to which they are entitled under this Agreement or at law or in equity; (b) the provisions set forth in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shall not be construed to diminish or otherwise impair in any respect any party’s right to specific enforcement; and (c) the right of specific enforcement is an integral part of the Transactions and without that right the parties would have entered into this Agreement. The right to specific enforcement hereunder shall include the right of a party, on behalf of itself and any third-party beneficiaries to this Agreement, to cause the other parties to consummate the Mergers and the other Transactions on the terms and subject to the conditions set forth in this Agreement. The parties hereto agree not to assert that a remedy of specific enforcement is unenforceable,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60705"/>
                <wp:effectExtent l="0" t="0" r="0" b="0"/>
                <wp:wrapNone/>
                <wp:docPr id="112" name="Frame1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invalid, contrary to Law or inequitable for any reason, and not to assert that a remedy of monetary damages would provide an adequate remedy or that the parties hereto otherwise have an adequate remedy at law, other than an assertion that the exercise of specific performance was not effected in accordance with provisions of this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The parties hereto acknowledge and agree that any party hereto seeking an injunction or injunctions to prevent and to enforce specifically the terms and provisions of this Agreement in accordance with this </w:t>
      </w:r>
      <w:r>
        <w:rPr>
          <w:rFonts w:ascii="Times New Roman;serif" w:hAnsi="Times New Roman;serif"/>
          <w:b w:val="false"/>
          <w:color w:val="000000"/>
          <w:sz w:val="24"/>
          <w:u w:val="single"/>
          <w:shd w:fill="FFFFFF" w:val="clear"/>
        </w:rPr>
        <w:t>Section 9.6</w:t>
      </w:r>
      <w:r>
        <w:rPr>
          <w:color w:val="000000"/>
          <w:shd w:fill="FFFFFF" w:val="clear"/>
        </w:rPr>
        <w:t xml:space="preserve"> </w:t>
      </w:r>
      <w:r>
        <w:rPr>
          <w:rFonts w:ascii="Times New Roman;serif" w:hAnsi="Times New Roman;serif"/>
          <w:b w:val="false"/>
          <w:color w:val="000000"/>
          <w:sz w:val="24"/>
          <w:shd w:fill="FFFFFF" w:val="clear"/>
        </w:rPr>
        <w:t xml:space="preserve">shall not be required to provide any bond or other security in connection with any such order or injunction.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36" w:name="iae2867d46f544142921e40cdf7d3bfaf"/>
      <w:bookmarkEnd w:id="436"/>
      <w:r>
        <w:rPr>
          <w:rFonts w:ascii="Times New Roman;serif" w:hAnsi="Times New Roman;serif"/>
          <w:b w:val="false"/>
          <w:color w:val="000000"/>
          <w:sz w:val="24"/>
        </w:rPr>
        <w:t>9.7.</w:t>
      </w:r>
      <w:r>
        <w:rPr>
          <w:rFonts w:ascii="Times New Roman;serif" w:hAnsi="Times New Roman;serif"/>
          <w:b w:val="false"/>
          <w:color w:val="000000"/>
          <w:sz w:val="24"/>
          <w:u w:val="single"/>
          <w:shd w:fill="FFFFFF" w:val="clear"/>
        </w:rPr>
        <w:t>Governing Law and Venue; Submission to Jurisdiction; Selection of Forum; Waiver of Trial by Jury</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bookmarkStart w:id="437" w:name="i6aeb234ebe8d499aa75f809145827a0d"/>
      <w:bookmarkEnd w:id="437"/>
      <w:r>
        <w:rPr>
          <w:rFonts w:ascii="Times New Roman;serif" w:hAnsi="Times New Roman;serif"/>
          <w:b w:val="false"/>
          <w:color w:val="000000"/>
          <w:sz w:val="24"/>
        </w:rPr>
        <w:t>(a)</w:t>
      </w:r>
      <w:r>
        <w:rPr>
          <w:rFonts w:ascii="Times New Roman;serif" w:hAnsi="Times New Roman;serif"/>
          <w:b w:val="false"/>
          <w:color w:val="000000"/>
          <w:sz w:val="24"/>
          <w:shd w:fill="FFFFFF" w:val="clear"/>
        </w:rPr>
        <w:t>This Agreement shall be deemed to be made in and in all respects shall be interpreted, construed and governed by and in accordance with the Laws of the State of Maryland without regard to the conflicts of laws provisions, rules or principles thereof (or any other jurisdiction).</w:t>
      </w:r>
    </w:p>
    <w:p>
      <w:pPr>
        <w:pStyle w:val="TextBody"/>
        <w:bidi w:val="0"/>
        <w:spacing w:lineRule="auto" w:line="240" w:before="0" w:after="240"/>
        <w:ind w:left="0" w:right="0" w:firstLine="720"/>
        <w:jc w:val="both"/>
        <w:rPr/>
      </w:pPr>
      <w:bookmarkStart w:id="438" w:name="i101c30da9ff641afbfa0ddeeec96bcae"/>
      <w:bookmarkEnd w:id="438"/>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Each of the parties hereto: (i) agrees that all Litigation in connection with, arising out of or otherwise relating to this Agreement, any instrument or other document delivered pursuant to this Agreement (other than the Confidentiality Agreement) or the Transactions shall be heard and determined exclusively in the Circuit Court for Baltimore City, Maryland, or, if that court does not have jurisdiction, in the United States District Court for the District of Maryland, Northern Division; and (ii) solely in connection with such Litigation, (A) agrees,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w:t>
      </w:r>
      <w:r>
        <w:rPr>
          <w:rFonts w:ascii="Times New Roman;serif" w:hAnsi="Times New Roman;serif"/>
          <w:b w:val="false"/>
          <w:color w:val="000000"/>
          <w:sz w:val="24"/>
          <w:u w:val="single"/>
          <w:shd w:fill="FFFFFF" w:val="clear"/>
        </w:rPr>
        <w:t>Section 9.3</w:t>
      </w:r>
      <w:r>
        <w:rPr>
          <w:color w:val="000000"/>
          <w:shd w:fill="FFFFFF" w:val="clear"/>
        </w:rPr>
        <w:t xml:space="preserve"> </w:t>
      </w:r>
      <w:r>
        <w:rPr>
          <w:rFonts w:ascii="Times New Roman;serif" w:hAnsi="Times New Roman;serif"/>
          <w:b w:val="false"/>
          <w:color w:val="000000"/>
          <w:sz w:val="24"/>
          <w:shd w:fill="FFFFFF" w:val="clear"/>
        </w:rPr>
        <w:t xml:space="preserve">or in such other manner as may be permitted by applicable Law shall be valid and sufficient service thereof; and (F) it shall not assert as a defense any matter or claim waived by the foregoing </w:t>
      </w:r>
      <w:r>
        <w:rPr>
          <w:rFonts w:ascii="Times New Roman;serif" w:hAnsi="Times New Roman;serif"/>
          <w:b w:val="false"/>
          <w:color w:val="000000"/>
          <w:sz w:val="24"/>
          <w:u w:val="single"/>
          <w:shd w:fill="FFFFFF" w:val="clear"/>
        </w:rPr>
        <w:t>clauses (B)</w:t>
      </w:r>
      <w:r>
        <w:rPr>
          <w:color w:val="000000"/>
          <w:shd w:fill="FFFFFF" w:val="clear"/>
        </w:rPr>
        <w:t xml:space="preserve"> </w:t>
      </w:r>
      <w:r>
        <w:rPr>
          <w:rFonts w:ascii="Times New Roman;serif" w:hAnsi="Times New Roman;serif"/>
          <w:b w:val="false"/>
          <w:color w:val="000000"/>
          <w:sz w:val="24"/>
          <w:shd w:fill="FFFFFF" w:val="clear"/>
        </w:rPr>
        <w:t xml:space="preserve">through </w:t>
      </w:r>
      <w:r>
        <w:rPr>
          <w:rFonts w:ascii="Times New Roman;serif" w:hAnsi="Times New Roman;serif"/>
          <w:b w:val="false"/>
          <w:color w:val="000000"/>
          <w:sz w:val="24"/>
          <w:u w:val="single"/>
          <w:shd w:fill="FFFFFF" w:val="clear"/>
        </w:rPr>
        <w:t>(E)</w:t>
      </w:r>
      <w:r>
        <w:rPr>
          <w:color w:val="000000"/>
          <w:shd w:fill="FFFFFF" w:val="clear"/>
        </w:rPr>
        <w:t xml:space="preserve"> </w:t>
      </w:r>
      <w:r>
        <w:rPr>
          <w:rFonts w:ascii="Times New Roman;serif" w:hAnsi="Times New Roman;serif"/>
          <w:b w:val="false"/>
          <w:color w:val="000000"/>
          <w:sz w:val="24"/>
          <w:shd w:fill="FFFFFF" w:val="clear"/>
        </w:rPr>
        <w:t xml:space="preserve">of this </w:t>
      </w:r>
      <w:r>
        <w:rPr>
          <w:rFonts w:ascii="Times New Roman;serif" w:hAnsi="Times New Roman;serif"/>
          <w:b w:val="false"/>
          <w:color w:val="000000"/>
          <w:sz w:val="24"/>
          <w:u w:val="single"/>
          <w:shd w:fill="FFFFFF" w:val="clear"/>
        </w:rPr>
        <w:t>Section 9.7(b)</w:t>
      </w:r>
      <w:r>
        <w:rPr>
          <w:color w:val="000000"/>
          <w:shd w:fill="FFFFFF" w:val="clear"/>
        </w:rPr>
        <w:t xml:space="preserve"> </w:t>
      </w:r>
      <w:r>
        <w:rPr>
          <w:rFonts w:ascii="Times New Roman;serif" w:hAnsi="Times New Roman;serif"/>
          <w:b w:val="false"/>
          <w:color w:val="000000"/>
          <w:sz w:val="24"/>
          <w:shd w:fill="FFFFFF" w:val="clear"/>
        </w:rPr>
        <w:t>or that any Order issued by such courts may not be enforced in or by such courts.</w:t>
      </w:r>
    </w:p>
    <w:p>
      <w:pPr>
        <w:pStyle w:val="TextBody"/>
        <w:bidi w:val="0"/>
        <w:spacing w:lineRule="auto" w:line="240" w:before="0" w:after="240"/>
        <w:ind w:left="0" w:right="0" w:firstLine="720"/>
        <w:jc w:val="both"/>
        <w:rPr/>
      </w:pPr>
      <w:bookmarkStart w:id="439" w:name="icdca2f091fc74425959389b889407007"/>
      <w:bookmarkEnd w:id="439"/>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Each of the parties hereto acknowledges and agrees that any controversy that may be connected with, arise out of or otherwise relate to this Agreement, any instrument or other document delivered pursuant to this Agreement or the Transactions is expected to involve complicated and difficult issues, and therefore each party hereto irrevocably and unconditionally waives to the fullest extent permitted by applicable Law any right it may have to a trial by jury with respect to any Litigation, directly or indirectly, connected with, arising out of or otherwise relating to this Agreement, any instrument or other document delivered pursuant to this Agreement or the Transactions. Each party hereto hereby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set forth in this </w:t>
      </w:r>
      <w:r>
        <w:rPr>
          <w:rFonts w:ascii="Times New Roman;serif" w:hAnsi="Times New Roman;serif"/>
          <w:b w:val="false"/>
          <w:color w:val="000000"/>
          <w:sz w:val="24"/>
          <w:u w:val="single"/>
          <w:shd w:fill="FFFFFF" w:val="clear"/>
        </w:rPr>
        <w:t>Section 9.7(c)</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40" w:name="id96d9e633f8f49d98e56e6563f7e3c2f"/>
      <w:bookmarkEnd w:id="440"/>
      <w:r>
        <w:rPr>
          <w:rFonts w:ascii="Times New Roman;serif" w:hAnsi="Times New Roman;serif"/>
          <w:b w:val="false"/>
          <w:color w:val="000000"/>
          <w:sz w:val="24"/>
        </w:rPr>
        <w:t>9.8.</w:t>
      </w:r>
      <w:r>
        <w:rPr>
          <w:rFonts w:ascii="Times New Roman;serif" w:hAnsi="Times New Roman;serif"/>
          <w:b w:val="false"/>
          <w:color w:val="000000"/>
          <w:sz w:val="24"/>
          <w:u w:val="single"/>
          <w:shd w:fill="FFFFFF" w:val="clear"/>
        </w:rPr>
        <w:t>Binding Agreement</w:t>
      </w:r>
      <w:r>
        <w:rPr>
          <w:rFonts w:ascii="Times New Roman;serif" w:hAnsi="Times New Roman;serif"/>
          <w:b w:val="false"/>
          <w:color w:val="000000"/>
          <w:sz w:val="24"/>
        </w:rPr>
        <w:t>. This Agreement shall be binding upon and inure to the benefit of the parties hereto and their respective successors and permitted assigns.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60705"/>
                <wp:effectExtent l="0" t="0" r="0" b="0"/>
                <wp:wrapNone/>
                <wp:docPr id="113" name="Frame1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441" w:name="i7bcf8484ef984c52a381f89dd4dfd3bc"/>
      <w:bookmarkEnd w:id="441"/>
      <w:r>
        <w:rPr>
          <w:rFonts w:ascii="Times New Roman;serif" w:hAnsi="Times New Roman;serif"/>
          <w:b w:val="false"/>
          <w:color w:val="000000"/>
          <w:sz w:val="24"/>
        </w:rPr>
        <w:t>9.9.</w:t>
      </w:r>
      <w:r>
        <w:rPr>
          <w:rFonts w:ascii="Times New Roman;serif" w:hAnsi="Times New Roman;serif"/>
          <w:b w:val="false"/>
          <w:color w:val="000000"/>
          <w:sz w:val="24"/>
          <w:u w:val="single"/>
          <w:shd w:fill="FFFFFF" w:val="clear"/>
        </w:rPr>
        <w:t>Entire Understanding</w:t>
      </w:r>
      <w:r>
        <w:rPr>
          <w:rFonts w:ascii="Times New Roman;serif" w:hAnsi="Times New Roman;serif"/>
          <w:b w:val="false"/>
          <w:color w:val="000000"/>
          <w:sz w:val="24"/>
        </w:rPr>
        <w:t xml:space="preserve">. This Agreement, together with the Exhibits, the Company Disclosure Letter, the Parent Disclosure Letter, the Confidentiality Agreement and the Support Agreement, constitutes the entire agreement, and supersedes all other prior agreements and understandings, both written and oral, between the parties hereto, or any of them, with respect to the subject matter hereof and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42" w:name="i003e43c0f24b4289ac8d43ac328bd398"/>
      <w:bookmarkEnd w:id="442"/>
      <w:r>
        <w:rPr>
          <w:rFonts w:ascii="Times New Roman;serif" w:hAnsi="Times New Roman;serif"/>
          <w:b w:val="false"/>
          <w:color w:val="000000"/>
          <w:sz w:val="24"/>
        </w:rPr>
        <w:t>9.10.</w:t>
      </w:r>
      <w:r>
        <w:rPr>
          <w:rFonts w:ascii="Times New Roman;serif" w:hAnsi="Times New Roman;serif"/>
          <w:b w:val="false"/>
          <w:color w:val="000000"/>
          <w:sz w:val="24"/>
          <w:u w:val="single"/>
          <w:shd w:fill="FFFFFF" w:val="clear"/>
        </w:rPr>
        <w:t>Assignment</w:t>
      </w:r>
      <w:r>
        <w:rPr>
          <w:rFonts w:ascii="Times New Roman;serif" w:hAnsi="Times New Roman;serif"/>
          <w:b w:val="false"/>
          <w:color w:val="000000"/>
          <w:sz w:val="24"/>
        </w:rPr>
        <w:t xml:space="preserve">. This Agreement and all of the provisions hereof shall be binding upon and shall inure to the benefit of and be enforceable by the parties hereto and their respective heirs, successors and permitted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serif" w:hAnsi="Times New Roman;serif"/>
          <w:b w:val="false"/>
          <w:color w:val="000000"/>
          <w:sz w:val="24"/>
          <w:u w:val="single"/>
        </w:rPr>
        <w:t>Section 9.10</w:t>
      </w:r>
      <w:r>
        <w:rPr>
          <w:color w:val="000000"/>
        </w:rPr>
        <w:t xml:space="preserve"> </w:t>
      </w:r>
      <w:r>
        <w:rPr>
          <w:rFonts w:ascii="Times New Roman;serif" w:hAnsi="Times New Roman;serif"/>
          <w:b w:val="false"/>
          <w:color w:val="000000"/>
          <w:sz w:val="24"/>
        </w:rPr>
        <w:t xml:space="preserve">shall be null and void.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43" w:name="ib9f13c28e92d4c989e74010cf2d74b89"/>
      <w:bookmarkEnd w:id="443"/>
      <w:r>
        <w:rPr>
          <w:rFonts w:ascii="Times New Roman;serif" w:hAnsi="Times New Roman;serif"/>
          <w:b w:val="false"/>
          <w:color w:val="000000"/>
          <w:sz w:val="24"/>
        </w:rPr>
        <w:t>9.11.</w:t>
      </w:r>
      <w:r>
        <w:rPr>
          <w:rFonts w:ascii="Times New Roman;serif" w:hAnsi="Times New Roman;serif"/>
          <w:b w:val="false"/>
          <w:color w:val="000000"/>
          <w:sz w:val="24"/>
          <w:u w:val="single"/>
          <w:shd w:fill="FFFFFF" w:val="clear"/>
        </w:rPr>
        <w:t>Third-Party Beneficiaries</w:t>
      </w:r>
      <w:r>
        <w:rPr>
          <w:rFonts w:ascii="Times New Roman;serif" w:hAnsi="Times New Roman;serif"/>
          <w:b w:val="false"/>
          <w:color w:val="000000"/>
          <w:sz w:val="24"/>
        </w:rPr>
        <w:t xml:space="preserve">. This Agreement is not intended to and does not confer upon any Person other than the parties hereto any rights or remedies hereunder, except for: (a) if the Closing occurs, the right of the Company’s stockholders and holders of Company Partnership Units to receive the applicable Merger Consideration; (b) if the Closing occurs, the right of the holders of Company Equity Awards to receive such amounts as provided for in </w:t>
      </w:r>
      <w:r>
        <w:rPr>
          <w:rFonts w:ascii="Times New Roman;serif" w:hAnsi="Times New Roman;serif"/>
          <w:b w:val="false"/>
          <w:color w:val="000000"/>
          <w:sz w:val="24"/>
          <w:u w:val="single"/>
        </w:rPr>
        <w:t>Section 3.1(c)</w:t>
      </w:r>
      <w:r>
        <w:rPr>
          <w:rFonts w:ascii="Times New Roman;serif" w:hAnsi="Times New Roman;serif"/>
          <w:b w:val="false"/>
          <w:color w:val="000000"/>
          <w:sz w:val="24"/>
        </w:rPr>
        <w:t xml:space="preserve">; (c) if the Closing occurs, the rights of the Covered Persons set forth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(d) as provided in </w:t>
      </w:r>
      <w:r>
        <w:rPr>
          <w:rFonts w:ascii="Times New Roman;serif" w:hAnsi="Times New Roman;serif"/>
          <w:b w:val="false"/>
          <w:color w:val="000000"/>
          <w:sz w:val="24"/>
          <w:u w:val="single"/>
        </w:rPr>
        <w:t>Section 8.3(a)</w:t>
      </w:r>
      <w:r>
        <w:rPr>
          <w:rFonts w:ascii="Times New Roman;serif" w:hAnsi="Times New Roman;serif"/>
          <w:b w:val="false"/>
          <w:color w:val="000000"/>
          <w:sz w:val="24"/>
        </w:rPr>
        <w:t xml:space="preserve">; and (e) if the Closing occurs, the right of the Company Director Designees to enforce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44" w:name="i3a2915c0d9e4489aa4b7f36e491915ed"/>
      <w:bookmarkEnd w:id="444"/>
      <w:r>
        <w:rPr>
          <w:rFonts w:ascii="Times New Roman;serif" w:hAnsi="Times New Roman;serif"/>
          <w:b w:val="false"/>
          <w:color w:val="000000"/>
          <w:sz w:val="24"/>
        </w:rPr>
        <w:t>9.12.</w:t>
      </w:r>
      <w:r>
        <w:rPr>
          <w:rFonts w:ascii="Times New Roman;serif" w:hAnsi="Times New Roman;serif"/>
          <w:b w:val="false"/>
          <w:color w:val="000000"/>
          <w:sz w:val="24"/>
          <w:u w:val="single"/>
          <w:shd w:fill="FFFFFF" w:val="clear"/>
        </w:rPr>
        <w:t>Severability</w:t>
      </w:r>
      <w:r>
        <w:rPr>
          <w:rFonts w:ascii="Times New Roman;serif" w:hAnsi="Times New Roman;serif"/>
          <w:b w:val="false"/>
          <w:color w:val="000000"/>
          <w:sz w:val="24"/>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are fulfilled to the extent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bookmarkStart w:id="445" w:name="i78dab482b945410fbf2d4dbaae2cd8a7"/>
      <w:bookmarkEnd w:id="445"/>
      <w:r>
        <w:rPr>
          <w:rFonts w:ascii="Times New Roman;serif" w:hAnsi="Times New Roman;serif"/>
          <w:b w:val="false"/>
          <w:color w:val="000000"/>
          <w:sz w:val="24"/>
        </w:rPr>
        <w:t>9.13.</w:t>
      </w:r>
      <w:r>
        <w:rPr>
          <w:rFonts w:ascii="Times New Roman;serif" w:hAnsi="Times New Roman;serif"/>
          <w:b w:val="false"/>
          <w:color w:val="000000"/>
          <w:sz w:val="24"/>
          <w:u w:val="single"/>
          <w:shd w:fill="FFFFFF" w:val="clear"/>
        </w:rPr>
        <w:t>Construction</w:t>
      </w:r>
      <w:r>
        <w:rPr>
          <w:rFonts w:ascii="Times New Roman;serif" w:hAnsi="Times New Roman;serif"/>
          <w:b w:val="false"/>
          <w:color w:val="000000"/>
          <w:sz w:val="24"/>
        </w:rPr>
        <w:t>. The parties hereto have participated jointly in the negotiation and drafting of this Agreement. In the event that an ambiguity or question of intent or interpretation arises, the language shall be construed as mutually chosen by the parties hereto to express their mutual intent, and no rule of strict construction shall be applied against any party hereto. Any reference to any federal, state, local or foreign statute or Law shall be deemed also to refer to all rules and regulations promulgated thereunder, unless the context requires otherwise.</w:t>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left intentionally blank. Signature pages follow.</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14"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executed and delivered as of the date first above written.</w:t>
      </w:r>
    </w:p>
    <w:p>
      <w:pPr>
        <w:pStyle w:val="TextBody"/>
        <w:bidi w:val="0"/>
        <w:spacing w:lineRule="auto" w:line="288" w:before="720" w:after="720"/>
        <w:jc w:val="left"/>
        <w:rPr/>
      </w:pPr>
      <w:r>
        <w:rPr>
          <w:rFonts w:ascii="Times New Roman;serif" w:hAnsi="Times New Roman;serif"/>
          <w:b/>
          <w:color w:val="000000"/>
          <w:sz w:val="24"/>
        </w:rPr>
        <w:t>CHERRY HILL MORTGAGE INVESTMENT CORPORATION</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Jeffrey Lown II    </w:t>
      </w:r>
      <w:r>
        <w:rPr>
          <w:rFonts w:ascii="Times New Roman;serif" w:hAnsi="Times New Roman;serif"/>
          <w:b w:val="false"/>
          <w:color w:val="000000"/>
          <w:sz w:val="24"/>
        </w:rPr>
        <w:br/>
        <w:t>    Name: Jeffrey Lown II</w:t>
        <w:br/>
        <w:t>    Title: President and Chief Executive Officer</w:t>
      </w:r>
    </w:p>
    <w:p>
      <w:pPr>
        <w:pStyle w:val="TextBody"/>
        <w:bidi w:val="0"/>
        <w:spacing w:lineRule="auto" w:line="288" w:before="720" w:after="720"/>
        <w:jc w:val="left"/>
        <w:rPr/>
      </w:pPr>
      <w:r>
        <w:rPr>
          <w:rFonts w:ascii="Times New Roman;serif" w:hAnsi="Times New Roman;serif"/>
          <w:b/>
          <w:color w:val="000000"/>
          <w:sz w:val="24"/>
        </w:rPr>
        <w:t>CHERRY HILL OPERATING PARTNERSHIP, LP</w:t>
        <w:br/>
      </w:r>
      <w:r>
        <w:rPr>
          <w:rFonts w:ascii="Times New Roman;serif" w:hAnsi="Times New Roman;serif"/>
          <w:b w:val="false"/>
          <w:color w:val="000000"/>
          <w:sz w:val="24"/>
        </w:rPr>
        <w:t>By: Cherry Hill Mortgage Investment Corporation, its General Partner</w:t>
        <w:br/>
        <w:br/>
        <w:br/>
        <w:t>By:    </w:t>
      </w:r>
      <w:r>
        <w:rPr>
          <w:rFonts w:ascii="Times New Roman;serif" w:hAnsi="Times New Roman;serif"/>
          <w:b w:val="false"/>
          <w:color w:val="000000"/>
          <w:sz w:val="24"/>
          <w:u w:val="single"/>
        </w:rPr>
        <w:t>/s/ Jeffrey Lown II    </w:t>
      </w:r>
      <w:r>
        <w:rPr>
          <w:rFonts w:ascii="Times New Roman;serif" w:hAnsi="Times New Roman;serif"/>
          <w:b w:val="false"/>
          <w:color w:val="000000"/>
          <w:sz w:val="24"/>
        </w:rPr>
        <w:br/>
        <w:t>    Name: Jeffrey Lown II</w:t>
        <w:br/>
        <w:t>    Title: President and Chief Executive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6415"/>
                <wp:effectExtent l="0" t="0" r="0" b="0"/>
                <wp:wrapNone/>
                <wp:docPr id="115" name="Frame1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720" w:after="720"/>
        <w:jc w:val="left"/>
        <w:rPr/>
      </w:pPr>
      <w:r>
        <w:rPr>
          <w:rFonts w:ascii="Times New Roman;serif" w:hAnsi="Times New Roman;serif"/>
          <w:b/>
          <w:color w:val="000000"/>
          <w:sz w:val="24"/>
        </w:rPr>
        <w:t>TPG MORTGAGE INVESTMENT TRUST, INC.</w:t>
        <w:br/>
      </w:r>
      <w:r>
        <w:rPr>
          <w:rFonts w:ascii="Times New Roman;serif" w:hAnsi="Times New Roman;serif"/>
          <w:b w:val="false"/>
          <w:color w:val="000000"/>
          <w:sz w:val="24"/>
        </w:rP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lineRule="auto" w:line="288" w:before="720" w:after="720"/>
        <w:jc w:val="left"/>
        <w:rPr/>
      </w:pPr>
      <w:r>
        <w:rPr>
          <w:rFonts w:ascii="Times New Roman;serif" w:hAnsi="Times New Roman;serif"/>
          <w:b/>
          <w:color w:val="000000"/>
          <w:sz w:val="24"/>
        </w:rPr>
        <w:t>MIT MERGER SUB II, LLC</w:t>
        <w:br/>
      </w:r>
      <w:r>
        <w:rPr>
          <w:rFonts w:ascii="Times New Roman;serif" w:hAnsi="Times New Roman;serif"/>
          <w:b w:val="false"/>
          <w:color w:val="000000"/>
          <w:sz w:val="24"/>
        </w:rP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6415"/>
                <wp:effectExtent l="0" t="0" r="0" b="0"/>
                <wp:wrapNone/>
                <wp:docPr id="116" name="Frame1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 REIT MANAGEMENT, LLC, solely for the purposes set forth herein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Angelo, Gordon &amp; Co., L.P.,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u w:val="single"/>
        </w:rPr>
        <w:t xml:space="preserve">/s/Christopher D. Moore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Christopher D. Moore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6415"/>
                <wp:effectExtent l="0" t="0" r="0" b="0"/>
                <wp:wrapNone/>
                <wp:docPr id="117" name="Frame1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360"/>
        <w:jc w:val="right"/>
        <w:rPr>
          <w:rFonts w:ascii="Times New Roman;serif" w:hAnsi="Times New Roman;serif"/>
          <w:b/>
          <w:color w:val="000000"/>
          <w:sz w:val="24"/>
          <w:u w:val="single"/>
        </w:rPr>
      </w:pPr>
      <w:r>
        <w:rPr>
          <w:rFonts w:ascii="Times New Roman;serif" w:hAnsi="Times New Roman;serif"/>
          <w:b/>
          <w:color w:val="000000"/>
          <w:sz w:val="24"/>
          <w:u w:val="single"/>
        </w:rPr>
        <w:t>ANNEX A</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ARTICLES SUPPLEMENTARY</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8.20% Series D Cumulative Redeemable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TPG Mortgage Investment Trust, Inc., a Maryland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to the State Department of Assessments and Taxation of Maryland that:</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Under a power contained in Article VI of the charter of the 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and a duly authorized committee thereof, by duly adopted resolutions, classified and designated 2,781,635 shares of authorized but unissued shares of preferred stock, $0.01 par value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of the Corporation as shares of 8.20% Series D Cumulative Redeemable Preferred Stock, $0.01 par value per share (the “</w:t>
      </w:r>
      <w:r>
        <w:rPr>
          <w:rFonts w:ascii="Times New Roman;serif" w:hAnsi="Times New Roman;serif"/>
          <w:b w:val="false"/>
          <w:color w:val="000000"/>
          <w:sz w:val="24"/>
          <w:u w:val="single"/>
        </w:rPr>
        <w:t>Series D Preferred Stock</w:t>
      </w:r>
      <w:r>
        <w:rPr>
          <w:color w:val="000000"/>
        </w:rPr>
        <w:t>”</w:t>
      </w:r>
      <w:r>
        <w:rPr>
          <w:rFonts w:ascii="Times New Roman;serif" w:hAnsi="Times New Roman;serif"/>
          <w:b w:val="false"/>
          <w:color w:val="000000"/>
          <w:sz w:val="24"/>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lineRule="auto" w:line="288" w:before="0" w:after="24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Designation and Number</w:t>
      </w:r>
      <w:r>
        <w:rPr>
          <w:rFonts w:ascii="Times New Roman;serif" w:hAnsi="Times New Roman;serif"/>
          <w:b w:val="false"/>
          <w:color w:val="000000"/>
          <w:sz w:val="24"/>
        </w:rPr>
        <w:t>. A series of Preferred Stock, classified as the “8.20% Series D Cumulative Redeemable Preferred Stock” is hereby established. The par value of the Series D Preferred Stock is $0.01 per share. The number of authorized shares of the Series D Preferred Stock shall be 2,781,635.</w:t>
      </w:r>
    </w:p>
    <w:p>
      <w:pPr>
        <w:pStyle w:val="TextBody"/>
        <w:bidi w:val="0"/>
        <w:spacing w:lineRule="auto" w:line="288" w:before="0" w:after="24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Maturity</w:t>
      </w:r>
      <w:r>
        <w:rPr>
          <w:rFonts w:ascii="Times New Roman;serif" w:hAnsi="Times New Roman;serif"/>
          <w:b w:val="false"/>
          <w:color w:val="000000"/>
          <w:sz w:val="24"/>
        </w:rPr>
        <w:t xml:space="preserve">. The Series D Preferred Stock has no stated maturity, is not subject to any sinking fund or mandatory redemption and will remain outstanding indefinitely unless (i) the Corporation decides to redeem or otherwise repurchase the Series D Preferred Stock or (ii) the Series D Preferred Stock becomes convertible and is actually converted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The Corporation is not required to set apart for payment funds of the Corporation to redeem the Series D Preferred Stock.</w:t>
      </w:r>
    </w:p>
    <w:p>
      <w:pPr>
        <w:pStyle w:val="TextBody"/>
        <w:bidi w:val="0"/>
        <w:spacing w:lineRule="auto" w:line="288" w:before="0" w:after="24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Ranking</w:t>
      </w:r>
      <w:r>
        <w:rPr>
          <w:rFonts w:ascii="Times New Roman;serif" w:hAnsi="Times New Roman;serif"/>
          <w:b w:val="false"/>
          <w:color w:val="000000"/>
          <w:sz w:val="24"/>
        </w:rPr>
        <w:t>. The Series D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of the Corporation and to all classes or series of stock of the Corporation other than the stock of the Corporation referred to in clauses (ii) and (iii) 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on parity with the Corporation’s 8.25% Series A Cumulative Redeemable Preferred Stock, $0.01 par value per share, the 8.00% Series B Cumulative Redeemable Preferred Stock, $0.01 par value per share, the 8.000% Series C Fixed-to-Floating Rate Cumulative Redeemable Preferred Stock, $0.01 par value per share, and all classes or series of stock of the Corporation with terms specifically providing that such stock ranks on parity with the Series D Preferred Stock with respect to rights to the payment of dividends and the distribution of assets upon any liquidation,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dissolution or winding up of the Corporation; (iii) junior to all classes or series of stock of the Corporation with terms specifically providing that such stock ranks senior to the Series D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lineRule="auto" w:line="288" w:before="0" w:after="24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Holders of shares of the Series D Preferred Stock are entitled to receive, when, as and if authorized by the Board and declared by the Corporation, out of funds of the Corporation legally available for the payment of dividends, cumulative cash dividends at the rate of 8.20% of the $25.00 per share liquidation preference per annum (equivalent to $2.05 per annum per share). Dividends on the Series D Preferred Stock shall accumulate daily and shall be cumulative from, and including, [●], 2026</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shall be payable quarterly in arrears on the 17th day of each March, June, September and December (each, a “</w:t>
      </w:r>
      <w:r>
        <w:rPr>
          <w:rFonts w:ascii="Times New Roman;serif" w:hAnsi="Times New Roman;serif"/>
          <w:b w:val="false"/>
          <w:color w:val="000000"/>
          <w:sz w:val="24"/>
          <w:u w:val="single"/>
        </w:rPr>
        <w:t>Dividend 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Any dividend payable on the Series D Preferred Stock, including dividends payable for any partial dividend period, will be computed on the basis of a 360-day year consisting of twelve 30-day months (it being understood that the dividend payable on [●], 2026</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will be for less than the full quarterly period). Dividends will be payable to holders of record as they appear in the stock records of the Corporation for the Series D Preferred Stock at the close of business on the applicable record date, which will be the last Business Day of the preceding calendar month in which the applicable Dividend Payment Date falls (each, a “</w:t>
      </w:r>
      <w:r>
        <w:rPr>
          <w:rFonts w:ascii="Times New Roman;serif" w:hAnsi="Times New Roman;serif"/>
          <w:b w:val="false"/>
          <w:color w:val="000000"/>
          <w:sz w:val="24"/>
          <w:u w:val="single"/>
        </w:rPr>
        <w:t>Dividend Record Date</w:t>
      </w:r>
      <w:r>
        <w:rPr>
          <w:color w:val="000000"/>
        </w:rPr>
        <w:t>”</w:t>
      </w:r>
      <w:r>
        <w:rPr>
          <w:rFonts w:ascii="Times New Roman;serif" w:hAnsi="Times New Roman;serif"/>
          <w:b w:val="false"/>
          <w:color w:val="000000"/>
          <w:sz w:val="24"/>
        </w:rPr>
        <w:t>). The dividends payable on any Dividend Payment Date shall include dividends accumulated to, but not including, such Dividend Payment Date. No holder of any shares of Series D Preferred Stock shall be entitled to receive any dividends paid or payable on the Series D Preferred Stock with a Dividend Record Date before the date such shares of Series D Preferred Stock are issued.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No dividends on shares of Series D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w:t>
      </w:r>
    </w:p>
    <w:p>
      <w:pPr>
        <w:pStyle w:val="TextBody"/>
        <w:bidi w:val="0"/>
        <w:spacing w:lineRule="auto" w:line="276"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date will be the first day of the current dividend quarterly period under the Cherry Hill Mortgage Investment Corporation 8.20% Series A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76"/>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date of the first dividend payment after the Closing Date for the Company Merger for this 8.20% Series D Cumulative Redeemable Preferred Stock.</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thereof or provide that the authorization, payment or setting apart for payment thereof would constitute a breach of the agreement or a default under the agreement, or if the authorization, payment or setting apart for payment is restricted or prohibited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Notwithstanding anything to the contrary contained herein, dividends on the Series D Preferred Stock will accumulate whether or not the terms and provisions of any laws or agreements referred to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D Preferred Stock which may be in arrears, and holders of Series D Preferred Stock will not be entitled to any dividends in excess of full cumulative dividends described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hereof. Any dividend payment made on the Series D Preferred Stock will first be credited against the earliest accumulated but unpaid dividend due with respect to the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Except as provided in </w:t>
      </w:r>
      <w:r>
        <w:rPr>
          <w:rFonts w:ascii="Times New Roman;serif" w:hAnsi="Times New Roman;serif"/>
          <w:b w:val="false"/>
          <w:color w:val="000000"/>
          <w:sz w:val="24"/>
          <w:u w:val="single"/>
        </w:rPr>
        <w:t>Section 4(e)</w:t>
      </w:r>
      <w:r>
        <w:rPr>
          <w:color w:val="000000"/>
        </w:rPr>
        <w:t xml:space="preserve"> </w:t>
      </w:r>
      <w:r>
        <w:rPr>
          <w:rFonts w:ascii="Times New Roman;serif" w:hAnsi="Times New Roman;serif"/>
          <w:b w:val="false"/>
          <w:color w:val="000000"/>
          <w:sz w:val="24"/>
        </w:rPr>
        <w:t xml:space="preserve">hereof, unless full cumulative dividends on the Series D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D Preferred Stock as to dividends and upon liquidation) shall be declared or paid or set apart for payment upon shares of Common Stock or shares of any other class or series of stock of the Corporation ranking junior to or on parity with the Series D Preferred Stock as to dividends or upon liquidation, (ii) no other distribution shall be declared or made upon shares of Common Stock or shares of any other class or series of stock of the Corporation ranking junior to or on parity with the Series D Preferred Stock as to dividends or upon liquidation, and (iii) shares of Common Stock and shares of any other class or series of stock of the Corporation ranking junior to or on parity with the Series D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D Preferred Stock as to dividends and upon liquidation or pursuant to a purchase or exchange offer made on the same terms to holders of all outstanding shares of Series D Preferred Stock and shares of any other class or series of stock of the Corporation ranking on parity with the Series D Preferred Stock as to dividends or upon liquidation);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When dividends are not paid in full (or a sum sufficient for such full payment is not so set apart) upon the Series D Preferred Stock and shares of any other classes or series of </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stock of the Corporation ranking on parity as to dividends with the Series D Preferred Stock, all dividends declared upon the Series D Preferred Stock and all other such shares of stock shall be declared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so that the amount of dividends declared per share of Series D Preferred Stock and all other such shares of stock shall in all cases bear to each other the same ratio that accumulated dividends per share on the Series D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D Preferred Stock which may be in arrears.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that is neither a legal holiday nor a day on which banking institutions in New York, New York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Set apart for payment</w:t>
      </w:r>
      <w:r>
        <w:rPr>
          <w:color w:val="000000"/>
        </w:rPr>
        <w:t xml:space="preserve">” </w:t>
      </w:r>
      <w:r>
        <w:rPr>
          <w:rFonts w:ascii="Times New Roman;serif" w:hAnsi="Times New Roman;serif"/>
          <w:b w:val="false"/>
          <w:color w:val="000000"/>
          <w:sz w:val="24"/>
        </w:rPr>
        <w:t>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D Preferred Stock as to the payment of dividends are placed in a separate account of the Corporation or delivered to a disbursing, paying or other similar agent, then “set apart for payment” with respect to the Series D Preferred Stock shall mean placing such funds in a separate account or delivering such funds to a disbursing, paying or other similar agent.</w:t>
      </w:r>
    </w:p>
    <w:p>
      <w:pPr>
        <w:pStyle w:val="TextBody"/>
        <w:bidi w:val="0"/>
        <w:spacing w:lineRule="auto" w:line="288" w:before="0" w:after="24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Liquidation Preference</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of any voluntary or involuntary liquidation, dissolution or winding up of the Corporation, the holders of Series D Preferred Stock will be entitled to be paid out of the assets the Corporation has legally available for distribution to its stockholders, subject to the preferential rights of the holders of any class or series of stock of the Corporation ranking senior to the Series D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D Preferred Stock as to liquidation rights; and such holders of Series D Preferred Stock shall not be entitled to any further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In the event that, upon any such voluntary or involuntary liquidation, dissolution or winding up, the available assets of the Corporation are insufficient to pay the amount of the liquidating distributions on all outstanding shares of Series D Preferred Stock and the corresponding amounts payable on all shares of other classes or series of stock of the Corporation ranking on parity with the Series D Preferred Stock in the distribution of assets upon liquidation, dissolution or winding up, then the holders of Series D Preferred Stock and all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such classes or series of stock shall share ratably in any such distribution of assets in proportion to the full liquidating distributions to which they would otherwise be respectively entitled.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D Preferred Stock at the address of such holder as it shall appear on the stock records of the Corporation. After payment of the full amount of the liquidating distributions to which they are entitled, the holders of Series D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the Corporation or a statutory share exchange, shall not be deemed to constitute a liquidation, dissolution or winding up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D Preferred Stock shall not be added to the Corporation’s total liabilities.</w:t>
      </w:r>
    </w:p>
    <w:p>
      <w:pPr>
        <w:pStyle w:val="TextBody"/>
        <w:bidi w:val="0"/>
        <w:spacing w:lineRule="auto" w:line="288" w:before="0" w:after="24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As described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and as provided in Article VII of the Charter, the Corporation may purchase or redeem shares of the Series D Preferred Stock, including under circumstances where it is necessary to preserve the Corporation’s qualification as a real estate investment trust for U.S. federal income tax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Optional Redemption Right</w:t>
      </w:r>
      <w:r>
        <w:rPr>
          <w:rFonts w:ascii="Times New Roman;serif" w:hAnsi="Times New Roman;serif"/>
          <w:b w:val="false"/>
          <w:color w:val="000000"/>
          <w:sz w:val="24"/>
        </w:rPr>
        <w:t xml:space="preserve">. The Corporation may, at its option, upon not less than 30 nor more than 60 days’ notice, as provided below, redeem the Series D Preferred Stock, in whole or in part, at any time or from time to time,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hereof, any accumulated and unpaid dividends thereon (whether or not authorized or declared) to, but not including, the date fixed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Special Optional Redemption Right</w:t>
      </w:r>
      <w:r>
        <w:rPr>
          <w:rFonts w:ascii="Times New Roman;serif" w:hAnsi="Times New Roman;serif"/>
          <w:b w:val="false"/>
          <w:color w:val="000000"/>
          <w:sz w:val="24"/>
        </w:rPr>
        <w:t xml:space="preserve">. Upon the occurrence of a Change of Control (as defined below), the Corporation may, at its option, upon not less than 30 nor more than 60 days’ notice, as provided below, redeem the Series D Preferred Stock, in whole or in part, within 120 days after the first date on which such Change of Control occurred,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 xml:space="preserve">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D Preferred Stock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the holders of Series D Preferred Stock will not have the Change of Control Conversion Right (as defined below) with respect to the shares of Series D Preferred Stock called for redemption.</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 A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is deemed to occur when, after [●], 2026</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Issue Date</w:t>
      </w:r>
      <w:r>
        <w:rPr>
          <w:color w:val="000000"/>
        </w:rPr>
        <w:t>”</w:t>
      </w:r>
      <w:r>
        <w:rPr>
          <w:rFonts w:ascii="Times New Roman;serif" w:hAnsi="Times New Roman;serif"/>
          <w:b w:val="false"/>
          <w:color w:val="000000"/>
          <w:sz w:val="24"/>
        </w:rPr>
        <w:t>), the following have occurred and are continuing: (i) the acquisition by any person, including any syndicate or group deemed to be a “person” under Section 13(d)(3)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clause (i), neither the Corporation nor the acquiring or surviving entity has a class of common securities (or American Depositary Receipts representing such securities) listed on the New York Stock Exchange (the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the NYSE MKT LLC (the “</w:t>
      </w:r>
      <w:r>
        <w:rPr>
          <w:rFonts w:ascii="Times New Roman;serif" w:hAnsi="Times New Roman;serif"/>
          <w:b w:val="false"/>
          <w:color w:val="000000"/>
          <w:sz w:val="24"/>
          <w:u w:val="single"/>
        </w:rPr>
        <w:t>NYSE MKT</w:t>
      </w:r>
      <w:r>
        <w:rPr>
          <w:color w:val="000000"/>
        </w:rPr>
        <w:t>”</w:t>
      </w:r>
      <w:r>
        <w:rPr>
          <w:rFonts w:ascii="Times New Roman;serif" w:hAnsi="Times New Roman;serif"/>
          <w:b w:val="false"/>
          <w:color w:val="000000"/>
          <w:sz w:val="24"/>
        </w:rPr>
        <w:t>) or the Nasdaq Stock Market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or listed or quoted on an exchange or quotation system that is a successor to the NYSE, the NYSE MKT or Nasdaq.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the event the Corporation elects to redeem Series D Preferred Stock, the notice of redemption will be given by the Corporation, postage prepaid, not less than 30 nor more than 60 days prior to the redemption date, to each holder of record of Series D Preferred Stock called for redemption at such holder’s address as it appears on the stock records of the Corporation and shall state: (i) the redemption date; (ii) the number of shares of Series D Preferred Stock to be redeemed; (iii) the redemption price; (iv) the place or places where certificates (if any) for the Series D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D Preferred Stock being so called for redemption will not be able to tender such shares of Series D Preferred Stock for conversion in connection with the Change of Control and that each share of Series D Preferred Stock tendered for conversion that is called, prior to the Change of Control Conversion Date, for redemption will be redeemed on the related date of redemption instead of converted on the Change of Control Conversion Date. If less than all of the shares of Series D Preferred Stock held by any holder are to be redeemed, the notice given to such holder shall also specify the number of shares of Series D Preferred Stock held by such holder to be redeemed. No failure to give such notice or any defect thereto or in the giving thereof shall affect the validity of the proceedings for the redemption of any shares of Series D Preferred Stock except as to the holder to whom notice was defective or not given. Notwithstanding the foregoing, no notice of redemption will be required where the Corporation elects to redeem Series D Preferred Stock pursuant to Article VII of the Charter, including to preserve the Corporation’s qualification as a real estate investment trust for U.S. federal income tax purposes.</w:t>
      </w:r>
    </w:p>
    <w:p>
      <w:pPr>
        <w:pStyle w:val="TextBody"/>
        <w:bidi w:val="0"/>
        <w:spacing w:lineRule="auto" w:line="276"/>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Closing Date for the Company Merger.</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Holders of shares of Series D Preferred Stock to be redeemed shall surrender the shares of Series D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If notice of redemption of any shares of Series D Preferred Stock has been given and if the Corporation irrevocably sets apart for payment the funds necessary for redemption (including any accumulated and unpaid dividends) in trust for the benefit of the holders of the shares of Series D Preferred Stock so called for redemption, then from and after the redemption date (unless the Corporation shall default in providing for the payment of the redemption price plus accumulated and unpaid dividends, if any), dividends will cease to accumulate on those shares of Series D Preferred Stock, those shares of Series D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If less than all of the outstanding shares of Series D Preferred Stock are to be redeemed, the shares of Series D Preferred Stock to be redeemed shall be selected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(as nearly as may be practicable without creating fractional shares) or by lot if the Corporation shall determine that such method of selection will not result in the automatic transfer of any shares of Series D Preferred Stock to a trust pursuant to Article VII of the Charter (as to restrictions on transfer and ownership of shares of the Corporation’s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(j) Immediately prior to any redemption of Series D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D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serif" w:hAnsi="Times New Roman;serif"/>
          <w:b w:val="false"/>
          <w:color w:val="000000"/>
          <w:sz w:val="24"/>
          <w:u w:val="single"/>
        </w:rPr>
        <w:t>Section 6(j)</w:t>
      </w:r>
      <w:r>
        <w:rPr>
          <w:rFonts w:ascii="Times New Roman;serif" w:hAnsi="Times New Roman;serif"/>
          <w:b w:val="false"/>
          <w:color w:val="000000"/>
          <w:sz w:val="24"/>
        </w:rPr>
        <w:t>, the Corporation will make no payment or allowance for unpaid dividends, whether or not in arrears, on shares of the Series D Preferred Stock to be redeemed.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Unless full cumulative dividends on all shares of Series D Preferred Stock shall have been or contemporaneously are declared and paid or declared and a sum sufficient for the payment thereof has been or contemporaneously is set apart for payment for all past dividend periods, no shares of Series D Preferred Stock shall be redeemed unless all outstanding shares of Series D Preferred Stock are simultaneously redeemed, and the Corporation shall not purchase or otherwise acquire directly or indirectly any shares of Series D Preferred Stock (except by conversion into or exchange for shares of, or options, warrants or rights to purchase or subscribe for, Common Stock or stock ranking junior to the Series D Preferred Stock as to dividends and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upon liquidation or pursuant to a purchase or exchange offer made on the same terms to holders of all outstanding shares of Series D Preferred Stock);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Series D Preferred Stock pursuant to Article VII of the Charter to preserve the Corporation’s qualification as a real estate investment trust for U.S. federal income tax purposes, among other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Subject to applicable law, the Corporation may purchase shares of Series D Preferred Stock in the open market, by tender or by private agreement. Any shares of Series D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lineRule="auto" w:line="288" w:before="0" w:after="24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Conversion Rights</w:t>
      </w:r>
      <w:r>
        <w:rPr>
          <w:rFonts w:ascii="Times New Roman;serif" w:hAnsi="Times New Roman;serif"/>
          <w:b w:val="false"/>
          <w:color w:val="000000"/>
          <w:sz w:val="24"/>
        </w:rPr>
        <w:t xml:space="preserve">. Shares of Series D Preferred Stock are not convertible into or exchangeable for any other property or securities of the Corporation, except as provided in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Upon the occurrence of a Change of Control, each holder of Series D Preferred Stock will have the right (unless, prior to the Change of Control Conversion Date, the Corporation has provided notice of its election to redeem some or all of the shares of Series D Preferred Stock held by such holder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in which case such holder will have the right only with respect to shares of Series D Preferred Stock that are not called for redemption) to convert some or all of the shares of Series D Preferred Stock held by such holder (the “</w:t>
      </w:r>
      <w:r>
        <w:rPr>
          <w:rFonts w:ascii="Times New Roman;serif" w:hAnsi="Times New Roman;serif"/>
          <w:b w:val="false"/>
          <w:color w:val="000000"/>
          <w:sz w:val="24"/>
          <w:u w:val="single"/>
        </w:rPr>
        <w:t>Change of Control Conversion Right</w:t>
      </w:r>
      <w:r>
        <w:rPr>
          <w:color w:val="000000"/>
        </w:rPr>
        <w:t>”</w:t>
      </w:r>
      <w:r>
        <w:rPr>
          <w:rFonts w:ascii="Times New Roman;serif" w:hAnsi="Times New Roman;serif"/>
          <w:b w:val="false"/>
          <w:color w:val="000000"/>
          <w:sz w:val="24"/>
        </w:rPr>
        <w:t>) on the Change of Control Conversion Date into a number of shares of Common Stock per share of Series D Preferred Stock (the “</w:t>
      </w:r>
      <w:r>
        <w:rPr>
          <w:rFonts w:ascii="Times New Roman;serif" w:hAnsi="Times New Roman;serif"/>
          <w:b w:val="false"/>
          <w:color w:val="000000"/>
          <w:sz w:val="24"/>
          <w:u w:val="single"/>
        </w:rPr>
        <w:t>Common Stock Conversion Consideration</w:t>
      </w:r>
      <w:r>
        <w:rPr>
          <w:color w:val="000000"/>
        </w:rPr>
        <w:t>”</w:t>
      </w:r>
      <w:r>
        <w:rPr>
          <w:rFonts w:ascii="Times New Roman;serif" w:hAnsi="Times New Roman;serif"/>
          <w:b w:val="false"/>
          <w:color w:val="000000"/>
          <w:sz w:val="24"/>
        </w:rPr>
        <w:t xml:space="preserve">) equal to the lesser of: (i) the quotient obtained by dividing (x) the sum of the $25.00 liquidation preference per share of Series D Preferred Stock plus (subject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hereof) the amount of any accumulated and unpaid dividends (whether or not earned or declared) thereon to, but not including, the Change of Control Conversion Date (unless the Change of Control Conversion Date is after a Dividend Record Date and prior to the corresponding Dividend Payment Date for the Series D Preferred Stock, in which case no additional amount for such accumulated and unpaid dividends will be included in this sum) by (y) the Common Stock Price (as defined below) (such quotient,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and (ii) [●]</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Share Cap</w:t>
      </w:r>
      <w:r>
        <w:rPr>
          <w:color w:val="000000"/>
        </w:rPr>
        <w:t>”</w:t>
      </w:r>
      <w:r>
        <w:rPr>
          <w:rFonts w:ascii="Times New Roman;serif" w:hAnsi="Times New Roman;serif"/>
          <w:b w:val="false"/>
          <w:color w:val="000000"/>
          <w:sz w:val="24"/>
        </w:rPr>
        <w:t xml:space="preserve">), subject to adjustments provided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The Share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(including those effected pursuant to a distribution of Common Stock to existing holders of Common Stock), subdivisions or combinations (in each case, a “</w:t>
      </w:r>
      <w:r>
        <w:rPr>
          <w:rFonts w:ascii="Times New Roman;serif" w:hAnsi="Times New Roman;serif"/>
          <w:b w:val="false"/>
          <w:color w:val="000000"/>
          <w:sz w:val="24"/>
          <w:u w:val="single"/>
        </w:rPr>
        <w:t>Share Split</w:t>
      </w:r>
      <w:r>
        <w:rPr>
          <w:color w:val="000000"/>
        </w:rPr>
        <w:t>”</w:t>
      </w:r>
      <w:r>
        <w:rPr>
          <w:rFonts w:ascii="Times New Roman;serif" w:hAnsi="Times New Roman;serif"/>
          <w:b w:val="false"/>
          <w:color w:val="000000"/>
          <w:sz w:val="24"/>
        </w:rPr>
        <w:t xml:space="preserve">) with respect to Common Stock as follows: the adjusted Share Cap as the result of a Share Split will be the number of shares of Common Stock that is equivalent to the product obtained by multiplying (i) the Share </w:t>
      </w:r>
    </w:p>
    <w:p>
      <w:pPr>
        <w:pStyle w:val="TextBody"/>
        <w:bidi w:val="0"/>
        <w:spacing w:lineRule="auto" w:line="276"/>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xml:space="preserve">: The original Share Cap of 2.62881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D Preferred Stock issued and outstanding at the Change of Control Conversion Date (or equivalent Alternative Conversion Consideration, as applicable) (the “</w:t>
      </w:r>
      <w:r>
        <w:rPr>
          <w:rFonts w:ascii="Times New Roman;serif" w:hAnsi="Times New Roman;serif"/>
          <w:b w:val="false"/>
          <w:color w:val="000000"/>
          <w:sz w:val="24"/>
          <w:u w:val="single"/>
        </w:rPr>
        <w:t>Exchange Cap</w:t>
      </w:r>
      <w:r>
        <w:rPr>
          <w:color w:val="000000"/>
        </w:rPr>
        <w:t>”</w:t>
      </w:r>
      <w:r>
        <w:rPr>
          <w:rFonts w:ascii="Times New Roman;serif" w:hAnsi="Times New Roman;serif"/>
          <w:b w:val="false"/>
          <w:color w:val="000000"/>
          <w:sz w:val="24"/>
        </w:rPr>
        <w:t xml:space="preserve">). The Exchange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on the same basis as the corresponding adjustments to the Share Cap.</w:t>
      </w:r>
    </w:p>
    <w:p>
      <w:pPr>
        <w:pStyle w:val="TextBody"/>
        <w:bidi w:val="0"/>
        <w:spacing w:lineRule="auto" w:line="288" w:before="0" w:after="240"/>
        <w:ind w:left="0" w:right="0" w:firstLine="720"/>
        <w:jc w:val="left"/>
        <w:rPr/>
      </w:pPr>
      <w:r>
        <w:rPr>
          <w:rFonts w:ascii="Times New Roman;serif" w:hAnsi="Times New Roman;serif"/>
          <w:b w:val="false"/>
          <w:color w:val="000000"/>
          <w:sz w:val="24"/>
        </w:rPr>
        <w:t>(c) The “</w:t>
      </w:r>
      <w:r>
        <w:rPr>
          <w:rFonts w:ascii="Times New Roman;serif" w:hAnsi="Times New Roman;serif"/>
          <w:b w:val="false"/>
          <w:color w:val="000000"/>
          <w:sz w:val="24"/>
          <w:u w:val="single"/>
        </w:rPr>
        <w:t>Change of Control Conversion Date</w:t>
      </w:r>
      <w:r>
        <w:rPr>
          <w:color w:val="000000"/>
        </w:rPr>
        <w:t xml:space="preserve">” </w:t>
      </w:r>
      <w:r>
        <w:rPr>
          <w:rFonts w:ascii="Times New Roman;serif" w:hAnsi="Times New Roman;serif"/>
          <w:b w:val="false"/>
          <w:color w:val="000000"/>
          <w:sz w:val="24"/>
        </w:rPr>
        <w:t xml:space="preserve">is the date the Series D Preferred Stock is to be converted, which will be a Business Day selected by the Corporation that is neither fewer than 20 days nor more than 35 days after the date on which it provides the notice described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to the holders of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(d) The “</w:t>
      </w:r>
      <w:r>
        <w:rPr>
          <w:rFonts w:ascii="Times New Roman;serif" w:hAnsi="Times New Roman;serif"/>
          <w:b w:val="false"/>
          <w:color w:val="000000"/>
          <w:sz w:val="24"/>
          <w:u w:val="single"/>
        </w:rPr>
        <w:t>Common Stock Price</w:t>
      </w:r>
      <w:r>
        <w:rPr>
          <w:color w:val="000000"/>
        </w:rPr>
        <w:t xml:space="preserve">” </w:t>
      </w:r>
      <w:r>
        <w:rPr>
          <w:rFonts w:ascii="Times New Roman;serif" w:hAnsi="Times New Roman;serif"/>
          <w:b w:val="false"/>
          <w:color w:val="000000"/>
          <w:sz w:val="24"/>
        </w:rPr>
        <w:t>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lineRule="auto" w:line="288" w:before="0" w:after="240"/>
        <w:ind w:left="0" w:right="0" w:firstLine="720"/>
        <w:jc w:val="left"/>
        <w:rPr/>
      </w:pPr>
      <w:r>
        <w:rPr>
          <w:rFonts w:ascii="Times New Roman;serif" w:hAnsi="Times New Roman;serif"/>
          <w:b w:val="false"/>
          <w:color w:val="000000"/>
          <w:sz w:val="24"/>
        </w:rPr>
        <w:t>(e) In the case of a Change of Control pursuant to which Common Stock is or will be converted into cash, securities or other property or assets (including any combination thereof) (the “</w:t>
      </w:r>
      <w:r>
        <w:rPr>
          <w:rFonts w:ascii="Times New Roman;serif" w:hAnsi="Times New Roman;serif"/>
          <w:b w:val="false"/>
          <w:color w:val="000000"/>
          <w:sz w:val="24"/>
          <w:u w:val="single"/>
        </w:rPr>
        <w:t>Alternative Form Consideration</w:t>
      </w:r>
      <w:r>
        <w:rPr>
          <w:color w:val="000000"/>
        </w:rPr>
        <w:t>”</w:t>
      </w:r>
      <w:r>
        <w:rPr>
          <w:rFonts w:ascii="Times New Roman;serif" w:hAnsi="Times New Roman;serif"/>
          <w:b w:val="false"/>
          <w:color w:val="000000"/>
          <w:sz w:val="24"/>
        </w:rPr>
        <w:t>), a holder of Series D Preferred Stock will receive upon conversion of such shares of Series D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serif" w:hAnsi="Times New Roman;serif"/>
          <w:b w:val="false"/>
          <w:color w:val="000000"/>
          <w:sz w:val="24"/>
          <w:u w:val="single"/>
        </w:rPr>
        <w:t>Alternative Conversion Consideration</w:t>
      </w:r>
      <w:r>
        <w:rPr>
          <w:color w:val="000000"/>
        </w:rPr>
        <w:t>”</w:t>
      </w:r>
      <w:r>
        <w:rPr>
          <w:rFonts w:ascii="Times New Roman;serif" w:hAnsi="Times New Roman;serif"/>
          <w:b w:val="false"/>
          <w:color w:val="000000"/>
          <w:sz w:val="24"/>
        </w:rPr>
        <w:t>; the Common Stock Conversion Consideration or the Alternative Conversion Consideration, whichever shall be applicable to a Change of Control, is referred to as the “</w:t>
      </w:r>
      <w:r>
        <w:rPr>
          <w:rFonts w:ascii="Times New Roman;serif" w:hAnsi="Times New Roman;serif"/>
          <w:b w:val="false"/>
          <w:color w:val="000000"/>
          <w:sz w:val="24"/>
          <w:u w:val="single"/>
        </w:rPr>
        <w:t>Conversion Consideration</w:t>
      </w:r>
      <w:r>
        <w:rPr>
          <w:color w:val="000000"/>
        </w:rPr>
        <w:t>”</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reductions applicable to any portion of the consideration payable in such Change of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Corporation will not issue any fractional shares of Common Stock upon the conversion of the Series D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(h) Within 15 days following the occurrence of a Change of Control, provided that the Corporation has not exercised its right to redeem all shares of Series D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the Corporation will provide to holders of Series D Preferred Stock a notice of occurrence of the Change of Control that describes the resulting Change of Control Conversion Right, which notice shall be delivered to the holders of record of the shares of the Series D Preferred Stock to their addresses as they appear on the stock transfer records of the Corporation and shall state: (i) the events constituting the Change of Control; (ii) the date of the Change of Control; (iii) the last date on which the holders of Series D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D Preferred Stock, holders will not be able to convert the shares of Series D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D Preferred Stock; (viii) the name and address of the paying agent, transfer agent and conversion agent for the Series D Preferred Stock; (ix) the procedures that the holders of Series D Preferred Stock must follow to exercise the Change of Control Conversion Right (including procedures for surrendering shares of Series D Preferred Stock for conversion through the facilities of a Depositary (as defined below)), including the form of conversion notice to be delivered by such holders as described below; and (x) the last date on which holders of Series D Preferred Stock may withdraw shares of Series D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D Preferred Stock except as to the holder to whom notice was defective or not given.</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The Corporation shall also issue a press release containing such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 xml:space="preserve">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hereof to the holders of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To exercise the Change of Control Conversion Right, the holders of Series D Preferred Stock will be required to deliver, on or before the close of business on the Change of Control Conversion Date, the certificates (if any) representing the shares of Series D Preferred Stock to be converted, duly endorsed for transfer (or, in the case of any shares of Series D Preferred Stock held in book-entry form through a Depositary or shares directly registered with the transfer agent therefor, to deliver, on or before the close of business on the Change of Control Conversion Date, the shares of Series D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D Preferred Stock to be converted; and (iii) that the shares of Series D Preferred Stock are to be converted pursuant to the applicable provisions of the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Holders of Series D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D Preferred Stock; (ii) if certificated shares of Series D Preferred Stock have been surrendered for conversion, the certificate numbers of the withdrawn shares of Series D Preferred Stock; and (iii) the number of shares of Series D Preferred Stock, if any, which remain subject to the holder’s conversion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(l) Notwithstanding anything to the contrary contained in Sections 7(j) and (k) hereof, if any shares of Series D Preferred Stock are held in book-entry form through The 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or a similar depositary (each, a “</w:t>
      </w:r>
      <w:r>
        <w:rPr>
          <w:rFonts w:ascii="Times New Roman;serif" w:hAnsi="Times New Roman;serif"/>
          <w:b w:val="false"/>
          <w:color w:val="000000"/>
          <w:sz w:val="24"/>
          <w:u w:val="single"/>
        </w:rPr>
        <w:t>Depositary</w:t>
      </w:r>
      <w:r>
        <w:rPr>
          <w:color w:val="000000"/>
        </w:rPr>
        <w:t>”</w:t>
      </w:r>
      <w:r>
        <w:rPr>
          <w:rFonts w:ascii="Times New Roman;serif" w:hAnsi="Times New Roman;serif"/>
          <w:b w:val="false"/>
          <w:color w:val="000000"/>
          <w:sz w:val="24"/>
        </w:rPr>
        <w:t>), the conversion notice and/or the notice of withdrawal, as applicable, must comply with applicable procedures, if any, of the applicable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(m) Shares of Series D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D Preferred Stock pursuant to </w:t>
      </w:r>
      <w:r>
        <w:rPr>
          <w:rFonts w:ascii="Times New Roman;serif" w:hAnsi="Times New Roman;serif"/>
          <w:b w:val="false"/>
          <w:color w:val="000000"/>
          <w:sz w:val="24"/>
          <w:u w:val="single"/>
        </w:rPr>
        <w:t xml:space="preserve">Section </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 xml:space="preserve">hereof, in which case only the shares of Series D Preferred Stock properly surrendered for conversion and not properly withdrawn that are not called for redemption will be converted as aforesaid. If the Corporation elects to redeem shares of Series D Preferred Stock that would otherwise be converted into the applicable Conversion Consideration on a Change of Control Conversion Date, such shares of Series D Preferred Stock will not be so converted and the holders of such shares will be entitled to receive on the applicable redemption date the redemption price as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In connection with the exercise of any Change of Control Conversion Right, the Corporation shall comply with all applicable federal and state securities laws and stock exchange rules in connection with any conversion of shares of Series D Preferred Stock into shares of Common Stock or other property. Notwithstanding any other provision of the Series D Preferred Stock, no holder of Series D Preferred Stock will be entitled to convert such shares of Series D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(p) Notwithstanding anything to the contrary herein and except as otherwise required by law, the persons who are the holders of record of shares of Series D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serif" w:hAnsi="Times New Roman;serif"/>
          <w:b w:val="false"/>
          <w:color w:val="000000"/>
          <w:sz w:val="24"/>
          <w:u w:val="single"/>
        </w:rPr>
        <w:t>Section 7(p)</w:t>
      </w:r>
      <w:r>
        <w:rPr>
          <w:rFonts w:ascii="Times New Roman;serif" w:hAnsi="Times New Roman;serif"/>
          <w:b w:val="false"/>
          <w:color w:val="000000"/>
          <w:sz w:val="24"/>
        </w:rPr>
        <w:t>, the Corporation will make no allowance for unpaid dividends that are not in arrears on the shares of Series D Preferred Stock to be converted.</w:t>
      </w:r>
    </w:p>
    <w:p>
      <w:pPr>
        <w:pStyle w:val="TextBody"/>
        <w:bidi w:val="0"/>
        <w:spacing w:lineRule="auto" w:line="288" w:before="0" w:after="24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Holders of Series D Preferred Stock will not have any voting rights, except as set forth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On each matter on which holders of Series D Preferred Stock are entitled to vote, each share of Series D Preferred Stock will be entitled to one vote, except that when shares any other class or series of Preferred Stock the Corporation may issue have the right to vote with the Series D Preferred Stock as a single class on any matter, the Series D Preferred Stock and the shares of each such other class or series will have one vote for each $25.00 of liquidation preference (excluding accumulated dividends).</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Whenever dividends on any shares of Series D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D Preferred Stock, voting as a single class with all other classes or series of Preferred Stock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D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 of the Corporation until all dividends accumulated on the Series D Preferred Stock for all past dividend periods and the then current dividend period shall have been fully paid. In that case, the right of holders of Series D Preferred Stock to elect any directors will cease and, unless there are other classes or series of Preferred Stock upon which like voting rights have been conferred and are exercisable, the term of office of any directors elected by holders of Series D Preferred Stock shall immediately terminate and the number of directors constituting the Board shall be reduced accordingly. For the avoidance of doubt, in no event shall the total number of directors elected by holders of Series D Preferred Stock (voting together as a single class with all other classes or series of Preferred Stock upon which like voting rights have been conferred and are exercisable) pursuant to the voting rights under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exceed two. The directors elected by the holders of Series D Preferred Stock and the holders of all other classes or series of Preferred Stock upon which like voting rights have been conferred and are exercisable will be elected by a plurality of the votes cast by the holders of the outstanding shares of Series D Preferred Stock when they have the voting rights as set forth in this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at any time when the voting rights conferred upon the Series D Preferred Stock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hereof are exercisable, any vacancy in the office of a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shall occur, then such vacancy may be filled only by the remaining director or by vote of the holders of the outstanding Series D Preferred Stock and any other classes or series of Preferred Stock upon which like voting rights have been conferred and are exercisable. Any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may be removed at any time, with or without cause, only by the vote of, and may not be removed otherwise than by the vote of, the holders of record of a majority of the outstanding shares of Series D Preferred Stock and any class or series of Preferred Stock upon which like voting rights have been conferred and are </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exercisable (voting as a single class with all other classes or series of Preferred Stock upon which like voting rights have been conferred and are exercisable).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(d) So long as any shares of Series D Preferred Stock remain outstanding, the Corporation will not, without the affirmative vote or consent of the holders of at least two-thirds of the shares of Series D Preferred Stock outstanding at the time, voting together as a single class with all other classes or series of Preferred Stock ranking on parity with the Series D Preferred Stock upon which like voting rights have been conferred and are exercisable, (i) authorize or create, or increase the authorized or issued amount of, any class or series of capital stock ranking senior to the Series D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consolidation or otherwise, so as to materially and adversely affect any right, preference, privilege or voting power of the Series D Preferred Stock (each, an “</w:t>
      </w:r>
      <w:r>
        <w:rPr>
          <w:rFonts w:ascii="Times New Roman;serif" w:hAnsi="Times New Roman;serif"/>
          <w:b w:val="false"/>
          <w:color w:val="000000"/>
          <w:sz w:val="24"/>
          <w:u w:val="single"/>
        </w:rPr>
        <w:t>Event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with respect to the occurrence of any Event set forth in clause (ii) above, so long as the Series D Preferred Stock remains outstanding with the terms thereof materially unchanged, or the holders of Series D Preferred Stock receive shares of stock or other equity interests with rights, preferences, privileges and voting powers substantially the same as those of the Series D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D Preferred Stock; </w:t>
      </w:r>
      <w:r>
        <w:rPr>
          <w:rFonts w:ascii="Times New Roman;serif" w:hAnsi="Times New Roman;serif"/>
          <w:b w:val="false"/>
          <w:i/>
          <w:color w:val="000000"/>
          <w:sz w:val="24"/>
        </w:rPr>
        <w:t>and, provided further</w:t>
      </w:r>
      <w:r>
        <w:rPr>
          <w:rFonts w:ascii="Times New Roman;serif" w:hAnsi="Times New Roman;serif"/>
          <w:b w:val="false"/>
          <w:color w:val="000000"/>
          <w:sz w:val="24"/>
        </w:rPr>
        <w:t>, that any increase in the amount of the authorized Series D Preferred Stock, or the creation or issuance, or any increase in the amounts authorized of any class or series ranking on parity with or junior to the Series D Preferred Stock that the Corporation may issue shall not be deemed to materially and adversely affect the rights, preferences, privileges or voting powers of holders of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The voting rights provided for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will not apply if, at or prior to the time when the act with respect to which voting by holders of Series D Preferred Stock would otherwise be required pursuant to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be effected, all outstanding shares of Series D Preferred Stock shall have been redeemed or called for redemption upon proper notice and sufficient funds have been irrevocably set apart to effect such redemption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Except as expressly stated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Series D Preferred Stock will not have any relative, participating, optional or other special voting rights or powers and the consent of the holders thereof shall not be required for the taking of any corporate action. The holders of Series D Preferred Stock shall have exclusive voting rights on any Charter amendment that would alter the contract rights, as expressly set forth in the Charter, of only the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(g) Notwithstanding the foregoing, holders of any series of Preferred Stock ranking on parity with the Series D Preferred Stock with respect to payment of dividends of distribution </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of assets upon liquidating dissolution or winding up shall not be entitled to vote together as a class with the holders of Series D Preferred Stock on any amendment, alteration or repeal of any provision of the Charter unless such action affects the holders of Series D Preferred Stock and such other series of Preferred Stock equally.</w:t>
      </w:r>
    </w:p>
    <w:p>
      <w:pPr>
        <w:pStyle w:val="TextBody"/>
        <w:bidi w:val="0"/>
        <w:spacing w:lineRule="auto" w:line="288" w:before="0" w:after="24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During any period in which the Corporation is not subject to Section 13 or 15(d) of the Exchange Act and any shares of Series D Preferred Stock are outstanding, the Corporation will use its best efforts to (i) transmit by mail (or other permissible means under the Exchange Act) to all holders of Series D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pursuant to Section 13 or 15(d) of the Exchange Act if it were subject thereto (other than any exhibits that would have been required); and (ii) promptly, upon request, supply copies of such reports to any holders or prospective holder of Series D Preferred Stock. The Corporation will use its best efforts to mail (or otherwise provide) such reports to the holders of Series D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lineRule="auto" w:line="288" w:before="0" w:after="24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Restrictions on Transfer and Ownership</w:t>
      </w:r>
      <w:r>
        <w:rPr>
          <w:rFonts w:ascii="Times New Roman;serif" w:hAnsi="Times New Roman;serif"/>
          <w:b w:val="false"/>
          <w:color w:val="000000"/>
          <w:sz w:val="24"/>
        </w:rPr>
        <w:t>. The Series D Preferred Stock shall be subject to the restrictions on transfer and ownership set forth in Article VII of the Charter.</w:t>
      </w:r>
    </w:p>
    <w:p>
      <w:pPr>
        <w:pStyle w:val="TextBody"/>
        <w:bidi w:val="0"/>
        <w:spacing w:lineRule="auto" w:line="288" w:before="0" w:after="2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The Corporation and the transfer agent for the Series D Preferred Stock may deem and treat the record holder of any Series D Preferred Stock as the true and lawful owner thereof for all purposes, and neither the Corporation nor the transfer agent shall be affected by any notice to the contrary.</w:t>
      </w:r>
    </w:p>
    <w:p>
      <w:pPr>
        <w:pStyle w:val="TextBody"/>
        <w:bidi w:val="0"/>
        <w:spacing w:lineRule="auto" w:line="288" w:before="0" w:after="2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 Preemptive Rights</w:t>
      </w:r>
      <w:r>
        <w:rPr>
          <w:rFonts w:ascii="Times New Roman;serif" w:hAnsi="Times New Roman;serif"/>
          <w:b w:val="false"/>
          <w:color w:val="000000"/>
          <w:sz w:val="24"/>
        </w:rPr>
        <w:t>. No holders of Series D Preferred Stock will, as holders of Series D Preferred Stock, have any preemptive rights to purchase or subscribe for Common Stock or any other security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The Series D Preferred Stock has been classified and designated by the Board under the authority contained in the Charter. These Articles Supplementary have been approved by the Board in the manner and vote required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Corporation has caused these Articles Supplementary to be signed in its name and on its behalf by its Chief Financial Officer and attested to by its Secretary on this ________ of _______, 2026. </w:t>
      </w:r>
    </w:p>
    <w:p>
      <w:pPr>
        <w:pStyle w:val="TextBody"/>
        <w:bidi w:val="0"/>
        <w:spacing w:before="0" w:after="0"/>
        <w:jc w:val="left"/>
        <w:rPr/>
      </w:pPr>
      <w:r>
        <w:rPr/>
      </w:r>
    </w:p>
    <w:tbl>
      <w:tblPr>
        <w:tblW w:w="8611" w:type="dxa"/>
        <w:jc w:val="left"/>
        <w:tblInd w:w="0" w:type="dxa"/>
        <w:tblLayout w:type="fixed"/>
        <w:tblCellMar>
          <w:top w:w="28" w:type="dxa"/>
          <w:left w:w="28" w:type="dxa"/>
          <w:bottom w:w="28" w:type="dxa"/>
          <w:right w:w="28" w:type="dxa"/>
        </w:tblCellMar>
      </w:tblPr>
      <w:tblGrid>
        <w:gridCol w:w="1262"/>
        <w:gridCol w:w="1109"/>
        <w:gridCol w:w="1110"/>
        <w:gridCol w:w="1502"/>
        <w:gridCol w:w="1502"/>
        <w:gridCol w:w="2126"/>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ATTEST:</w:t>
              <w:br/>
            </w:r>
            <w:r>
              <w:rPr>
                <w:rFonts w:ascii="Times New Roman;serif" w:hAnsi="Times New Roman;serif"/>
                <w:b w:val="false"/>
                <w:sz w:val="24"/>
              </w:rPr>
              <w:br/>
              <w:br/>
              <w:br/>
            </w:r>
            <w:r>
              <w:rPr>
                <w:rFonts w:ascii="Times New Roman;serif" w:hAnsi="Times New Roman;serif"/>
                <w:b w:val="false"/>
                <w:color w:val="000000"/>
                <w:sz w:val="24"/>
              </w:rPr>
              <w:t>____________________________</w:t>
              <w:br/>
              <w:t>Name: Jenny B. Neslin</w:t>
              <w:br/>
              <w:t>Title: Secretary</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TPG MORTGAGE INVESTMENT TRUST, INC.</w:t>
              <w:br/>
            </w:r>
            <w:r>
              <w:rPr>
                <w:rFonts w:ascii="Times New Roman;serif" w:hAnsi="Times New Roman;serif"/>
                <w:b w:val="false"/>
                <w:sz w:val="24"/>
              </w:rPr>
              <w:br/>
              <w:br/>
            </w:r>
            <w:r>
              <w:rPr>
                <w:rFonts w:ascii="Times New Roman;serif" w:hAnsi="Times New Roman;serif"/>
                <w:b w:val="false"/>
                <w:color w:val="000000"/>
                <w:sz w:val="24"/>
              </w:rPr>
              <w:t>By: __________________________</w:t>
              <w:br/>
              <w:t>Name: Anthony Rossiello</w:t>
              <w:br/>
              <w:t>Title: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4"/>
          <w:u w:val="single"/>
        </w:rPr>
      </w:pPr>
      <w:r>
        <w:rPr>
          <w:rFonts w:ascii="Times New Roman;serif" w:hAnsi="Times New Roman;serif"/>
          <w:b/>
          <w:color w:val="000000"/>
          <w:sz w:val="24"/>
          <w:u w:val="single"/>
        </w:rPr>
        <w:t>ANNEX B</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ARTICLES SUPPLEMENTARY</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8.250% Series E Floating Rate Cumulative Redeemable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TPG Mortgage Investment Trust, Inc., a Maryland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to the State Department of Assessments and Taxation of Maryland that:</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Under a power contained in Article VI of the charter of the 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and a duly authorized committee thereof, by duly adopted resolutions, classified and designated 1,604,103 authorized but unissued shares of preferred stock, $0.01 par value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of the Corporation as shares of 8.250% Series E Floating Rate Cumulative Redeemable Preferred Stock, par value $0.01 per share (the “</w:t>
      </w:r>
      <w:r>
        <w:rPr>
          <w:rFonts w:ascii="Times New Roman;serif" w:hAnsi="Times New Roman;serif"/>
          <w:b w:val="false"/>
          <w:color w:val="000000"/>
          <w:sz w:val="24"/>
          <w:u w:val="single"/>
        </w:rPr>
        <w:t>Series E Preferred Stock</w:t>
      </w:r>
      <w:r>
        <w:rPr>
          <w:color w:val="000000"/>
        </w:rPr>
        <w:t>”</w:t>
      </w:r>
      <w:r>
        <w:rPr>
          <w:rFonts w:ascii="Times New Roman;serif" w:hAnsi="Times New Roman;serif"/>
          <w:b w:val="false"/>
          <w:color w:val="000000"/>
          <w:sz w:val="24"/>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lineRule="auto" w:line="288" w:before="0" w:after="24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Designation and Number</w:t>
      </w:r>
      <w:r>
        <w:rPr>
          <w:rFonts w:ascii="Times New Roman;serif" w:hAnsi="Times New Roman;serif"/>
          <w:b w:val="false"/>
          <w:color w:val="000000"/>
          <w:sz w:val="24"/>
        </w:rPr>
        <w:t>. A series of Preferred Stock, classified as the “8.250% Series E Floating Rate Cumulative Redeemable Preferred Stock” is hereby established. The par value of the Series E Preferred Stock is $0.01 per share. The number of authorized shares of the Series E Preferred Stock shall be 1,604,103.</w:t>
      </w:r>
    </w:p>
    <w:p>
      <w:pPr>
        <w:pStyle w:val="TextBody"/>
        <w:bidi w:val="0"/>
        <w:spacing w:lineRule="auto" w:line="288" w:before="0" w:after="24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Maturity</w:t>
      </w:r>
      <w:r>
        <w:rPr>
          <w:rFonts w:ascii="Times New Roman;serif" w:hAnsi="Times New Roman;serif"/>
          <w:b w:val="false"/>
          <w:color w:val="000000"/>
          <w:sz w:val="24"/>
        </w:rPr>
        <w:t xml:space="preserve">. The Series E Preferred Stock has no stated maturity, is not subject to any sinking fund or mandatory redemption and will remain outstanding indefinitely unless (i) the Corporation decides to redeem or otherwise repurchase the Series E Preferred Stock or (ii) the Series E Preferred Stock becomes convertible and is actually converted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The Corporation is not required to set apart for payment funds of the Corporation to redeem the Series E Preferred Stock.</w:t>
      </w:r>
    </w:p>
    <w:p>
      <w:pPr>
        <w:pStyle w:val="TextBody"/>
        <w:bidi w:val="0"/>
        <w:spacing w:lineRule="auto" w:line="288" w:before="0" w:after="24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Ranking</w:t>
      </w:r>
      <w:r>
        <w:rPr>
          <w:rFonts w:ascii="Times New Roman;serif" w:hAnsi="Times New Roman;serif"/>
          <w:b w:val="false"/>
          <w:color w:val="000000"/>
          <w:sz w:val="24"/>
        </w:rPr>
        <w:t>. The Series E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and to all classes or series of stock of the Corporation other than the stock of the Corporation referred to in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on parity with the Corporation’s 8.25% Series A Cumulative Redeemable Preferred Stock, $0.01 par value per share, 8.00% Series B Cumulative Redeemable Preferred Stock, $0.01 par value per share, 8.000% Series C Fixed-to-Floating Rate Preferred Stock, $0.01 par value per share, 8.20% Series D Cumulative Redeemable Preferred Stock, $0.01 par value per share, and all other classes or series of stock of the Corporation with terms specifically providing that such stock ranks on parity with the Series E Preferred Stock with respect to rights to the payment of dividends and the distribution of assets upon any liquidation, dissolution or winding up of the Corporation; and </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(iii) junior to all classes or series of stock of the Corporation with terms specifically providing that such stock ranks senior to the Series E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lineRule="auto" w:line="288" w:before="0" w:after="24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Holders of shares of the Series E Preferred Stock are entitled to receive, when, as and if authorized by the Board and declared by the Corporation, out of funds of the Corporation legally available for the payment of dividends, cumulative cash dividends from, and including, [●], 2026</w:t>
      </w:r>
      <w:r>
        <w:rPr>
          <w:rFonts w:ascii="Times New Roman;serif" w:hAnsi="Times New Roman;serif"/>
          <w:b w:val="false"/>
          <w:color w:val="000000"/>
          <w:sz w:val="16"/>
        </w:rPr>
        <w:t>5</w:t>
      </w:r>
      <w:r>
        <w:rPr>
          <w:rFonts w:ascii="Times New Roman;serif" w:hAnsi="Times New Roman;serif"/>
          <w:b w:val="false"/>
          <w:color w:val="000000"/>
          <w:sz w:val="24"/>
        </w:rPr>
        <w:t>, at a floating rate equal to Three-Month CME Term SOFR (as defined below) plus a spread of 5.89261% per annum. Dividends on the Series E Preferred Stock shall accumulate daily and shall be cumulative from, and including, [●], 2026</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and shall be payable quarterly in arrears on the 17th day of each March, June, September and December (each, as may be modified as provided below, a “</w:t>
      </w:r>
      <w:r>
        <w:rPr>
          <w:rFonts w:ascii="Times New Roman;serif" w:hAnsi="Times New Roman;serif"/>
          <w:b w:val="false"/>
          <w:color w:val="000000"/>
          <w:sz w:val="24"/>
          <w:u w:val="single"/>
        </w:rPr>
        <w:t>Dividend 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Dividends payable on the Series E Preferred Stock, including dividends for any partial Dividend Period, will be computed based on the actual number of days in a Dividend Period and a 360-day year (it being understood that the dividend payable on [●], 2026</w:t>
      </w:r>
      <w:r>
        <w:rPr>
          <w:rFonts w:ascii="Times New Roman;serif" w:hAnsi="Times New Roman;serif"/>
          <w:b w:val="false"/>
          <w:color w:val="000000"/>
          <w:sz w:val="16"/>
        </w:rPr>
        <w:t>7</w:t>
      </w:r>
      <w:r>
        <w:rPr>
          <w:color w:val="000000"/>
        </w:rPr>
        <w:t xml:space="preserve"> </w:t>
      </w:r>
      <w:r>
        <w:rPr>
          <w:rFonts w:ascii="Times New Roman;serif" w:hAnsi="Times New Roman;serif"/>
          <w:b w:val="false"/>
          <w:color w:val="000000"/>
          <w:sz w:val="24"/>
        </w:rPr>
        <w:t>will be for less than the full quarterly period). Dividends will be payable to holders of record as they appear in the stock records of the Corporation for the Series E Preferred Stock at the close of business on the applicable record date, which will be the last Business Day of the preceding calendar month in which the applicable Dividend Payment Date falls (each, a “</w:t>
      </w:r>
      <w:r>
        <w:rPr>
          <w:rFonts w:ascii="Times New Roman;serif" w:hAnsi="Times New Roman;serif"/>
          <w:b w:val="false"/>
          <w:color w:val="000000"/>
          <w:sz w:val="24"/>
          <w:u w:val="single"/>
        </w:rPr>
        <w:t>Dividend Record Date</w:t>
      </w:r>
      <w:r>
        <w:rPr>
          <w:color w:val="000000"/>
        </w:rPr>
        <w:t>”</w:t>
      </w:r>
      <w:r>
        <w:rPr>
          <w:rFonts w:ascii="Times New Roman;serif" w:hAnsi="Times New Roman;serif"/>
          <w:b w:val="false"/>
          <w:color w:val="000000"/>
          <w:sz w:val="24"/>
        </w:rPr>
        <w:t>). The dividends payable on any Dividend Payment Date shall include dividends accumulated to, but not including, such Dividend Payment Date. No holder of any shares of Series E Preferred Stock shall be entitled to receive any dividends paid or payable on the Series E Preferred Stock with a Dividend Record Date before the date such shares of Series E Preferred Stock are issued.</w:t>
      </w:r>
    </w:p>
    <w:p>
      <w:pPr>
        <w:pStyle w:val="TextBody"/>
        <w:bidi w:val="0"/>
        <w:spacing w:lineRule="auto" w:line="288" w:before="0" w:after="240"/>
        <w:ind w:left="0" w:right="0" w:firstLine="720"/>
        <w:jc w:val="left"/>
        <w:rPr/>
      </w:pPr>
      <w:r>
        <w:rPr>
          <w:rFonts w:ascii="Times New Roman;serif" w:hAnsi="Times New Roman;serif"/>
          <w:b w:val="false"/>
          <w:color w:val="000000"/>
          <w:sz w:val="24"/>
        </w:rPr>
        <w:t>For each Dividend Period, CME Term SOFR with a Designated Maturity of three months (“</w:t>
      </w:r>
      <w:r>
        <w:rPr>
          <w:rFonts w:ascii="Times New Roman;serif" w:hAnsi="Times New Roman;serif"/>
          <w:b w:val="false"/>
          <w:color w:val="000000"/>
          <w:sz w:val="24"/>
          <w:u w:val="single"/>
        </w:rPr>
        <w:t>Three-Month CME Term SOFR</w:t>
      </w:r>
      <w:r>
        <w:rPr>
          <w:color w:val="000000"/>
        </w:rPr>
        <w:t>”</w:t>
      </w:r>
      <w:r>
        <w:rPr>
          <w:rFonts w:ascii="Times New Roman;serif" w:hAnsi="Times New Roman;serif"/>
          <w:b w:val="false"/>
          <w:color w:val="000000"/>
          <w:sz w:val="24"/>
        </w:rPr>
        <w:t xml:space="preserve">) will be determined by the Corporation, or a Calculation Agent (as defined below) if a Calculation Agent has been appointed by the Corporation, in either </w:t>
      </w:r>
    </w:p>
    <w:p>
      <w:pPr>
        <w:pStyle w:val="TextBody"/>
        <w:bidi w:val="0"/>
        <w:spacing w:lineRule="auto" w:line="276"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date will be the first day of the current dividend quarterly period under the Cherry Hill Mortgage Investment Corporation 8.250% Series B Fixed-to-Floating Rate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76"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1.</w:t>
      </w:r>
    </w:p>
    <w:p>
      <w:pPr>
        <w:pStyle w:val="TextBody"/>
        <w:bidi w:val="0"/>
        <w:spacing w:lineRule="auto" w:line="276"/>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date of the first dividend payment after the Closing Date for the Company Merger for this 8.250% Series E Floating Rate Cumulative Redeemable Preferred Stock.</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case, as of the applicable Dividend Determination Date, as the rate (expressed as a percentage per year) that appears on Bloomberg Page TSFR3M (or any successor page on such service or successor service) at approximately 6:00 a.m. (New York City time) on the relevant Dividend Determination Date. Subject to the provisions below, if Three-Month CME Term SOFR is not published by the later of (i) 6:00 a.m., New York City time, on the Dividend Determination Date and (ii) the first day of the applicable Dividend Period, then Three-Month CME Term SOFR for such Dividend Period will be the last provided or published level of Three-Month CME Term SOFR prior to such Dividend Determination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Index Cessation Event or an Administrator/Benchmark Event occurs with respect to Three-Month CME Term SOFR, then, from and including the Index Cessation Effective Date or the Administrator/Benchmark Event Date, as applicable, the CME Term SOFR Recommended Rate for a period of the Designated Maturity will apply to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there is a CME Term SOFR Recommended Rate before the end of the first U.S. Government Securities Business Day following the Index Cessation Effective Date or the Administrator/Benchmark Event Date, but neither the Administrator nor authorized distributors provide or publish the CME Term SOFR Recommended Rate for a period of the Designated Maturity, then, subject to the next paragraph below, in respect of any day for which the CME Term SOFR Recommended Rate is required, references to the CME Term SOFR Recommended Rate for a period of the Designated Maturity will be deemed to be references to the last provided or published CME Term SOFR Recommended Rate for a period of the Designated Maturity. However, if there is no last provided or published CME Term SOFR Recommended Rate for a period of the Designated Maturity, then in respect of any day for which the CME Term SOFR Recommended Rate is required, references to the CME Term SOFR Recommended Rate for a period of the Designated Maturity will be deemed to be references to the last provided or published CME Term SOFR for a period of the Designated Maturity.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 there is no CME Term SOFR Recommended Rate before the end of the first U.S. Government Securities Business Day following the Index Cessation Effective Date or an Administrator/Benchmark Event Date,; or (b) there is a CME Term SOFR Recommended Rate and an Index Cessation Effective Date or an Administrator/Benchmark Event Date, as applicable, subsequently occurs with respect to it, then the rate for each Dividend Determination Date occurring on or after the Index Cessation Effective Date or Administrator/Benchmark Event Date, as applicable, with respect to CME Term SOFR or the CME Term SOFR Recommended Rate (as applicable) will be determined in accordance with the Calculation Agent Alternative Rate Determination.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CME Group Benchmark Administration Limited or any successor or other administrator as may be designated by the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Administrator/Benchmark Event</w:t>
      </w:r>
      <w:r>
        <w:rPr>
          <w:color w:val="000000"/>
        </w:rPr>
        <w:t xml:space="preserve">” </w:t>
      </w:r>
      <w:r>
        <w:rPr>
          <w:rFonts w:ascii="Times New Roman;serif" w:hAnsi="Times New Roman;serif"/>
          <w:b w:val="false"/>
          <w:color w:val="000000"/>
          <w:sz w:val="24"/>
        </w:rPr>
        <w:t xml:space="preserve">means the delivery of a notice by the Corporation to the holders of the Series E Preferred Stock (which can include posting of such notice through DTC) specifying, and citing Publicly Available Information that reasonably confirms, an event or circumstance which has the effect that the Corporation or the Calculation Agent are not, or will not be, permitted under any applicable law or regulation to use the Applicable Benchmark to </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perform the respective obligations of the Corporation or the Calculation Agent, as applicable, under the terms of the Series E Preferred Stock.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Administrator/Benchmark Event Date</w:t>
      </w:r>
      <w:r>
        <w:rPr>
          <w:color w:val="000000"/>
        </w:rPr>
        <w:t xml:space="preserve">” </w:t>
      </w:r>
      <w:r>
        <w:rPr>
          <w:rFonts w:ascii="Times New Roman;serif" w:hAnsi="Times New Roman;serif"/>
          <w:b w:val="false"/>
          <w:color w:val="000000"/>
          <w:sz w:val="24"/>
        </w:rPr>
        <w:t>means, in respect of an Administrator/Benchmark Event, the date from which the Applicable Benchmark may no longer be used under any applicable law or regulation by the Corporation or the Calculation Agent.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Applicable Benchmark</w:t>
      </w:r>
      <w:r>
        <w:rPr>
          <w:color w:val="000000"/>
        </w:rPr>
        <w:t xml:space="preserve">” </w:t>
      </w:r>
      <w:r>
        <w:rPr>
          <w:rFonts w:ascii="Times New Roman;serif" w:hAnsi="Times New Roman;serif"/>
          <w:b w:val="false"/>
          <w:color w:val="000000"/>
          <w:sz w:val="24"/>
        </w:rPr>
        <w:t>means CME Term SOFR.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w:t>
      </w:r>
      <w:r>
        <w:rPr>
          <w:color w:val="000000"/>
        </w:rPr>
        <w:t xml:space="preserve">” </w:t>
      </w:r>
      <w:r>
        <w:rPr>
          <w:rFonts w:ascii="Times New Roman;serif" w:hAnsi="Times New Roman;serif"/>
          <w:b w:val="false"/>
          <w:color w:val="000000"/>
          <w:sz w:val="24"/>
        </w:rPr>
        <w:t>means a third party independent financial institution of national standing with experience providing such services, which has been selected by the Corporation in its sole discretion.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 Alternative Rate Determination</w:t>
      </w:r>
      <w:r>
        <w:rPr>
          <w:color w:val="000000"/>
        </w:rPr>
        <w:t xml:space="preserve">” </w:t>
      </w:r>
      <w:r>
        <w:rPr>
          <w:rFonts w:ascii="Times New Roman;serif" w:hAnsi="Times New Roman;serif"/>
          <w:b w:val="false"/>
          <w:color w:val="000000"/>
          <w:sz w:val="24"/>
        </w:rPr>
        <w:t>means that the Calculation Agent shall determine a commercially reasonable alternative for the Applicable Benchmark, taking into account all available information that in good faith it considers relevant including a rate implemented by central counterparties and/or futures exchanges (if any), in each case with trading volumes in derivatives or futures referencing the Applicable Benchmark that the Calculation Agent considers sufficient for that rate to be a representative alternative rate.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CME Term SOFR</w:t>
      </w:r>
      <w:r>
        <w:rPr>
          <w:color w:val="000000"/>
        </w:rPr>
        <w:t xml:space="preserve">” </w:t>
      </w:r>
      <w:r>
        <w:rPr>
          <w:rFonts w:ascii="Times New Roman;serif" w:hAnsi="Times New Roman;serif"/>
          <w:b w:val="false"/>
          <w:color w:val="000000"/>
          <w:sz w:val="24"/>
        </w:rPr>
        <w:t>means the forward-looking term Secured Overnight Financing Rate administrated by the Administrator (or any successor).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CME Term SOFR Recommended Rate</w:t>
      </w:r>
      <w:r>
        <w:rPr>
          <w:color w:val="000000"/>
        </w:rPr>
        <w:t xml:space="preserve">” </w:t>
      </w:r>
      <w:r>
        <w:rPr>
          <w:rFonts w:ascii="Times New Roman;serif" w:hAnsi="Times New Roman;serif"/>
          <w:b w:val="false"/>
          <w:color w:val="000000"/>
          <w:sz w:val="24"/>
        </w:rPr>
        <w:t xml:space="preserve">means the rate (inclusive of any spreads or adjustments) recommended as the replacement rate for CME Term SOFR by the Administrator or, if the Administrator does not make a recommendation, a committee officially endorsed or convened by the Federal Reserve Board or the Federal Reserve Bank of New York or the supervisor for the Administrator for the purpose of recommending a replacement for CME Term SOFR (which rate may be produced by the Administrator or another administrator) and as provided by the Administrator of that rate or, if that rate is not provided by the Administrator thereof, published by an authorized distributor.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Designated Maturity</w:t>
      </w:r>
      <w:r>
        <w:rPr>
          <w:color w:val="000000"/>
        </w:rPr>
        <w:t xml:space="preserve">” </w:t>
      </w:r>
      <w:r>
        <w:rPr>
          <w:rFonts w:ascii="Times New Roman;serif" w:hAnsi="Times New Roman;serif"/>
          <w:b w:val="false"/>
          <w:color w:val="000000"/>
          <w:sz w:val="24"/>
        </w:rPr>
        <w:t>means three months.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Dividend Determination Date</w:t>
      </w:r>
      <w:r>
        <w:rPr>
          <w:color w:val="000000"/>
        </w:rPr>
        <w:t xml:space="preserve">” </w:t>
      </w:r>
      <w:r>
        <w:rPr>
          <w:rFonts w:ascii="Times New Roman;serif" w:hAnsi="Times New Roman;serif"/>
          <w:b w:val="false"/>
          <w:color w:val="000000"/>
          <w:sz w:val="24"/>
        </w:rPr>
        <w:t>means, for any Dividend Period, the second U.S. Government Securities Business Day immediately preceding the first date of such Dividend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Dividend Period</w:t>
      </w:r>
      <w:r>
        <w:rPr>
          <w:color w:val="000000"/>
        </w:rPr>
        <w:t xml:space="preserve">” </w:t>
      </w:r>
      <w:r>
        <w:rPr>
          <w:rFonts w:ascii="Times New Roman;serif" w:hAnsi="Times New Roman;serif"/>
          <w:b w:val="false"/>
          <w:color w:val="000000"/>
          <w:sz w:val="24"/>
        </w:rPr>
        <w:t>means the period from, and including, a Dividend Payment Date to, but excluding, the next succeeding Dividend Payment Date, except for the initial Dividend Period, which will be the period from, and including, [●], 2026</w:t>
      </w:r>
      <w:r>
        <w:rPr>
          <w:rFonts w:ascii="Times New Roman;serif" w:hAnsi="Times New Roman;serif"/>
          <w:b w:val="false"/>
          <w:color w:val="000000"/>
          <w:sz w:val="16"/>
        </w:rPr>
        <w:t>8</w:t>
      </w:r>
      <w:r>
        <w:rPr>
          <w:color w:val="000000"/>
        </w:rPr>
        <w:t xml:space="preserve"> </w:t>
      </w:r>
      <w:r>
        <w:rPr>
          <w:rFonts w:ascii="Times New Roman;serif" w:hAnsi="Times New Roman;serif"/>
          <w:b w:val="false"/>
          <w:color w:val="000000"/>
          <w:sz w:val="24"/>
        </w:rPr>
        <w:t>to, but excluding, [●], 2026</w:t>
      </w:r>
      <w:r>
        <w:rPr>
          <w:rFonts w:ascii="Times New Roman;serif" w:hAnsi="Times New Roman;serif"/>
          <w:b w:val="false"/>
          <w:color w:val="000000"/>
          <w:sz w:val="16"/>
        </w:rPr>
        <w:t>9</w:t>
      </w:r>
      <w:r>
        <w:rPr>
          <w:rFonts w:ascii="Times New Roman;serif" w:hAnsi="Times New Roman;serif"/>
          <w:b w:val="false"/>
          <w:color w:val="000000"/>
          <w:sz w:val="24"/>
        </w:rPr>
        <w:t>.</w:t>
      </w:r>
    </w:p>
    <w:p>
      <w:pPr>
        <w:pStyle w:val="TextBody"/>
        <w:bidi w:val="0"/>
        <w:spacing w:lineRule="auto" w:line="276"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1.</w:t>
      </w:r>
    </w:p>
    <w:p>
      <w:pPr>
        <w:pStyle w:val="TextBody"/>
        <w:bidi w:val="0"/>
        <w:spacing w:lineRule="auto" w:line="276"/>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3.</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Index Cessation Effective Date</w:t>
      </w:r>
      <w:r>
        <w:rPr>
          <w:color w:val="000000"/>
        </w:rPr>
        <w:t xml:space="preserve">” </w:t>
      </w:r>
      <w:r>
        <w:rPr>
          <w:rFonts w:ascii="Times New Roman;serif" w:hAnsi="Times New Roman;serif"/>
          <w:b w:val="false"/>
          <w:color w:val="000000"/>
          <w:sz w:val="24"/>
        </w:rPr>
        <w:t>means, with respect to one or more Index Cessation Events, the first date on which the Applicable Benchmark would ordinarily have been published or provided and is no longer published or provided.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Index Cessation Event</w:t>
      </w:r>
      <w:r>
        <w:rPr>
          <w:color w:val="000000"/>
        </w:rPr>
        <w:t xml:space="preserve">” </w:t>
      </w:r>
      <w:r>
        <w:rPr>
          <w:rFonts w:ascii="Times New Roman;serif" w:hAnsi="Times New Roman;serif"/>
          <w:b w:val="false"/>
          <w:color w:val="000000"/>
          <w:sz w:val="24"/>
        </w:rPr>
        <w:t>means, with respect to the Applicable Benchmark, (a) a public statement or publication of information by or on behalf of the Administrator announcing that it has ceased or will cease to provide the Applicable Benchmark permanently or indefinitely, provided that, at the time of the statement or publication, there is no successor administrator or provider, as applicable, that will continue to provide the Applicable Benchmark; or (b) a public statement or publication of information by the regulatory supervisor for the Administrator, the central bank for the currency of the Applicable Benchmark, an insolvency official with jurisdiction over the Administrator, a resolution authority with jurisdiction over the Administrator or a court or an entity with similar insolvency or resolution authority over the Administrator, which states that the Administrator has ceased or will cease to provide the Applicable Benchmark permanently or indefinitely, provided that, at the time of the statement or publication, there is no successor administrator or provider that will continue to provide the Applicable Benchmark.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Publicly Available Information</w:t>
      </w:r>
      <w:r>
        <w:rPr>
          <w:color w:val="000000"/>
        </w:rPr>
        <w:t xml:space="preserve">” </w:t>
      </w:r>
      <w:r>
        <w:rPr>
          <w:rFonts w:ascii="Times New Roman;serif" w:hAnsi="Times New Roman;serif"/>
          <w:b w:val="false"/>
          <w:color w:val="000000"/>
          <w:sz w:val="24"/>
        </w:rPr>
        <w:t>means, in respect of an Administrator/Benchmark Event, one or both of the following: (a) information received from or published by (i) the Administrator or sponsor of the Applicable Benchmark, if any, or (ii) any national, regional or other supervisory or regulatory authority which is responsible for supervising the Administrator or sponsor of the Applicable Benchmark, if any, or regulating the Applicable Benchmark; provided, however, that where any information of the type described in (i) or (ii) is not publicly available, it shall only constitute Publicly Available Information if it can be made public without violating any law, regulation, agreement, understanding or other restriction regarding the confidentiality of that information; or (b) information published in a Specified Public Source (regardless of whether the reader or user thereof pays a fee to obtain that information).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Specified Public Source</w:t>
      </w:r>
      <w:r>
        <w:rPr>
          <w:color w:val="000000"/>
        </w:rPr>
        <w:t xml:space="preserve">” </w:t>
      </w:r>
      <w:r>
        <w:rPr>
          <w:rFonts w:ascii="Times New Roman;serif" w:hAnsi="Times New Roman;serif"/>
          <w:b w:val="false"/>
          <w:color w:val="000000"/>
          <w:sz w:val="24"/>
        </w:rPr>
        <w:t>means each of Bloomberg, Refinitiv, Dow Jones Newswires, The Wall Street Journal, The New York Times, the Financial Times and, in each case, any successor publications, the main source(s) of business news in the country in which the Administrator is incorporated or organized and any other internationally recognized published or electronically displayed news sources.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 xml:space="preserve">means any day except for a Saturday,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No dividends on the Series E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thereof or provide that the authorization, payment or setting apart for payment thereof would constitute a breach of </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agreement or a default under the agreement, or if the authorization, payment or setting apart for payment is restricted or prohibited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Notwithstanding anything to the contrary contained herein, dividends on the Series E Preferred Stock will accumulate whether or not the terms and provisions of any laws or agreements referred to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E Preferred Stock which may be in arrears, and holders of Series E Preferred Stock will not be entitled to any dividends in excess of full cumulative dividends described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hereof. Any dividend payment made on the Series E Preferred Stock will first be credited against the earliest accumulated but unpaid dividend due with respect to the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Except as provided in </w:t>
      </w:r>
      <w:r>
        <w:rPr>
          <w:rFonts w:ascii="Times New Roman;serif" w:hAnsi="Times New Roman;serif"/>
          <w:b w:val="false"/>
          <w:color w:val="000000"/>
          <w:sz w:val="24"/>
          <w:u w:val="single"/>
        </w:rPr>
        <w:t>Section 4(e)</w:t>
      </w:r>
      <w:r>
        <w:rPr>
          <w:color w:val="000000"/>
        </w:rPr>
        <w:t xml:space="preserve"> </w:t>
      </w:r>
      <w:r>
        <w:rPr>
          <w:rFonts w:ascii="Times New Roman;serif" w:hAnsi="Times New Roman;serif"/>
          <w:b w:val="false"/>
          <w:color w:val="000000"/>
          <w:sz w:val="24"/>
        </w:rPr>
        <w:t xml:space="preserve">hereof, unless full cumulative dividends on the Series E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E Preferred Stock as to dividends and upon liquidation) shall be declared or paid or set apart for payment upon shares of Common Stock or shares of any other class or series of stock of the Corporation ranking junior to or on parity with the Series E Preferred Stock as to dividends or upon liquidation, (ii) no other distribution shall be declared or made upon shares of Common Stock or shares of any other class or series of stock of the Corporation ranking junior to or on parity with the Series E Preferred Stock as to dividends or upon liquidation, and (iii) shares of Common Stock and shares of any other class or series of stock of the Corporation ranking junior to or on parity with the Series E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E Preferred Stock as to dividends and upon liquidation or pursuant to a purchase or exchange offer made on the same terms to holders of all outstanding Series E Preferred Stock and shares of any other class or series of stock of the Corporation ranking on parity with the Series E Preferred Stock as to dividends or upon liquidation);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When dividends are not paid in full (or a sum sufficient for such full payment is not so set apart) upon the Series E Preferred Stock and shares of any other classes or series of stock of the Corporation ranking on parity as to dividends with the Series E Preferred Stock, all </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dividends declared upon the Series E Preferred Stock and all other such shares of stock shall be declared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so that the amount of dividends declared per share of Series E Preferred Stock and all other such shares of stock shall in all cases bear to each other the same ratio that accumulated dividends per share on the Series E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E Preferred Stock which may be in arrears.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that is neither a legal holiday nor a day on which banking institutions in New York, New York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Set apart for payment</w:t>
      </w:r>
      <w:r>
        <w:rPr>
          <w:color w:val="000000"/>
        </w:rPr>
        <w:t xml:space="preserve">” </w:t>
      </w:r>
      <w:r>
        <w:rPr>
          <w:rFonts w:ascii="Times New Roman;serif" w:hAnsi="Times New Roman;serif"/>
          <w:b w:val="false"/>
          <w:color w:val="000000"/>
          <w:sz w:val="24"/>
        </w:rPr>
        <w:t>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E Preferred Stock as to the payment of dividends are placed in a separate account of the Corporation or delivered to a disbursing, paying or other similar agent, then “set apart for payment” with respect to the Series E Preferred Stock shall mean placing such funds in a separate account or delivering such funds to a disbursing, paying or other similar agent.</w:t>
      </w:r>
    </w:p>
    <w:p>
      <w:pPr>
        <w:pStyle w:val="TextBody"/>
        <w:bidi w:val="0"/>
        <w:spacing w:lineRule="auto" w:line="288" w:before="0" w:after="24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Liquidation Preference</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of any voluntary or involuntary liquidation, dissolution or winding up of the Corporation, the holders of Series E Preferred Stock will be entitled to be paid out of the assets the Corporation has legally available for distribution to its stockholders, subject to the preferential rights of the holders of any class or series of stock of the Corporation ranking senior to the Series E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E Preferred Stock as to liquidation rights; and such holders of Series E Preferred Stock shall not be entitled to any further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 the event that, upon any such voluntary or involuntary liquidation, dissolution or winding up, the available assets of the Corporation are insufficient to pay the amount of the liquidating distributions on all outstanding shares of Series E Preferred Stock and the corresponding amounts payable on all shares of other classes or series of stock of the Corporation ranking on parity with the Series E Preferred Stock in the distribution of assets upon liquidation, dissolution or winding up, then the holders of Series E Preferred Stock and all other such classes or series of stock shall share ratably in any such distribution of assets in proportion to the full liquidating distributions to which they would otherwise be respectively entitled.</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E Preferred Stock at the address of such holder as it shall appear on the stock records of the Corporation. After payment of the full amount of the liquidating distributions to which they are entitled, the holders of Series E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of the Corporation or a statutory share exchange, shall not be deemed to constitute a liquidation, dissolution or winding up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E Preferred Stock shall not be added to the Corporation’s total liabilities.</w:t>
      </w:r>
    </w:p>
    <w:p>
      <w:pPr>
        <w:pStyle w:val="TextBody"/>
        <w:bidi w:val="0"/>
        <w:spacing w:lineRule="auto" w:line="288" w:before="0" w:after="24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As described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and as provided in Article VII of the Charter, the Corporation may purchase or redeem shares of the Series E Preferred Stock, including under circumstances where it is necessary to preserve the Corporation’s qualification as a real estate investment trust for U.S. federal income tax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Optional Redemption Right</w:t>
      </w:r>
      <w:r>
        <w:rPr>
          <w:rFonts w:ascii="Times New Roman;serif" w:hAnsi="Times New Roman;serif"/>
          <w:b w:val="false"/>
          <w:color w:val="000000"/>
          <w:sz w:val="24"/>
        </w:rPr>
        <w:t xml:space="preserve">. The Corporation may, at its option, upon not less than 30 nor more than 60 days’ notice, as provided below, redeem the Series E Preferred Stock, in whole or in part, at any time or from time to time,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hereof, any accumulated and unpaid dividends thereon (whether or not authorized or declared) to, but not including, the date fixed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Special Optional Redemption Right</w:t>
      </w:r>
      <w:r>
        <w:rPr>
          <w:rFonts w:ascii="Times New Roman;serif" w:hAnsi="Times New Roman;serif"/>
          <w:b w:val="false"/>
          <w:color w:val="000000"/>
          <w:sz w:val="24"/>
        </w:rPr>
        <w:t xml:space="preserve">. Upon the occurrence of a Change of Control (as defined below), the Corporation may, at its option, upon not less than 30 nor more than 60 days’ notice, as provided below, redeem the Series E Preferred Stock, in whole or in part, within 120 days after the first date on which such Change of Control occurred,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 xml:space="preserve">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E Preferred Stock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the holders of Series E Preferred Stock will not have the Change of Control Conversion Right (as defined below) with respect to the shares of Series E Preferred Stock called for redemption.</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 A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is deemed to occur when, after [●], 2026</w:t>
      </w:r>
      <w:r>
        <w:rPr>
          <w:rFonts w:ascii="Times New Roman;serif" w:hAnsi="Times New Roman;serif"/>
          <w:b w:val="false"/>
          <w:color w:val="000000"/>
          <w:sz w:val="16"/>
        </w:rPr>
        <w:t>10</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Issue Date</w:t>
      </w:r>
      <w:r>
        <w:rPr>
          <w:color w:val="000000"/>
        </w:rPr>
        <w:t>”</w:t>
      </w:r>
      <w:r>
        <w:rPr>
          <w:rFonts w:ascii="Times New Roman;serif" w:hAnsi="Times New Roman;serif"/>
          <w:b w:val="false"/>
          <w:color w:val="000000"/>
          <w:sz w:val="24"/>
        </w:rPr>
        <w:t>), the following have occurred and are continuing: (i) the acquisition by any person, including any syndicate or group deemed to be a “person” under Section 13(d)(3)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xml:space="preserve">),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w:t>
      </w:r>
      <w:r>
        <w:rPr>
          <w:rFonts w:ascii="Times New Roman;serif" w:hAnsi="Times New Roman;serif"/>
          <w:b w:val="false"/>
          <w:color w:val="000000"/>
          <w:sz w:val="24"/>
          <w:u w:val="single"/>
        </w:rPr>
        <w:t>clause (i)</w:t>
      </w:r>
      <w:r>
        <w:rPr>
          <w:rFonts w:ascii="Times New Roman;serif" w:hAnsi="Times New Roman;serif"/>
          <w:b w:val="false"/>
          <w:color w:val="000000"/>
          <w:sz w:val="24"/>
        </w:rPr>
        <w:t>, neither the Corporation nor the acquiring or surviving entity has a class of common securities (or American Depositary Receipts representing such securities) listed on the New York Stock Exchange (the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the NYSE American or the Nasdaq Stock Market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or listed or quoted on an exchange or quotation system that is a successor to the NYSE, the NYSE American or Nasdaq.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the event the Corporation elects to redeem Series E Preferred Stock, the notice of redemption will be given by the Corporation, postage prepaid, not less than 30 nor more than 60 days’ prior to the redemption date, to each holder of record of Series E Preferred Stock called for redemption at such holder’s address as it appears on the stock records of the Corporation and shall state: (i) the redemption date; (ii) the number of shares of Series E Preferred Stock to be redeemed; (iii) the redemption price; (iv) the place or places where certificates (if any) for the Series E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E Preferred Stock being so called for redemption will not be able to tender such shares of Series E Preferred Stock for conversion in connection with the Change of Control and that each share of Series E Preferred Stock tendered for conversion that is called, prior to the Change of Control Conversion Date, for redemption will be redeemed on the related date of redemption instead of converted on the Change of Control Conversion Date. If less than all of the shares of Series E Preferred Stock held by any holder are to be redeemed, the notice given to such holder shall also specify the number of shares of Series E Preferred Stock held by such holder to be redeemed. No failure to give such notice or any defect thereto or in the giving thereof shall affect the validity of the proceedings for the redemption of any shares of Series E Preferred Stock except as to the holder to whom notice was defective or not given. Notwithstanding the foregoing, no notice of redemption will be required where the Corporation elects to redeem Series E Preferred Stock pursuant to Article VII of the Charter, including to preserve the Corporation’s qualification as a real estate investment trust for U.S. federal income tax purposes.</w:t>
      </w:r>
    </w:p>
    <w:p>
      <w:pPr>
        <w:pStyle w:val="TextBody"/>
        <w:bidi w:val="0"/>
        <w:spacing w:lineRule="auto" w:line="276"/>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Closing Date for the Company Merger.</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Holders of shares of Series E Preferred Stock to be redeemed shall surrender the shares of Series E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If notice of redemption of any shares of Series E Preferred Stock has been given and if the Corporation irrevocably sets apart for payment the funds necessary for redemption (including any accumulated and unpaid dividends) in trust for the benefit of the holders of the shares of Series E Preferred Stock so called for redemption, then from and after the redemption date (unless the Corporation shall default in providing for the payment of the redemption price plus accumulated and unpaid dividends, if any), dividends will cease to accumulate on those shares of Series E Preferred Stock, those shares of Series E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If less than all of the outstanding shares of Series E Preferred Stock are to be redeemed, the shares of Series E Preferred Stock to be redeemed shall be selected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(as nearly as may be practicable without creating fractional shares) or by lot. If such redemption is to be by lot and if, as a result of such redemption, any holder of Series E Preferred Stock would own shares of Series E Preferred Stock in excess of the Aggregate Stock Ownership Limit (as defined in the Charter) or violate any other restriction or limitation on ownership or transfer of Capital Stock (as defined in the Charter) set forth in Section 7.2.1 of Article VII of the Charter, then, except as otherwise provided in the Charter, the Corporation will redeem the requisite number of shares of Series E Preferred Stock of that holder such that the holder will not own shares of Series E Preferred Stock in excess of the Aggregate Stock Ownership Limit or violate any other restriction on ownership or transfer of Capital Stock set forth in Section 7.2.1 of Article VII of the Charter subsequent to such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(j) Immediately prior to any redemption of Series E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E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serif" w:hAnsi="Times New Roman;serif"/>
          <w:b w:val="false"/>
          <w:color w:val="000000"/>
          <w:sz w:val="24"/>
          <w:u w:val="single"/>
        </w:rPr>
        <w:t>Section 6(j)</w:t>
      </w:r>
      <w:r>
        <w:rPr>
          <w:rFonts w:ascii="Times New Roman;serif" w:hAnsi="Times New Roman;serif"/>
          <w:b w:val="false"/>
          <w:color w:val="000000"/>
          <w:sz w:val="24"/>
        </w:rPr>
        <w:t>, the Corporation will make no payment or allowance for unpaid dividends, whether or not in arrears, on shares of the Series E Preferred Stock to be redeemed.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Unless full cumulative dividends on all shares of Series E Preferred Stock shall have been or contemporaneously are declared and paid or declared and a sum sufficient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payment thereof has been or contemporaneously is set apart for payment for all past Dividend Periods, no shares of Series E Preferred Stock shall be redeemed unless all outstanding shares of Series E Preferred Stock are simultaneously redeemed, and the Corporation shall not purchase or otherwise acquire directly or indirectly any shares of Series E Preferred Stock (except by conversion into or exchange for shares of, or options, warrants or rights to purchase or subscribe for, Common Stock or stock ranking junior to the Series E Preferred Stock as to dividends and upon liquidation or pursuant to a purchase or exchange offer made on the same terms to holders of all outstanding shares of Series E Preferred Stock and any other class or series of stock of the Corporation ranking on a parity with the Series E Preferred Stock as to the payment of dividends and the distribution of assets upon any liquidation, dissolution or winding up of the Corporation);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Series E Preferred Stock pursuant to Article VII of the Charter to preserve the Corporation’s qualification as a real estate investment trust for U.S. federal income tax purposes, among other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Subject to applicable law, the Corporation may purchase shares of Series E Preferred Stock in the open market, by tender or by privately negotiated transactions. Any shares of Series E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lineRule="auto" w:line="288" w:before="0" w:after="24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Conversion Rights</w:t>
      </w:r>
      <w:r>
        <w:rPr>
          <w:rFonts w:ascii="Times New Roman;serif" w:hAnsi="Times New Roman;serif"/>
          <w:b w:val="false"/>
          <w:color w:val="000000"/>
          <w:sz w:val="24"/>
        </w:rPr>
        <w:t xml:space="preserve">. Shares of Series E Preferred Stock are not convertible into or exchangeable for any other property or securities of the Corporation, except as provided in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Upon the occurrence of a Change of Control, each holder of Series E Preferred Stock will have the right (unless, prior to the Change of Control Conversion Date, the Corporation has provided notice of its election to redeem some or all of the shares of Series E Preferred Stock held by such holder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in which case such holder will have the right only with respect to shares of Series E Preferred Stock that are not called for redemption) to convert some or all of the shares of Series E Preferred Stock held by such holder (the “</w:t>
      </w:r>
      <w:r>
        <w:rPr>
          <w:rFonts w:ascii="Times New Roman;serif" w:hAnsi="Times New Roman;serif"/>
          <w:b w:val="false"/>
          <w:color w:val="000000"/>
          <w:sz w:val="24"/>
          <w:u w:val="single"/>
        </w:rPr>
        <w:t>Change of Control Conversion Right</w:t>
      </w:r>
      <w:r>
        <w:rPr>
          <w:color w:val="000000"/>
        </w:rPr>
        <w:t>”</w:t>
      </w:r>
      <w:r>
        <w:rPr>
          <w:rFonts w:ascii="Times New Roman;serif" w:hAnsi="Times New Roman;serif"/>
          <w:b w:val="false"/>
          <w:color w:val="000000"/>
          <w:sz w:val="24"/>
        </w:rPr>
        <w:t>) on the Change of Control Conversion Date into a number of shares of Common Stock per share of Series E Preferred Stock (the “</w:t>
      </w:r>
      <w:r>
        <w:rPr>
          <w:rFonts w:ascii="Times New Roman;serif" w:hAnsi="Times New Roman;serif"/>
          <w:b w:val="false"/>
          <w:color w:val="000000"/>
          <w:sz w:val="24"/>
          <w:u w:val="single"/>
        </w:rPr>
        <w:t>Common Stock Conversion Consideration</w:t>
      </w:r>
      <w:r>
        <w:rPr>
          <w:color w:val="000000"/>
        </w:rPr>
        <w:t>”</w:t>
      </w:r>
      <w:r>
        <w:rPr>
          <w:rFonts w:ascii="Times New Roman;serif" w:hAnsi="Times New Roman;serif"/>
          <w:b w:val="false"/>
          <w:color w:val="000000"/>
          <w:sz w:val="24"/>
        </w:rPr>
        <w:t xml:space="preserve">) equal to the lesser of: (i) the quotient obtained by dividing (x) the sum of the $25.00 liquidation preference per share of Series E Preferred Stock plus (subject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 xml:space="preserve">hereof) the amount of any accumulated and unpaid dividends (whether or not authorized or declared) thereon to, but not including, the Change of Control Conversion Date (unless the Change of Control Conversion Date is after a Dividend Record Date and prior to the corresponding Dividend Payment Date for the Series E Preferred Stock, in which case no additional amount for such accumulated and unpaid dividends will be included in this sum) by </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(y) the Common Stock Price (as defined below) (such quotient,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and (ii) [●]</w:t>
      </w:r>
      <w:r>
        <w:rPr>
          <w:rFonts w:ascii="Times New Roman;serif" w:hAnsi="Times New Roman;serif"/>
          <w:b w:val="false"/>
          <w:color w:val="000000"/>
          <w:sz w:val="16"/>
        </w:rPr>
        <w:t>11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Share Cap</w:t>
      </w:r>
      <w:r>
        <w:rPr>
          <w:color w:val="000000"/>
        </w:rPr>
        <w:t>”</w:t>
      </w:r>
      <w:r>
        <w:rPr>
          <w:rFonts w:ascii="Times New Roman;serif" w:hAnsi="Times New Roman;serif"/>
          <w:b w:val="false"/>
          <w:color w:val="000000"/>
          <w:sz w:val="24"/>
        </w:rPr>
        <w:t xml:space="preserve">), subject to adjustments provided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The Share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(including those effected pursuant to a distribution of Common Stock to existing holders of Common Stock), subdivisions or combinations (in each case, a “</w:t>
      </w:r>
      <w:r>
        <w:rPr>
          <w:rFonts w:ascii="Times New Roman;serif" w:hAnsi="Times New Roman;serif"/>
          <w:b w:val="false"/>
          <w:color w:val="000000"/>
          <w:sz w:val="24"/>
          <w:u w:val="single"/>
        </w:rPr>
        <w:t>Share Split</w:t>
      </w:r>
      <w:r>
        <w:rPr>
          <w:color w:val="000000"/>
        </w:rPr>
        <w:t>”</w:t>
      </w:r>
      <w:r>
        <w:rPr>
          <w:rFonts w:ascii="Times New Roman;serif" w:hAnsi="Times New Roman;serif"/>
          <w:b w:val="false"/>
          <w:color w:val="000000"/>
          <w:sz w:val="24"/>
        </w:rPr>
        <w:t>) with respect to Common Stock as follows: the adjusted Share Cap as the result of a Share Split will be the number of shares of Common Stock that is equivalent to the product obtained by multiplying (i) the Share 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E Preferred Stock issued and outstanding at the Change of Control Conversion Date (or equivalent Alternative Conversion Consideration, as applicable) (the “</w:t>
      </w:r>
      <w:r>
        <w:rPr>
          <w:rFonts w:ascii="Times New Roman;serif" w:hAnsi="Times New Roman;serif"/>
          <w:b w:val="false"/>
          <w:color w:val="000000"/>
          <w:sz w:val="24"/>
          <w:u w:val="single"/>
        </w:rPr>
        <w:t>Exchange Cap</w:t>
      </w:r>
      <w:r>
        <w:rPr>
          <w:color w:val="000000"/>
        </w:rPr>
        <w:t>”</w:t>
      </w:r>
      <w:r>
        <w:rPr>
          <w:rFonts w:ascii="Times New Roman;serif" w:hAnsi="Times New Roman;serif"/>
          <w:b w:val="false"/>
          <w:color w:val="000000"/>
          <w:sz w:val="24"/>
        </w:rPr>
        <w:t xml:space="preserve">). The Exchange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on the same basis as the corresponding adjustments to the Share Cap.</w:t>
      </w:r>
    </w:p>
    <w:p>
      <w:pPr>
        <w:pStyle w:val="TextBody"/>
        <w:bidi w:val="0"/>
        <w:spacing w:lineRule="auto" w:line="288" w:before="0" w:after="240"/>
        <w:ind w:left="0" w:right="0" w:firstLine="720"/>
        <w:jc w:val="left"/>
        <w:rPr/>
      </w:pPr>
      <w:r>
        <w:rPr>
          <w:rFonts w:ascii="Times New Roman;serif" w:hAnsi="Times New Roman;serif"/>
          <w:b w:val="false"/>
          <w:color w:val="000000"/>
          <w:sz w:val="24"/>
        </w:rPr>
        <w:t>(c) The “</w:t>
      </w:r>
      <w:r>
        <w:rPr>
          <w:rFonts w:ascii="Times New Roman;serif" w:hAnsi="Times New Roman;serif"/>
          <w:b w:val="false"/>
          <w:color w:val="000000"/>
          <w:sz w:val="24"/>
          <w:u w:val="single"/>
        </w:rPr>
        <w:t>Change of Control Conversion Date</w:t>
      </w:r>
      <w:r>
        <w:rPr>
          <w:color w:val="000000"/>
        </w:rPr>
        <w:t xml:space="preserve">” </w:t>
      </w:r>
      <w:r>
        <w:rPr>
          <w:rFonts w:ascii="Times New Roman;serif" w:hAnsi="Times New Roman;serif"/>
          <w:b w:val="false"/>
          <w:color w:val="000000"/>
          <w:sz w:val="24"/>
        </w:rPr>
        <w:t xml:space="preserve">is the date the Series E Preferred Stock is to be converted, which will be a Business Day selected by the Corporation that is neither fewer than 20 days nor more than 35 days after the date on which it provides the notice described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to the holders of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(d) The “</w:t>
      </w:r>
      <w:r>
        <w:rPr>
          <w:rFonts w:ascii="Times New Roman;serif" w:hAnsi="Times New Roman;serif"/>
          <w:b w:val="false"/>
          <w:color w:val="000000"/>
          <w:sz w:val="24"/>
          <w:u w:val="single"/>
        </w:rPr>
        <w:t>Common Stock Price</w:t>
      </w:r>
      <w:r>
        <w:rPr>
          <w:color w:val="000000"/>
        </w:rPr>
        <w:t xml:space="preserve">” </w:t>
      </w:r>
      <w:r>
        <w:rPr>
          <w:rFonts w:ascii="Times New Roman;serif" w:hAnsi="Times New Roman;serif"/>
          <w:b w:val="false"/>
          <w:color w:val="000000"/>
          <w:sz w:val="24"/>
        </w:rPr>
        <w:t>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lineRule="auto" w:line="276"/>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The original Share Cap of 2.68962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(e) In the case of a Change of Control pursuant to which Common Stock is or will be converted into cash, securities or other property or assets (including any combination thereof) (the “</w:t>
      </w:r>
      <w:r>
        <w:rPr>
          <w:rFonts w:ascii="Times New Roman;serif" w:hAnsi="Times New Roman;serif"/>
          <w:b w:val="false"/>
          <w:color w:val="000000"/>
          <w:sz w:val="24"/>
          <w:u w:val="single"/>
        </w:rPr>
        <w:t>Alternative Form Consideration</w:t>
      </w:r>
      <w:r>
        <w:rPr>
          <w:color w:val="000000"/>
        </w:rPr>
        <w:t>”</w:t>
      </w:r>
      <w:r>
        <w:rPr>
          <w:rFonts w:ascii="Times New Roman;serif" w:hAnsi="Times New Roman;serif"/>
          <w:b w:val="false"/>
          <w:color w:val="000000"/>
          <w:sz w:val="24"/>
        </w:rPr>
        <w:t>), a holder of Series E Preferred Stock will receive upon conversion of such shares of Series E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serif" w:hAnsi="Times New Roman;serif"/>
          <w:b w:val="false"/>
          <w:color w:val="000000"/>
          <w:sz w:val="24"/>
          <w:u w:val="single"/>
        </w:rPr>
        <w:t>Alternative Conversion Consideration</w:t>
      </w:r>
      <w:r>
        <w:rPr>
          <w:color w:val="000000"/>
        </w:rPr>
        <w:t>”</w:t>
      </w:r>
      <w:r>
        <w:rPr>
          <w:rFonts w:ascii="Times New Roman;serif" w:hAnsi="Times New Roman;serif"/>
          <w:b w:val="false"/>
          <w:color w:val="000000"/>
          <w:sz w:val="24"/>
        </w:rPr>
        <w:t>; the Common Stock Conversion Consideration or the Alternative Conversion Consideration, whichever shall be applicable to a Change of Control, is referred to as the “</w:t>
      </w:r>
      <w:r>
        <w:rPr>
          <w:rFonts w:ascii="Times New Roman;serif" w:hAnsi="Times New Roman;serif"/>
          <w:b w:val="false"/>
          <w:color w:val="000000"/>
          <w:sz w:val="24"/>
          <w:u w:val="single"/>
        </w:rPr>
        <w:t>Conversion Consideration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such Change of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Corporation will not issue any fractional shares of Common Stock upon the conversion of the Series E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(h) Within 15 days following the occurrence of a Change of Control, provided that the Corporation has not exercised its right to redeem all shares of Series E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the Corporation will provide to holders of Series E Preferred Stock a notice of occurrence of the Change of Control that describes the resulting Change of Control Conversion Right, which notice shall be delivered to the holders of record of the shares of the Series E Preferred Stock to their addresses as they appear on the stock transfer records of the Corporation and shall state: (i) the events constituting the Change of Control; (ii) the date of the Change of Control; (iii) the last date on which the holders of Series E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E Preferred Stock, holders will not be able to convert the shares of Series E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E Preferred Stock; (viii) the name and address of the paying agent, transfer agent and conversion agent for the Series E Preferred Stock; (ix) the procedures that the holders of Series E Preferred Stock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must follow to exercise the Change of Control Conversion Right (including procedures for surrendering shares of Series E Preferred Stock for conversion through the facilities of a Depositary (as defined below)), including the form of conversion notice to be delivered by such holders as described below; and (x) the last date on which holders of Series E Preferred Stock may withdraw shares of Series E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E Preferred Stock except as to the holder to whom notice was defective or not given.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The Corporation shall also issue a press release containing such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 xml:space="preserve">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hereof to the holders of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To exercise the Change of Control Conversion Right, the holders of Series E Preferred Stock will be required to deliver, on or before the close of business on the Change of Control Conversion Date, the certificates (if any) representing the shares of Series E Preferred Stock to be converted, duly endorsed for transfer (or, in the case of any shares of Series E Preferred Stock held in book-entry form through a Depositary or shares directly registered with the transfer agent therefor, to deliver, on or before the close of business on the Change of Control Conversion Date, the shares of Series E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E Preferred Stock to be converted; and (iii) that the shares of Series E Preferred Stock are to be converted pursuant to the applicable provisions of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Holders of Series E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E Preferred Stock; (ii) if certificated shares of Series E Preferred Stock have been surrendered for conversion, the certificate numbers of the withdrawn shares of Series E Preferred Stock; and (iii) the number of shares of Series E Preferred Stock, if any, which remain subject to the holder’s conversion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(l) Notwithstanding anything to the contrary contained in </w:t>
      </w:r>
      <w:r>
        <w:rPr>
          <w:rFonts w:ascii="Times New Roman;serif" w:hAnsi="Times New Roman;serif"/>
          <w:b w:val="false"/>
          <w:color w:val="000000"/>
          <w:sz w:val="24"/>
          <w:u w:val="single"/>
        </w:rPr>
        <w:t>Sections 7(j)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hereof, if any shares of Series E Preferred Stock are held in book-entry form through The </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or a similar depositary (each, a “</w:t>
      </w:r>
      <w:r>
        <w:rPr>
          <w:rFonts w:ascii="Times New Roman;serif" w:hAnsi="Times New Roman;serif"/>
          <w:b w:val="false"/>
          <w:color w:val="000000"/>
          <w:sz w:val="24"/>
          <w:u w:val="single"/>
        </w:rPr>
        <w:t>Depositary</w:t>
      </w:r>
      <w:r>
        <w:rPr>
          <w:color w:val="000000"/>
        </w:rPr>
        <w:t>”</w:t>
      </w:r>
      <w:r>
        <w:rPr>
          <w:rFonts w:ascii="Times New Roman;serif" w:hAnsi="Times New Roman;serif"/>
          <w:b w:val="false"/>
          <w:color w:val="000000"/>
          <w:sz w:val="24"/>
        </w:rPr>
        <w:t>), the conversion notice and/or the notice of withdrawal, as applicable, must comply with applicable procedures, if any, of the applicable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(m) Shares of Series E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E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in which case only the shares of Series E Preferred Stock properly surrendered for conversion and not properly withdrawn that are not called for redemption will be converted as aforesaid. If the Corporation elects to redeem shares of Series E Preferred Stock that would otherwise be converted into the applicable Conversion Consideration on a Change of Control Conversion Date, such shares of Series E Preferred Stock will not be so converted and the holders of such shares will be entitled to receive on the applicable redemption date the redemption price as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In connection with the exercise of any Change of Control Conversion Right, the Corporation shall comply with all applicable federal and state securities laws and stock exchange rules in connection with any conversion of shares of Series E Preferred Stock into shares of Common Stock or other property. Notwithstanding any other provision of the Series E Preferred Stock, no holder of Series E Preferred Stock will be entitled to convert such shares of Series E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(p) Notwithstanding anything to the contrary herein and except as otherwise required by law, the persons who are the holders of record of shares of Series E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serif" w:hAnsi="Times New Roman;serif"/>
          <w:b w:val="false"/>
          <w:color w:val="000000"/>
          <w:sz w:val="24"/>
          <w:u w:val="single"/>
        </w:rPr>
        <w:t>Section 7(p)</w:t>
      </w:r>
      <w:r>
        <w:rPr>
          <w:rFonts w:ascii="Times New Roman;serif" w:hAnsi="Times New Roman;serif"/>
          <w:b w:val="false"/>
          <w:color w:val="000000"/>
          <w:sz w:val="24"/>
        </w:rPr>
        <w:t>, the Corporation will make no allowance for unpaid dividends that are not in arrears on the shares of Series E Preferred Stock to be converted.</w:t>
      </w:r>
    </w:p>
    <w:p>
      <w:pPr>
        <w:pStyle w:val="TextBody"/>
        <w:bidi w:val="0"/>
        <w:spacing w:lineRule="auto" w:line="288" w:before="0" w:after="24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Holders of Series E Preferred Stock will not have any voting rights, except as set forth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On each matter on which holders of Series E Preferred Stock are entitled to vote, each share of Series E Preferred Stock will be entitled to one vote, except that when shares of any other class or series of Preferred Stock the Corporation may issue have the right to vote with the Series E Preferred Stock as a single class on any matter, the Series E Preferred Stock and the shares of each such other class or series will have one vote for each $25.00 of liquidation preference (excluding accumulated dividends).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Whenever dividends on any shares of Series E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E Preferred Stock, voting as a single class with the holders of all other classes or series of Preferred Stock ranking on a parity with the Series E Preferred Stock as to the payment of dividends and the distribution of assets upon any liquidation, dissolution or winding up of the Corporation and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E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stockholders of the Corporation until all dividends accumulated on the Series E Preferred Stock for all past Dividend Periods and the then current Dividend Period shall have been fully paid. In that case, the right of holders of Series E Preferred Stock to elect any directors will cease and, unless there are other classes or series of Preferred Stock upon which like voting rights have been conferred and are exercisable, the term of office of any directors elected by holders of Series E Preferred Stock shall immediately terminate and the number of directors constituting the Board shall be reduced accordingly. For the avoidance of doubt, in no event shall the total number of directors elected by holders of Series E Preferred Stock (voting together as a single class with the holders of all other classes or series of Preferred Stock upon which like voting rights have been conferred and are exercisable) pursuant to the voting rights under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exceed two. The directors elected by the holders of Series E Preferred Stock and the holders of all other classes or series of Preferred Stock upon which like voting rights have been conferred and are exercisable will be elected by a plurality of the votes cast by the holders of the outstanding shares of Series E Preferred Stock when they have the voting rights as set forth in this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at any time when the voting rights conferred upon the Series E Preferred Stock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hereof are exercisable, any vacancy in the office of a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shall occur, then such vacancy may be filled only by the remaining director or by vote of the holders of the outstanding Series E Preferred Stock and any other classes or series of Preferred Stock upon which like voting rights have been conferred and are exercisable. Any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may be removed at any time, with or without cause, only by the vote of, and may not be removed otherwise than by the vote of, the holders of record of a majority of the outstanding shares of Series E Preferred Stock and any class or series of Preferred Stock upon which like voting rights have been conferred and are exercisable (voting as a single class with all other classes or series of Preferred Stock upon which like voting rights have been conferred and are exercisable).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(d) So long as any shares of Series E Preferred Stock remain outstanding, the Corporation will not, without the affirmative vote or consent of the holders of at least two-thirds of the shares of Series E Preferred Stock outstanding at the time, voting together as a single class with the holders of all classes or series of Preferred Stock ranking on parity with the Series E Preferred Stock upon which like voting rights have been conferred and are exercisable, (i) authorize or create, or increase the authorized or issued amount of, any class or series of capital stock ranking senior to the Series E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conversion, consolidation or otherwise, so as to materially and adversely affect any right, preference, privilege or voting power of the Series E Preferred Stock (each, an “</w:t>
      </w:r>
      <w:r>
        <w:rPr>
          <w:rFonts w:ascii="Times New Roman;serif" w:hAnsi="Times New Roman;serif"/>
          <w:b w:val="false"/>
          <w:color w:val="000000"/>
          <w:sz w:val="24"/>
          <w:u w:val="single"/>
        </w:rPr>
        <w:t>Event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with respect to the occurrence of any Event set forth in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above, so long as the Series E Preferred Stock remains outstanding with the terms thereof materially unchanged, or the holders of Series E Preferred Stock receive shares of stock or other equity interests with rights, preferences, privileges and voting powers substantially the same as those of the Series E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E Preferred Stock;</w:t>
      </w:r>
      <w:r>
        <w:rPr>
          <w:color w:val="000000"/>
        </w:rPr>
        <w:t xml:space="preserve"> </w:t>
      </w:r>
      <w:r>
        <w:rPr>
          <w:rFonts w:ascii="Times New Roman;serif" w:hAnsi="Times New Roman;serif"/>
          <w:b w:val="false"/>
          <w:i/>
          <w:color w:val="000000"/>
          <w:sz w:val="24"/>
        </w:rPr>
        <w:t>provided further</w:t>
      </w:r>
      <w:r>
        <w:rPr>
          <w:rFonts w:ascii="Times New Roman;serif" w:hAnsi="Times New Roman;serif"/>
          <w:b w:val="false"/>
          <w:color w:val="000000"/>
          <w:sz w:val="24"/>
        </w:rPr>
        <w:t>, that any increase in the amount of the authorized Series E Preferred Stock, or the creation or issuance, or any increase in the amounts authorized of any class or series ranking on parity with or junior to the Series E Preferred Stock that the Corporation may issue shall not be deemed to materially and adversely affect the rights, preferences, privileges or voting powers of holders of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The voting rights provided for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will not apply if, at or prior to the time when the act with respect to which voting by holders of Series E Preferred Stock would otherwise be required pursuant to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be effected, all outstanding shares of Series E Preferred Stock shall have been redeemed or called for redemption upon proper notice and sufficient funds have been irrevocably set apart to effect such redemption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Except as expressly stated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Series E Preferred Stock will not have any relative, participating, optional or other special voting rights or powers and the consent of the holders thereof shall not be required for the taking of any corporate action. The holders of Series E Preferred Stock shall have exclusive voting rights on any Charter amendment that would alter the contract rights, as expressly set forth in the Charter, of only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Notwithstanding the foregoing, holders of any series of Preferred Stock ranking on parity with the Series E Preferred Stock with respect to rights to the payment of dividends and the distribution of assets upon liquidation, dissolution or winding up of the Corporation shall not be entitled to vote together as a class with the holders of Series E Preferred Stock on any amendment, alteration or repeal of any provision of the Charter unless such action affects the holders of Series E Preferred Stock and such other series of Preferred Stock equally.</w:t>
      </w:r>
    </w:p>
    <w:p>
      <w:pPr>
        <w:pStyle w:val="TextBody"/>
        <w:bidi w:val="0"/>
        <w:spacing w:lineRule="auto" w:line="288" w:before="0" w:after="24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During any period in which the Corporation is not subject to Section 13 or 15(d) of the Exchange Act and any shares of Series E Preferred Stock are outstanding, the Corporation will use its best efforts to (i) transmit by mail (or other permissible means under the Exchange Act) to all holders of Series E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pursuant to Section 13 or 15(d) of the Exchange Act if it were subject thereto (other than any exhibits that would have been required); and (ii) promptly, upon request, supply copies of such reports to any holders or prospective holder of Series E Preferred Stock. The Corporation will use its best efforts to mail (or otherwise provide) such reports to the holders of Series E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lineRule="auto" w:line="288" w:before="0" w:after="24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Restrictions on Transfer and Ownership</w:t>
      </w:r>
      <w:r>
        <w:rPr>
          <w:rFonts w:ascii="Times New Roman;serif" w:hAnsi="Times New Roman;serif"/>
          <w:b w:val="false"/>
          <w:color w:val="000000"/>
          <w:sz w:val="24"/>
        </w:rPr>
        <w:t>. The Series E Preferred Stock shall be subject to the restrictions on transfer and ownership set forth in Article VII of the Charter.</w:t>
      </w:r>
    </w:p>
    <w:p>
      <w:pPr>
        <w:pStyle w:val="TextBody"/>
        <w:bidi w:val="0"/>
        <w:spacing w:lineRule="auto" w:line="288" w:before="0" w:after="2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The Corporation and the transfer agent for the Series E Preferred Stock may deem and treat the record holder of any Series E Preferred Stock as the true and lawful owner thereof for all purposes, and neither the Corporation nor the transfer agent shall be affected by any notice to the contrary.</w:t>
      </w:r>
    </w:p>
    <w:p>
      <w:pPr>
        <w:pStyle w:val="TextBody"/>
        <w:bidi w:val="0"/>
        <w:spacing w:lineRule="auto" w:line="288" w:before="0" w:after="2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 Preemptive Rights</w:t>
      </w:r>
      <w:r>
        <w:rPr>
          <w:rFonts w:ascii="Times New Roman;serif" w:hAnsi="Times New Roman;serif"/>
          <w:b w:val="false"/>
          <w:color w:val="000000"/>
          <w:sz w:val="24"/>
        </w:rPr>
        <w:t>. No holders of Series E Preferred Stock will, as holders of Series E Preferred Stock, have any preemptive rights to purchase or subscribe for Common Stock or any other security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The Series E Preferred Stock has been classified and designated by the Board under the authority contained in the Charter. These Articles Supplementary have been approved by the Board in the manner and vote required by law.</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Corporation has caused these Articles Supplementary to be signed in its name and on its behalf by its Chief Financial Officer and attested to by its Secretary on this ________ of _______, 2026.</w:t>
      </w:r>
    </w:p>
    <w:p>
      <w:pPr>
        <w:pStyle w:val="TextBody"/>
        <w:bidi w:val="0"/>
        <w:spacing w:before="0" w:after="0"/>
        <w:ind w:left="0" w:right="0" w:firstLine="720"/>
        <w:jc w:val="left"/>
        <w:rPr/>
      </w:pPr>
      <w:r>
        <w:rPr/>
      </w:r>
    </w:p>
    <w:tbl>
      <w:tblPr>
        <w:tblW w:w="8611" w:type="dxa"/>
        <w:jc w:val="left"/>
        <w:tblInd w:w="0" w:type="dxa"/>
        <w:tblLayout w:type="fixed"/>
        <w:tblCellMar>
          <w:top w:w="28" w:type="dxa"/>
          <w:left w:w="28" w:type="dxa"/>
          <w:bottom w:w="28" w:type="dxa"/>
          <w:right w:w="28" w:type="dxa"/>
        </w:tblCellMar>
      </w:tblPr>
      <w:tblGrid>
        <w:gridCol w:w="1262"/>
        <w:gridCol w:w="1109"/>
        <w:gridCol w:w="1110"/>
        <w:gridCol w:w="1502"/>
        <w:gridCol w:w="1502"/>
        <w:gridCol w:w="2126"/>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ATTEST:</w:t>
              <w:br/>
            </w:r>
            <w:r>
              <w:rPr>
                <w:rFonts w:ascii="Times New Roman;serif" w:hAnsi="Times New Roman;serif"/>
                <w:b w:val="false"/>
                <w:sz w:val="24"/>
              </w:rPr>
              <w:br/>
              <w:br/>
              <w:br/>
            </w:r>
            <w:r>
              <w:rPr>
                <w:rFonts w:ascii="Times New Roman;serif" w:hAnsi="Times New Roman;serif"/>
                <w:b w:val="false"/>
                <w:color w:val="000000"/>
                <w:sz w:val="24"/>
              </w:rPr>
              <w:t>____________________________</w:t>
              <w:br/>
              <w:t>Name: Jenny B. Neslin</w:t>
              <w:br/>
              <w:t>Title: Secretary</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TPG MORTGAGE INVESTMENT TRUST, INC.</w:t>
              <w:br/>
            </w:r>
            <w:r>
              <w:rPr>
                <w:rFonts w:ascii="Times New Roman;serif" w:hAnsi="Times New Roman;serif"/>
                <w:b w:val="false"/>
                <w:sz w:val="24"/>
              </w:rPr>
              <w:br/>
              <w:br/>
            </w:r>
            <w:r>
              <w:rPr>
                <w:rFonts w:ascii="Times New Roman;serif" w:hAnsi="Times New Roman;serif"/>
                <w:b w:val="false"/>
                <w:color w:val="000000"/>
                <w:sz w:val="24"/>
              </w:rPr>
              <w:t>By: __________________________</w:t>
              <w:br/>
              <w:t>Name: Anthony Rossiello</w:t>
              <w:br/>
              <w:t>Title: 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C</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of Mayer Brown LLP Opinion to Parent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D</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Hunton Andrews Kurth LLP Opinion to Parent</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E</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Hunton Andrews Kurth LLP Opinion to the Company</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F</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of Mayer Brown LLP Opinion to the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VOTING AND SUPPORT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VOTING AND SUPPORT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August 9, 2026 by and between Cherry Hill Mortgage Investment Corporation,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AG MIT, LLC, a Delaware limited liability company (the “</w:t>
      </w:r>
      <w:r>
        <w:rPr>
          <w:rFonts w:ascii="Times New Roman;serif" w:hAnsi="Times New Roman;serif"/>
          <w:b w:val="false"/>
          <w:color w:val="000000"/>
          <w:sz w:val="24"/>
          <w:u w:val="single"/>
        </w:rPr>
        <w:t>Voting Party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concurrently with the execution and delivery of this Agreement, the Company, TPG Mortgage Investment Trust, Inc., a Maryland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Company Operating Partnership</w:t>
      </w:r>
      <w:r>
        <w:rPr>
          <w:color w:val="000000"/>
        </w:rPr>
        <w:t>”</w:t>
      </w:r>
      <w:r>
        <w:rPr>
          <w:rFonts w:ascii="Times New Roman;serif" w:hAnsi="Times New Roman;serif"/>
          <w:b w:val="false"/>
          <w:color w:val="000000"/>
          <w:sz w:val="24"/>
        </w:rPr>
        <w:t>), and, solely for purposes described therein, AG REIT Management, LLC, a Delaware limited liability company, have entered into an Agreement and Plan of Merger (as amended, restated, supplemented or otherwise modified from time to time in accordance with its terms,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among other things, the Company, the Company Operating Partnership, Parent and Merger Sub will effect a business combination through (a) a merger of the Company Operating Partnership with and into the Company, with the Company being the surviving entity in such merger (the “</w:t>
      </w:r>
      <w:r>
        <w:rPr>
          <w:rFonts w:ascii="Times New Roman;serif" w:hAnsi="Times New Roman;serif"/>
          <w:b w:val="false"/>
          <w:color w:val="000000"/>
          <w:sz w:val="24"/>
          <w:u w:val="single"/>
        </w:rPr>
        <w:t>Partnership Merger</w:t>
      </w:r>
      <w:r>
        <w:rPr>
          <w:color w:val="000000"/>
        </w:rPr>
        <w:t>”</w:t>
      </w:r>
      <w:r>
        <w:rPr>
          <w:rFonts w:ascii="Times New Roman;serif" w:hAnsi="Times New Roman;serif"/>
          <w:b w:val="false"/>
          <w:color w:val="000000"/>
          <w:sz w:val="24"/>
        </w:rPr>
        <w:t>), and then (b) a merger of the Company with and into Merger Sub, with Merger Sub being the surviving entity in such merger (the “</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val="false"/>
          <w:color w:val="000000"/>
          <w:sz w:val="24"/>
          <w:u w:val="single"/>
        </w:rPr>
        <w:t>Mergers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the date hereof, the Voting Party is the Beneficial Owner of Shares of Company Common Stock;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a condition to the willingness of the Company to enter into the Merger Agreement and as an inducement and in consideration therefor, the Company has required that the Voting Party execute and deliver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for other good and valuable consideration, the receipt, sufficiency and adequacy of which are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defined herein shall have the meanings given to them in the Merger Agreement. As used herein, “</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shares of Company Common Stock. “</w:t>
      </w:r>
      <w:r>
        <w:rPr>
          <w:rFonts w:ascii="Times New Roman;serif" w:hAnsi="Times New Roman;serif"/>
          <w:b w:val="false"/>
          <w:color w:val="000000"/>
          <w:sz w:val="24"/>
          <w:u w:val="single"/>
        </w:rPr>
        <w:t>Voting Shares</w:t>
      </w:r>
      <w:r>
        <w:rPr>
          <w:color w:val="000000"/>
        </w:rPr>
        <w:t xml:space="preserve">” </w:t>
      </w:r>
      <w:r>
        <w:rPr>
          <w:rFonts w:ascii="Times New Roman;serif" w:hAnsi="Times New Roman;serif"/>
          <w:b w:val="false"/>
          <w:color w:val="000000"/>
          <w:sz w:val="24"/>
        </w:rPr>
        <w:t>means all Shares Beneficially Owned by the Voting Party and any and all Shares acquired or Beneficially Owned by the Voting Party after the date hereof. “</w:t>
      </w:r>
      <w:r>
        <w:rPr>
          <w:rFonts w:ascii="Times New Roman;serif" w:hAnsi="Times New Roman;serif"/>
          <w:b w:val="false"/>
          <w:color w:val="000000"/>
          <w:sz w:val="24"/>
          <w:u w:val="single"/>
        </w:rPr>
        <w:t>Beneficially Own</w:t>
      </w:r>
      <w:r>
        <w:rPr>
          <w:rFonts w:ascii="Times New Roman;serif" w:hAnsi="Times New Roman;serif"/>
          <w:b w:val="false"/>
          <w:color w:val="000000"/>
          <w:sz w:val="24"/>
        </w:rPr>
        <w:t>,” “</w:t>
      </w:r>
      <w:r>
        <w:rPr>
          <w:rFonts w:ascii="Times New Roman;serif" w:hAnsi="Times New Roman;serif"/>
          <w:b w:val="false"/>
          <w:color w:val="000000"/>
          <w:sz w:val="24"/>
          <w:u w:val="single"/>
        </w:rPr>
        <w:t>Beneficially Owned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Beneficial Ownership</w:t>
      </w:r>
      <w:r>
        <w:rPr>
          <w:color w:val="000000"/>
        </w:rPr>
        <w:t xml:space="preserve">” </w:t>
      </w:r>
      <w:r>
        <w:rPr>
          <w:rFonts w:ascii="Times New Roman;serif" w:hAnsi="Times New Roman;serif"/>
          <w:b w:val="false"/>
          <w:color w:val="000000"/>
          <w:sz w:val="24"/>
        </w:rPr>
        <w:t>have the meaning set forth in Rule 13d-3 under the Exchange Act. “</w:t>
      </w:r>
      <w:r>
        <w:rPr>
          <w:rFonts w:ascii="Times New Roman;serif" w:hAnsi="Times New Roman;serif"/>
          <w:b w:val="false"/>
          <w:color w:val="000000"/>
          <w:sz w:val="24"/>
          <w:u w:val="single"/>
        </w:rPr>
        <w:t>Controlled Affiliate</w:t>
      </w:r>
      <w:r>
        <w:rPr>
          <w:color w:val="000000"/>
        </w:rPr>
        <w:t xml:space="preserve">” </w:t>
      </w:r>
      <w:r>
        <w:rPr>
          <w:rFonts w:ascii="Times New Roman;serif" w:hAnsi="Times New Roman;serif"/>
          <w:b w:val="false"/>
          <w:color w:val="000000"/>
          <w:sz w:val="24"/>
        </w:rPr>
        <w:t>means any Person controlled by the Voting Party and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 xml:space="preserve">means (a) Liens created by this Agreement, (b) Liens imposed by applicable securities Laws and (c) pledges or other Liens that do not impair or restrict the Voting Party’s ability to vote or cause to be voted any Voting Shares in accordance with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576"/>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directly or indirectly, to sell, offer, exchange, assign, pledge, encumber, hypothecate, dispose of or otherwise transfer, whether by operation of Law or otherwise.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Representations and Warranties of the Voting Party</w:t>
      </w:r>
      <w:r>
        <w:rPr>
          <w:rFonts w:ascii="Times New Roman;serif" w:hAnsi="Times New Roman;serif"/>
          <w:b w:val="false"/>
          <w:color w:val="000000"/>
          <w:sz w:val="24"/>
        </w:rPr>
        <w:t>. The Voting Party hereby represents and warrants to the Company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Authority</w:t>
      </w:r>
      <w:r>
        <w:rPr>
          <w:rFonts w:ascii="Times New Roman;serif" w:hAnsi="Times New Roman;serif"/>
          <w:b w:val="false"/>
          <w:color w:val="000000"/>
          <w:sz w:val="24"/>
        </w:rPr>
        <w:t>. The Voting Party is a limited liability company duly formed, validly existing and in good standing under the Laws of the State of Delaware. The Voting Party has all requisite organizational power and authority to enter into this Agreement, to perform fully the Voting Party’s obligations hereunder and to consummate the transactions contemplated hereby. This Agreement has been duly authorized, executed and delivered by the Voting Party and, assuming due authorization, execution and delivery hereof by the Company, constitutes a legal, valid and binding obligation of the Voting Party enforceable against the Voting Party in accordance with its terms, subject to the Enforceability Exceptions.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Consents</w:t>
      </w:r>
      <w:r>
        <w:rPr>
          <w:rFonts w:ascii="Times New Roman;serif" w:hAnsi="Times New Roman;serif"/>
          <w:b w:val="false"/>
          <w:color w:val="000000"/>
          <w:sz w:val="24"/>
        </w:rPr>
        <w:t>. No consent, approval, order or authorization of, or registration, declaration or filing with, any Governmental Authority or any other Person is required by or with respect to the Voting Party in connection with the execution and delivery of this Agreement or the consummation by the Voting Party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Voting Party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by the Voting Party of this Agreement do not and will not (i) conflict with or result in any violation or breach of any provision of the Organizational Documents of the Voting Party,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Voting Party is entitled, under any Contract binding upon the Voting Party or to which any of its properties, rights or other assets are subject or (iv) result in the creation of a Lien, other than a Permitted Lien, on any properties or assets of the Voting Party,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Voting Party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Ownership of Shares</w:t>
      </w:r>
      <w:r>
        <w:rPr>
          <w:rFonts w:ascii="Times New Roman;serif" w:hAnsi="Times New Roman;serif"/>
          <w:b w:val="false"/>
          <w:color w:val="000000"/>
          <w:sz w:val="24"/>
        </w:rPr>
        <w:t>. The Voting Party (i) Beneficially Owns, as of the date hereof, 734,800 Voting Shares, free and clear of all Liens other than Permitted Liens, (ii) has the sole power to vote or cause to be voted such Voting Shares, (iii) has not entered into any voting trust, voting agreement, proxy or other agreement, arrangement or understanding with respect to the voting of such Voting Shares that is inconsistent with this Agreement and (iv) does not Beneficially Own any Shares other than the Shares described in the foregoing clause (i) or any options, warrants or other rights to acquire Shares.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Litigation</w:t>
      </w:r>
      <w:r>
        <w:rPr>
          <w:rFonts w:ascii="Times New Roman;serif" w:hAnsi="Times New Roman;serif"/>
          <w:b w:val="false"/>
          <w:color w:val="000000"/>
          <w:sz w:val="24"/>
        </w:rPr>
        <w:t xml:space="preserve">. As of the date hereof, there is no Litigation pending against, or, to the knowledge of the Voting Party, threatened against, the Voting Party or any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59"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Affiliates that would reasonably be expected to materially impair or materially adversely affect the Voting Party’s ability to perform its obligations 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The Company hereby represents and warrants to the Voting Party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Authority</w:t>
      </w:r>
      <w:r>
        <w:rPr>
          <w:rFonts w:ascii="Times New Roman;serif" w:hAnsi="Times New Roman;serif"/>
          <w:b w:val="false"/>
          <w:color w:val="000000"/>
          <w:sz w:val="24"/>
        </w:rPr>
        <w:t>. The Company is a corporation duly incorporated, validly existing and in good standing under the Laws of the State of Maryland. The Company has all requisite corporate power and authority and has taken all corporate action necessary, including approval by the Company Board, to execute, deliver and perform its obligations under this Agreement in accordance with the terms hereof. This Agreement has been duly executed and delivered by the Company and, assuming due authorization, execution and delivery hereof by the Voting Party, constitutes a legal, valid and binding agreement of the Company enforceable against the Company in accordance with its terms, subject to the Enforceability Exceptions.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Consents</w:t>
      </w:r>
      <w:r>
        <w:rPr>
          <w:rFonts w:ascii="Times New Roman;serif" w:hAnsi="Times New Roman;serif"/>
          <w:b w:val="false"/>
          <w:color w:val="000000"/>
          <w:sz w:val="24"/>
        </w:rPr>
        <w:t>. No consent, approval, order or authorization of, or registration, declaration or filing with, any Governmental Authority or any other Person is required by or with respect to the Company in connection with the execution and delivery of this Agreement or the consummation by the Company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Company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by the Company of this Agreement do not and will not (i) conflict with or result in any violation or breach of any provision of the Organizational Documents of the Company,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Company is entitled, under any Contract binding upon the Company or to which any of its properties, rights or other assets are subject or (iv) result in the creation of a Lien, other than a Permitted Lien, on any properties or assets of the Company,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Company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Agreement to Vote Shares</w:t>
      </w:r>
      <w:r>
        <w:rPr>
          <w:rFonts w:ascii="Times New Roman;serif" w:hAnsi="Times New Roman;serif"/>
          <w:b w:val="false"/>
          <w:color w:val="000000"/>
          <w:sz w:val="24"/>
        </w:rPr>
        <w:t xml:space="preserve">. The Voting Party agrees during the term of this Agreement to vote all Voting Shares at every meeting of the stockholders of the Company at which the following matters are considered and at every adjournment, recess or postponement thereof, and in connection with any action proposed to be taken by written consent of the Company’s stockholders in favor of (a) (i) the approval of the Merger Agreement and the Company Merger and (ii) any proposal to adjourn, recess or postpone the Company Stockholders Meeting to solicit additional proxies if there are not sufficient votes to approve the matters referred to in clause (i); and (b) against any Company Takeover Proposal. Notwithstanding the foregoing, (A) if the Company Board has made a Company Change of Recommendation in compliance with Section 6.5 of the Merger Agreement, then the Voting Party shall not be required to vote or cause to be voted the Voting Shares in favor of the matters described in clauses (a) or (b) and (B) the Voting Party shall retain at all times the right to vote and the right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60"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cause the vote of any Voting Shares in the Voting Party’s sole discretion, and without any other limitation, on any matters other than those expressly set forth in the immediately preceding sentence that are at any time or from time to time presented for consideration to the holders of Shares. Nothing contained in this Agreement shall be deemed to vest in the Company any direct or indirect ownership or incidence of ownership of or with respect to any Voting Shares. All rights, ownership and economic benefits of and relating to the Voting Shares shall remain vested in and belong to the Voting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No Voting Trust or Other Arrangement</w:t>
      </w:r>
      <w:r>
        <w:rPr>
          <w:rFonts w:ascii="Times New Roman;serif" w:hAnsi="Times New Roman;serif"/>
          <w:b w:val="false"/>
          <w:color w:val="000000"/>
          <w:sz w:val="24"/>
        </w:rPr>
        <w:t>. The Voting Party agrees that during the term of this Agreement the Voting Party will not deposit any Voting Shares in a voting trust, grant any proxy or power of attorney with respect to any Voting Shares or subject any Voting Shares to any agreement, arrangement or understanding with respect to the voting of such Voting Shares, in each case, that is inconsistent with the Voting Party’s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Transfer and Encumbrance</w:t>
      </w:r>
      <w:r>
        <w:rPr>
          <w:rFonts w:ascii="Times New Roman;serif" w:hAnsi="Times New Roman;serif"/>
          <w:b w:val="false"/>
          <w:color w:val="000000"/>
          <w:sz w:val="24"/>
        </w:rPr>
        <w:t xml:space="preserve">. The Voting Party agrees that during the term of this Agreement the Voting Party will not directly or indirectly, Transfer any Voting Shares or enter into any Contract, option or other agreement, arrangement or understanding with respect to a Transfer of any Voting Shares or any voting or economic interest therein, except for a Permitted Transfer. Any attempted Transfer of Voting Shares or any interest therein in violation of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shall be null and void. “</w:t>
      </w:r>
      <w:r>
        <w:rPr>
          <w:rFonts w:ascii="Times New Roman;serif" w:hAnsi="Times New Roman;serif"/>
          <w:b w:val="false"/>
          <w:color w:val="000000"/>
          <w:sz w:val="24"/>
          <w:u w:val="single"/>
        </w:rPr>
        <w:t>Permitted Transfer</w:t>
      </w:r>
      <w:r>
        <w:rPr>
          <w:color w:val="000000"/>
        </w:rPr>
        <w:t xml:space="preserve">” </w:t>
      </w:r>
      <w:r>
        <w:rPr>
          <w:rFonts w:ascii="Times New Roman;serif" w:hAnsi="Times New Roman;serif"/>
          <w:b w:val="false"/>
          <w:color w:val="000000"/>
          <w:sz w:val="24"/>
        </w:rPr>
        <w:t xml:space="preserve">means a Transfer by the Voting Party to a Controlled Affiliate;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Voting Shares subject to a Permitted Transfer shall remain subject to the covenants and restrictions contemplated herein during the term of this Agreement. No Permitted Transfer shall relieve the Voting Party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This Agreement shall automatically terminate without further action upon the earlier to occur of (a) the Company Merger Effective Time and (b) the valid termination of the Merger Agreement in accordance with its terms. Upon termination of this Agreement, no party hereto shall have any further obligations or liabilities under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nothing in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shall relieve any party of liability for any Willful Breach of this Agreement occurring prior to such termination. For purposes hereof, “</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 xml:space="preserve">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Specific Enforcement</w:t>
      </w:r>
      <w:r>
        <w:rPr>
          <w:rFonts w:ascii="Times New Roman;serif" w:hAnsi="Times New Roman;serif"/>
          <w:b w:val="false"/>
          <w:color w:val="000000"/>
          <w:sz w:val="24"/>
        </w:rPr>
        <w:t xml:space="preserve">. It is agreed and understood that monetary damages would not adequately compensate an injured party for the breach of this Agreement by any party hereto and, accordingly, that this Agreement shall be specifically enforceable and that any breach or threatened breach of this Agreement shall be the proper subject of a temporary or permanent injunction, restraining order, specific performance or other equitable relief without proof of actual damages or the posting of any bond or other security. Further, each party hereto waives any claim or defense that there is an adequate remedy at law for such breach or threatened breach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61"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agrees that a party’s rights would be materially and adversely affected if the obligations of the other parties under this Agreement were not carried out in accordance with the terms and conditions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supersedes all prior agreements, written or oral, between the parties hereto with respect to the subject matter hereof and contains the entire agreement between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w:t>
      </w:r>
      <w:r>
        <w:rPr>
          <w:rFonts w:ascii="Times New Roman;serif" w:hAnsi="Times New Roman;serif"/>
          <w:b w:val="false"/>
          <w:color w:val="000000"/>
          <w:sz w:val="24"/>
          <w:shd w:fill="FFFFFF" w:val="clear"/>
        </w:rPr>
        <w:t xml:space="preserve">(c) </w:t>
      </w:r>
      <w:r>
        <w:rPr>
          <w:rFonts w:ascii="Times New Roman;serif" w:hAnsi="Times New Roman;serif"/>
          <w:b w:val="false"/>
          <w:color w:val="000000"/>
          <w:sz w:val="24"/>
        </w:rPr>
        <w:t xml:space="preserve">on the next Business Day if sent by an overnight delivery service marked for overnight delivery (providing proof of delivery), or </w:t>
      </w:r>
      <w:r>
        <w:rPr>
          <w:rFonts w:ascii="Times New Roman;serif" w:hAnsi="Times New Roman;serif"/>
          <w:b w:val="false"/>
          <w:color w:val="000000"/>
          <w:sz w:val="24"/>
          <w:shd w:fill="FFFFFF" w:val="clear"/>
        </w:rPr>
        <w:t xml:space="preserve">(d) </w:t>
      </w:r>
      <w:r>
        <w:rPr>
          <w:rFonts w:ascii="Times New Roman;serif" w:hAnsi="Times New Roman;serif"/>
          <w:b w:val="false"/>
          <w:color w:val="000000"/>
          <w:sz w:val="24"/>
        </w:rPr>
        <w:t>five Business Days after being deposited in the U.S. mail, certified or registered mail, postage prepaid: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to the Voting Party:</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c/o AG REIT Management, LLC</w:t>
        <w:br/>
        <w:t>245 Park Avenue, 26th Floor</w:t>
        <w:br/>
        <w:t>New York, NY 10167</w:t>
        <w:br/>
        <w:t>Attention: Jenny B. Neslin, Legal Department</w:t>
        <w:br/>
        <w:t>E-mail: jneslin@tpg.com;  legal@angelogordon.com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Hunton Andrews Kurth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200 Park Avenue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10166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Steven M. Haas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shaas@hunton.com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Hunton Andrews Kurth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2200 Pennsylvania Avenue, NW</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Washington, DC 20037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Robert K. Smith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rsmith@hunton.com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62"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to the Company: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br/>
        <w:t>4000 Route 66, Suite 310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Tinton Falls, NJ 07753</w:t>
        <w:br/>
        <w:t>Attention: Jeffrey Lown II</w:t>
        <w:br/>
        <w:t>Email:    jay.lown@chmireit.com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copies (which shall not constitute notice) to:</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Mayer Brown LLP </w:t>
        <w:br/>
        <w:t>1221 Avenue of the Americas</w:t>
        <w:br/>
        <w:t>New York, New York 10020</w:t>
        <w:br/>
        <w:t>Attention: David Freed</w:t>
        <w:br/>
        <w:t>E-mail: dfreed@mayerbrown.com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Mayer Brown LLP</w:t>
        <w:br/>
        <w:t>71 South Wacker Drive</w:t>
        <w:br/>
        <w:t>Chicago, IL 60606</w:t>
        <w:br/>
        <w:t>Attention: Andrew Noreuil; Ryan Ferris</w:t>
        <w:br/>
        <w:t>Email:    anoreuil@mayerbrown.com; rferris@mayerbrown.com</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individual or address as a party hereto may designate for itself by notice given as herein provided.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Expenses</w:t>
      </w:r>
      <w:r>
        <w:rPr>
          <w:rFonts w:ascii="Times New Roman;serif" w:hAnsi="Times New Roman;serif"/>
          <w:b w:val="false"/>
          <w:color w:val="000000"/>
          <w:sz w:val="24"/>
        </w:rPr>
        <w:t>. Except as otherwise specifically provided herein, each party hereto shall bear its own expenses in connection with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i/>
          <w:color w:val="000000"/>
          <w:sz w:val="24"/>
        </w:rPr>
        <w:t>Governing Law</w:t>
      </w:r>
      <w:r>
        <w:rPr>
          <w:rFonts w:ascii="Times New Roman;serif" w:hAnsi="Times New Roman;serif"/>
          <w:b w:val="false"/>
          <w:color w:val="000000"/>
          <w:sz w:val="24"/>
        </w:rPr>
        <w:t xml:space="preserve">. This Agreement shall be deemed to be made in and in all respects shall be interpreted, construed and governed by and in accordance with the Laws of the State of Maryland without regard to the conflicts of laws provisions, rules or principles thereof (or any other jurisdiction). Each of the parties hereto agrees that: (i) all Litigation in connection with, arising out of or otherwise relating to this Agreement and any agreements delivered in connection herewith or the transactions contemplated hereby or thereby shall be heard and determined exclusively in the Circuit Courts for Baltimore City, Maryland, or if that court does not have jurisdiction, in the United States District Court for the District of Maryland, Northern Division; and (ii) solely in connection with such Litigation, (A)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or in such other manner as may be permitted by applicable Law shall be valid and sufficient service thereof; and (F) it shall not assert as a defense any matter or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63"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claim waived by the foregoing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that any Order issued by such courts may not be enforced in or by such courts.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i/>
          <w:color w:val="000000"/>
          <w:sz w:val="24"/>
        </w:rPr>
        <w:t>Waiver of Jury Trial</w:t>
      </w:r>
      <w:r>
        <w:rPr>
          <w:rFonts w:ascii="Times New Roman;serif" w:hAnsi="Times New Roman;serif"/>
          <w:b w:val="false"/>
          <w:color w:val="000000"/>
          <w:sz w:val="24"/>
        </w:rPr>
        <w:t xml:space="preserve">. EACH PARTY HERETO ACKNOWLEDGES AND AGREES THAT ANY CONTROVERSY WHICH MAY ARISE OUT OF OR OTHERWISE RELATE TO THIS AGREEMENT AND ANY OF THE AGREEMENTS DELIVERED IN CONNECTION HEREWITH OR THE TRANSACTIONS CONTEMPLATED HEREBY OR THEREBY IS EXPECTED TO INVOLVE COMPLICATED AND DIFFICULT ISSUES, AND THEREFORE EACH PARTY HERETO IRREVOCABLY AND UNCONDITIONALLY WAIVES TO THE FULLEST EXTENT PERMITTED BY APPLICABLE LAW ANY RIGHT IT MAY HAVE TO A TRIAL BY JURY IN RESPECT OF ANY LITIGATION, DIRECTLY OR INDIRECTLY, CONNECTED WITH, ARISING OUT OF OR RELATING TO THIS AGREEMENT AND ANY OF THE AGREEMENTS DELIVERED IN CONNECTION HEREWITH OR THE TRANSACTIONS CONTEMPLATED HEREBY OR THEREBY. EACH PARTY HERETO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BY, AMONG OTHER THINGS, THE MUTUAL WAIVERS, ACKNOWLEDGEMENTS AND CERTIFICATIONS SET FORTH IN THIS </w:t>
      </w:r>
      <w:r>
        <w:rPr>
          <w:rFonts w:ascii="Times New Roman;serif" w:hAnsi="Times New Roman;serif"/>
          <w:b w:val="false"/>
          <w:color w:val="000000"/>
          <w:sz w:val="24"/>
          <w:u w:val="single"/>
        </w:rPr>
        <w:t>SECTION 11(c)</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i/>
          <w:color w:val="000000"/>
          <w:sz w:val="24"/>
        </w:rPr>
        <w:t>Severability</w:t>
      </w:r>
      <w:r>
        <w:rPr>
          <w:rFonts w:ascii="Times New Roman;serif" w:hAnsi="Times New Roman;serif"/>
          <w:b w:val="false"/>
          <w:color w:val="000000"/>
          <w:sz w:val="24"/>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i/>
          <w:color w:val="000000"/>
          <w:sz w:val="24"/>
        </w:rPr>
        <w:t>Counterparts</w:t>
      </w:r>
      <w:r>
        <w:rPr>
          <w:rFonts w:ascii="Times New Roman;serif" w:hAnsi="Times New Roman;serif"/>
          <w:b w:val="false"/>
          <w:color w:val="000000"/>
          <w:sz w:val="24"/>
        </w:rPr>
        <w:t>.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extent applicable, the foregoing constitutes the election of the parties hereto to invoke any Law authorizing electronic signatures.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i/>
          <w:color w:val="000000"/>
          <w:sz w:val="24"/>
        </w:rPr>
        <w:t>Interpretation</w:t>
      </w:r>
      <w:r>
        <w:rPr>
          <w:rFonts w:ascii="Times New Roman;serif" w:hAnsi="Times New Roman;serif"/>
          <w:b w:val="false"/>
          <w:color w:val="000000"/>
          <w:sz w:val="24"/>
        </w:rPr>
        <w:t xml:space="preserve">. The headings preceding the text of Sections included in this Agreement are for convenience only and shall not be deemed part of this Agreement or be given any effect in interpreting this Agreement.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Sections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64"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otherwise specified. The words “hereof”, “herein” and “hereunder” and words of like import used in this Agreement shall refer to this Agreement as a whole and not to any particular provision of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i/>
          <w:color w:val="000000"/>
          <w:sz w:val="24"/>
        </w:rPr>
        <w:t>Assignment; Successors and Assigns; Third Party Beneficiaries</w:t>
      </w:r>
      <w:r>
        <w:rPr>
          <w:rFonts w:ascii="Times New Roman;serif" w:hAnsi="Times New Roman;serif"/>
          <w:b w:val="false"/>
          <w:color w:val="000000"/>
          <w:sz w:val="24"/>
        </w:rPr>
        <w:t xml:space="preserve">. This Agreement and all of the provisions hereof shall be binding upon and shall inure to the benefit of and be enforceable by the parties hereto and their respective heirs, successors and permitted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serif" w:hAnsi="Times New Roman;serif"/>
          <w:b w:val="false"/>
          <w:color w:val="000000"/>
          <w:sz w:val="24"/>
          <w:u w:val="single"/>
        </w:rPr>
        <w:t>Section 11(g)</w:t>
      </w:r>
      <w:r>
        <w:rPr>
          <w:color w:val="000000"/>
        </w:rPr>
        <w:t xml:space="preserve"> </w:t>
      </w:r>
      <w:r>
        <w:rPr>
          <w:rFonts w:ascii="Times New Roman;serif" w:hAnsi="Times New Roman;serif"/>
          <w:b w:val="false"/>
          <w:color w:val="000000"/>
          <w:sz w:val="24"/>
        </w:rPr>
        <w:t>shall be null and void. This Agreement is not intended to and does not confer upon any Person other than the parties hereto any rights or remedies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i/>
          <w:color w:val="000000"/>
          <w:sz w:val="24"/>
        </w:rPr>
        <w:t>Further Assurances</w:t>
      </w:r>
      <w:r>
        <w:rPr>
          <w:rFonts w:ascii="Times New Roman;serif" w:hAnsi="Times New Roman;serif"/>
          <w:b w:val="false"/>
          <w:color w:val="000000"/>
          <w:sz w:val="24"/>
        </w:rPr>
        <w:t>. Each party hereto shall execute and deliver such additional documents as may be necessary to effect the transactions contemplated by this 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is intentionally left blank</w:t>
      </w:r>
      <w:r>
        <w:rPr>
          <w:rFonts w:ascii="Times New Roman;serif" w:hAnsi="Times New Roman;serif"/>
          <w:b w:val="false"/>
          <w:color w:val="000000"/>
          <w:sz w:val="24"/>
        </w:rPr>
        <w:t xml:space="preserve">. </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65"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as of the date first written above by their respective officers thereunto duly authorized.</w:t>
      </w:r>
    </w:p>
    <w:p>
      <w:pPr>
        <w:pStyle w:val="TextBody"/>
        <w:bidi w:val="0"/>
        <w:spacing w:before="0" w:after="240"/>
        <w:ind w:left="0" w:right="0" w:firstLine="720"/>
        <w:jc w:val="both"/>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AG MIT, LLC</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Thomas J. Durkin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Thomas J. Durkin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1155"/>
                <wp:effectExtent l="0" t="0" r="0" b="0"/>
                <wp:wrapNone/>
                <wp:docPr id="166" name="Frame1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Voting and Support Agreement</w:t>
                            </w:r>
                            <w:r>
                              <w:rPr>
                                <w:rFonts w:ascii="Times New Roman;serif" w:hAnsi="Times New Roman;serif"/>
                                <w:b w:val="false"/>
                                <w:color w:val="000000"/>
                                <w:sz w:val="20"/>
                              </w:rPr>
                              <w:t>]</w:t>
                            </w:r>
                            <w:r>
                              <w:br w:type="page"/>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Voting and Support Agreement</w:t>
                      </w:r>
                      <w:r>
                        <w:rPr>
                          <w:rFonts w:ascii="Times New Roman;serif" w:hAnsi="Times New Roman;serif"/>
                          <w:b w:val="false"/>
                          <w:color w:val="000000"/>
                          <w:sz w:val="20"/>
                        </w:rPr>
                        <w:t>]</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CHERRY HILL MORTGAGE INVESTMENT CORPORATION</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Jeffrey Lown II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Jeffrey Lown II</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61340"/>
                <wp:effectExtent l="0" t="0" r="0" b="0"/>
                <wp:wrapNone/>
                <wp:docPr id="167" name="Frame167"/>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Voting and Support Agreement</w:t>
                            </w:r>
                            <w:r>
                              <w:rPr>
                                <w:rFonts w:ascii="Times New Roman;serif" w:hAnsi="Times New Roman;serif"/>
                                <w:b w:val="false"/>
                                <w:color w:val="000000"/>
                                <w:sz w:val="20"/>
                              </w:rPr>
                              <w:t>]</w:t>
                            </w:r>
                          </w:p>
                          <w:p>
                            <w:pPr>
                              <w:pStyle w:val="TextBody"/>
                              <w:bidi w:val="0"/>
                              <w:spacing w:before="0" w:after="240"/>
                              <w:ind w:left="0" w:right="0" w:firstLine="576"/>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Voting and Support Agreement</w:t>
                      </w:r>
                      <w:r>
                        <w:rPr>
                          <w:rFonts w:ascii="Times New Roman;serif" w:hAnsi="Times New Roman;serif"/>
                          <w:b w:val="false"/>
                          <w:color w:val="000000"/>
                          <w:sz w:val="20"/>
                        </w:rPr>
                        <w:t>]</w:t>
                      </w:r>
                    </w:p>
                    <w:p>
                      <w:pPr>
                        <w:pStyle w:val="TextBody"/>
                        <w:bidi w:val="0"/>
                        <w:spacing w:before="0" w:after="240"/>
                        <w:ind w:left="0" w:right="0" w:firstLine="576"/>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FIFTH AMENDMENT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MANAGEMENT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THIS FIFTH AMENDMENT TO MANAGEMENT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made as of August 9, 2026, by and between TPG Mortgage Investment Trust, Inc. (fka, AG Mortgage Investment Trust, Inc.),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AG REIT Management, LLC, a Delaware limited liability company (the “</w:t>
      </w:r>
      <w:r>
        <w:rPr>
          <w:rFonts w:ascii="Times New Roman;serif" w:hAnsi="Times New Roman;serif"/>
          <w:b w:val="false"/>
          <w:color w:val="000000"/>
          <w:sz w:val="24"/>
          <w:u w:val="single"/>
        </w:rPr>
        <w:t>Manager</w:t>
      </w:r>
      <w:r>
        <w:rPr>
          <w:color w:val="000000"/>
        </w:rPr>
        <w:t xml:space="preserve">” </w:t>
      </w:r>
      <w:r>
        <w:rPr>
          <w:rFonts w:ascii="Times New Roman;serif" w:hAnsi="Times New Roman;serif"/>
          <w:b w:val="false"/>
          <w:color w:val="000000"/>
          <w:sz w:val="24"/>
        </w:rPr>
        <w:t>and together with the Company,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the Parties entered into that certain Management Agreement, dated as of June 29, 2011, as amended by that certain First Amendment to Management Agreement, dated as of April 6, 2020, that certain Second Amendment to Management Agreement, dated as of September 24, 2020, that certain Third Amendment to Management Agreement, dated as of November 22, 2021, and that certain Fourth Amendment to Management Agreement, dated as of August 8, 2023 (as amended, the “</w:t>
      </w:r>
      <w:r>
        <w:rPr>
          <w:rFonts w:ascii="Times New Roman;serif" w:hAnsi="Times New Roman;serif"/>
          <w:b w:val="false"/>
          <w:color w:val="000000"/>
          <w:sz w:val="24"/>
          <w:u w:val="single"/>
        </w:rPr>
        <w:t>Management Agreement</w:t>
      </w:r>
      <w:r>
        <w:rPr>
          <w:color w:val="000000"/>
        </w:rPr>
        <w:t>”</w:t>
      </w:r>
      <w:r>
        <w:rPr>
          <w:rFonts w:ascii="Times New Roman;serif" w:hAnsi="Times New Roman;serif"/>
          <w:b w:val="false"/>
          <w:color w:val="000000"/>
          <w:sz w:val="24"/>
        </w:rPr>
        <w:t>), pursuant to which, among other things, the Company is obligated to pay the Manager a Base Management Fee and Incentive Fee and to reimburse the Manager for certain 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contemporaneously with the entry into this Amendment, the Company has entered into that certain Agreement and Plan of Merger, dated as of the date hereof, by and among the Company, MIT Merger Sub II, LLC, a Delaware limited liability company and a wholly owned subsidiary of the Company, Cherry Hill Mortgage Investment Corporation, a Maryland corporation (the “</w:t>
      </w:r>
      <w:r>
        <w:rPr>
          <w:rFonts w:ascii="Times New Roman;serif" w:hAnsi="Times New Roman;serif"/>
          <w:b w:val="false"/>
          <w:color w:val="000000"/>
          <w:sz w:val="24"/>
          <w:u w:val="single"/>
        </w:rPr>
        <w:t>Target</w:t>
      </w:r>
      <w:r>
        <w:rPr>
          <w:color w:val="000000"/>
        </w:rPr>
        <w:t>”</w:t>
      </w:r>
      <w:r>
        <w:rPr>
          <w:rFonts w:ascii="Times New Roman;serif" w:hAnsi="Times New Roman;serif"/>
          <w:b w:val="false"/>
          <w:color w:val="000000"/>
          <w:sz w:val="24"/>
        </w:rPr>
        <w:t>), Cherry Hill Operating Partnership, LP, a Delaware limited partnership, and, solely for the limited purposes set forth therein, the Manager (as it may be amended from time to time,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the Company will acquire the Target (the “</w:t>
      </w:r>
      <w:r>
        <w:rPr>
          <w:rFonts w:ascii="Times New Roman;serif" w:hAnsi="Times New Roman;serif"/>
          <w:b w:val="false"/>
          <w:color w:val="000000"/>
          <w:sz w:val="24"/>
          <w:u w:val="single"/>
        </w:rPr>
        <w:t>Transaction</w:t>
      </w:r>
      <w:r>
        <w:rPr>
          <w:color w:val="000000"/>
        </w:rPr>
        <w:t>”</w:t>
      </w:r>
      <w:r>
        <w:rPr>
          <w:rFonts w:ascii="Times New Roman;serif" w:hAnsi="Times New Roman;serif"/>
          <w:b w:val="false"/>
          <w:color w:val="000000"/>
          <w:sz w:val="24"/>
        </w:rPr>
        <w:t>) and the Manager will fund approximately $20 million in cash payable to the stockholders of the Target in the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in connection with the Merger Agreement and the Transaction, the Parties wish to amend the Management Agreement through this Amendment in order modify certain terms related to the Incentive Fee.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WHEREAS, capitalized terms used in this Amendment and not otherwise defined shall have the meanings ascribed to such terms in the Management Agreement or the Merger Agreement, as the case may be.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NOW, THEREFORE, in consideration of the recitals and mutual covenants and agreements contained herein and for other good and valuable consideration, the sufficiency of which is hereby acknowledged, the Parties hereto hereby covenant and agree as follows: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Amendments to Management Agreement</w:t>
      </w:r>
      <w:r>
        <w:rPr>
          <w:rFonts w:ascii="Times New Roman;serif" w:hAnsi="Times New Roman;serif"/>
          <w:b w:val="false"/>
          <w:color w:val="000000"/>
          <w:sz w:val="24"/>
        </w:rPr>
        <w:t>. Contingent upon the closing of the Transaction as contemplated by the Merger Agreement, the Parties agree, from and after the Company Merger Effective Time, that:</w:t>
      </w:r>
    </w:p>
    <w:p>
      <w:pPr>
        <w:pStyle w:val="TextBody"/>
        <w:bidi w:val="0"/>
        <w:spacing w:before="0" w:after="0"/>
        <w:jc w:val="left"/>
        <w:rPr/>
      </w:pPr>
      <w:r>
        <w:rPr/>
      </w:r>
    </w:p>
    <w:p>
      <w:pPr>
        <w:pStyle w:val="TextBody"/>
        <w:bidi w:val="0"/>
        <w:spacing w:lineRule="auto" w:line="288"/>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(a)Section 1. Definitions.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Aptos;sans-serif" w:hAnsi="Aptos;sans-serif"/>
          <w:b w:val="false"/>
          <w:color w:val="000000"/>
          <w:sz w:val="24"/>
        </w:rPr>
        <w:t>i.</w:t>
      </w:r>
      <w:r>
        <w:rPr>
          <w:rFonts w:ascii="Times New Roman;serif" w:hAnsi="Times New Roman;serif"/>
          <w:b w:val="false"/>
          <w:color w:val="000000"/>
          <w:sz w:val="24"/>
        </w:rPr>
        <w:t>The definition for “</w:t>
      </w:r>
      <w:r>
        <w:rPr>
          <w:rFonts w:ascii="Times New Roman;serif" w:hAnsi="Times New Roman;serif"/>
          <w:b w:val="false"/>
          <w:i/>
          <w:color w:val="000000"/>
          <w:sz w:val="24"/>
        </w:rPr>
        <w:t>Adjusted Net Income</w:t>
      </w:r>
      <w:r>
        <w:rPr>
          <w:color w:val="000000"/>
        </w:rPr>
        <w:t xml:space="preserve">” </w:t>
      </w:r>
      <w:r>
        <w:rPr>
          <w:rFonts w:ascii="Times New Roman;serif" w:hAnsi="Times New Roman;serif"/>
          <w:b w:val="false"/>
          <w:color w:val="000000"/>
          <w:sz w:val="24"/>
        </w:rPr>
        <w:t>is hereby deleted.</w:t>
      </w:r>
    </w:p>
    <w:p>
      <w:pPr>
        <w:pStyle w:val="TextBody"/>
        <w:bidi w:val="0"/>
        <w:spacing w:before="0" w:after="0"/>
        <w:ind w:left="0" w:right="0" w:firstLine="180"/>
        <w:jc w:val="left"/>
        <w:rPr/>
      </w:pPr>
      <w:r>
        <w:rPr/>
      </w:r>
    </w:p>
    <w:p>
      <w:pPr>
        <w:pStyle w:val="TextBody"/>
        <w:bidi w:val="0"/>
        <w:spacing w:lineRule="auto" w:line="288" w:before="0" w:after="240"/>
        <w:jc w:val="left"/>
        <w:rPr/>
      </w:pPr>
      <w:r>
        <w:rPr>
          <w:rFonts w:ascii="Aptos;sans-serif" w:hAnsi="Aptos;sans-serif"/>
          <w:b w:val="false"/>
          <w:color w:val="000000"/>
          <w:sz w:val="24"/>
        </w:rPr>
        <w:t>ii.</w:t>
      </w:r>
      <w:r>
        <w:rPr>
          <w:rFonts w:ascii="Times New Roman;serif" w:hAnsi="Times New Roman;serif"/>
          <w:b w:val="false"/>
          <w:color w:val="000000"/>
          <w:sz w:val="24"/>
        </w:rPr>
        <w:t>The definition for “</w:t>
      </w:r>
      <w:r>
        <w:rPr>
          <w:rFonts w:ascii="Times New Roman;serif" w:hAnsi="Times New Roman;serif"/>
          <w:b w:val="false"/>
          <w:i/>
          <w:color w:val="000000"/>
          <w:sz w:val="24"/>
        </w:rPr>
        <w:t>Core Earnings</w:t>
      </w:r>
      <w:r>
        <w:rPr>
          <w:color w:val="000000"/>
        </w:rPr>
        <w:t xml:space="preserve">” </w:t>
      </w:r>
      <w:r>
        <w:rPr>
          <w:rFonts w:ascii="Times New Roman;serif" w:hAnsi="Times New Roman;serif"/>
          <w:b w:val="false"/>
          <w:color w:val="000000"/>
          <w:sz w:val="24"/>
        </w:rPr>
        <w:t xml:space="preserve">is hereby deleted. </w:t>
      </w:r>
    </w:p>
    <w:p>
      <w:pPr>
        <w:pStyle w:val="TextBody"/>
        <w:bidi w:val="0"/>
        <w:spacing w:lineRule="auto" w:line="268" w:before="0" w:after="0"/>
        <w:jc w:val="left"/>
        <w:rPr/>
      </w:pPr>
      <w:r>
        <w:rPr>
          <w:rFonts w:ascii="Times New Roman;serif" w:hAnsi="Times New Roman;serif"/>
          <w:b w:val="false"/>
          <w:color w:val="000000"/>
          <w:sz w:val="24"/>
        </w:rPr>
        <w:t>iii.Above the definition for “</w:t>
      </w:r>
      <w:r>
        <w:rPr>
          <w:rFonts w:ascii="Times New Roman;serif" w:hAnsi="Times New Roman;serif"/>
          <w:b w:val="false"/>
          <w:i/>
          <w:color w:val="000000"/>
          <w:sz w:val="24"/>
        </w:rPr>
        <w:t>Effective Termination Date</w:t>
      </w:r>
      <w:r>
        <w:rPr>
          <w:rFonts w:ascii="Times New Roman;serif" w:hAnsi="Times New Roman;serif"/>
          <w:b w:val="false"/>
          <w:color w:val="000000"/>
          <w:sz w:val="24"/>
        </w:rPr>
        <w:t>,” the following definition is hereby added:</w:t>
      </w:r>
    </w:p>
    <w:p>
      <w:pPr>
        <w:pStyle w:val="TextBody"/>
        <w:bidi w:val="0"/>
        <w:spacing w:before="0" w:after="0"/>
        <w:ind w:left="0" w:right="0" w:firstLine="180"/>
        <w:jc w:val="left"/>
        <w:rPr/>
      </w:pPr>
      <w:r>
        <w:rPr/>
      </w:r>
    </w:p>
    <w:p>
      <w:pPr>
        <w:pStyle w:val="TextBody"/>
        <w:bidi w:val="0"/>
        <w:spacing w:lineRule="auto" w:line="268" w:before="0" w:after="0"/>
        <w:jc w:val="left"/>
        <w:rPr/>
      </w:pPr>
      <w:r>
        <w:rPr>
          <w:color w:val="000000"/>
        </w:rPr>
        <w:t>“</w:t>
      </w:r>
      <w:r>
        <w:rPr>
          <w:rFonts w:ascii="Times New Roman;serif" w:hAnsi="Times New Roman;serif"/>
          <w:b w:val="false"/>
          <w:i/>
          <w:color w:val="000000"/>
          <w:sz w:val="24"/>
        </w:rPr>
        <w:t>Earnings Available for Distribution</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EAD</w:t>
      </w:r>
      <w:r>
        <w:rPr>
          <w:color w:val="000000"/>
        </w:rPr>
        <w:t xml:space="preserve">” </w:t>
      </w:r>
      <w:r>
        <w:rPr>
          <w:rFonts w:ascii="Times New Roman;serif" w:hAnsi="Times New Roman;serif"/>
          <w:b w:val="false"/>
          <w:color w:val="000000"/>
          <w:sz w:val="24"/>
        </w:rPr>
        <w:t xml:space="preserve">means net income or loss available to holders of Common Shares excluding (i) (a) unrealized gains or losses on loans, real estate securities, derivatives and other investments of the Company and its Subsidiaries, inclusive of its investment in AG Arc LLC and Arc Home LLC’s net mortgage servicing rights, and (b) net realized gains or losses on the sale or termination of such instruments, (ii) any transaction related expenses incurred in connection with the acquisition, disposition, or securitization of investments of the Company and its Subsidiaries, (iii) the income tax expense or benefit on income or loss items excluded from EAD in accordance with the foregoing, and (iv) certain other nonrecurring or other gains or losses after discussions between the Manager and the Independent Directors and approved by a majority of the Independent Directors. Items (i) through (iv) above include any amount related to those items held in affiliated entities. </w:t>
      </w:r>
    </w:p>
    <w:p>
      <w:pPr>
        <w:pStyle w:val="TextBody"/>
        <w:bidi w:val="0"/>
        <w:spacing w:before="0" w:after="0"/>
        <w:ind w:left="0" w:right="0" w:firstLine="180"/>
        <w:jc w:val="left"/>
        <w:rPr/>
      </w:pPr>
      <w:r>
        <w:rPr/>
      </w:r>
    </w:p>
    <w:p>
      <w:pPr>
        <w:pStyle w:val="TextBody"/>
        <w:bidi w:val="0"/>
        <w:spacing w:lineRule="auto" w:line="268" w:before="0" w:after="0"/>
        <w:jc w:val="left"/>
        <w:rPr/>
      </w:pPr>
      <w:r>
        <w:rPr>
          <w:rFonts w:ascii="Aptos;sans-serif" w:hAnsi="Aptos;sans-serif"/>
          <w:b w:val="false"/>
          <w:color w:val="000000"/>
          <w:sz w:val="24"/>
        </w:rPr>
        <w:t>iv.</w:t>
      </w:r>
      <w:r>
        <w:rPr>
          <w:rFonts w:ascii="Times New Roman;serif" w:hAnsi="Times New Roman;serif"/>
          <w:b w:val="false"/>
          <w:color w:val="000000"/>
          <w:sz w:val="24"/>
        </w:rPr>
        <w:t>The definition for “</w:t>
      </w:r>
      <w:r>
        <w:rPr>
          <w:rFonts w:ascii="Times New Roman;serif" w:hAnsi="Times New Roman;serif"/>
          <w:b w:val="false"/>
          <w:i/>
          <w:color w:val="000000"/>
          <w:sz w:val="24"/>
        </w:rPr>
        <w:t>Cumulative Hurdle Amount</w:t>
      </w:r>
      <w:r>
        <w:rPr>
          <w:color w:val="000000"/>
        </w:rPr>
        <w:t xml:space="preserve">” </w:t>
      </w:r>
      <w:r>
        <w:rPr>
          <w:rFonts w:ascii="Times New Roman;serif" w:hAnsi="Times New Roman;serif"/>
          <w:b w:val="false"/>
          <w:color w:val="000000"/>
          <w:sz w:val="24"/>
        </w:rPr>
        <w:t>is hereby deleted.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v.The definition for “</w:t>
      </w:r>
      <w:r>
        <w:rPr>
          <w:rFonts w:ascii="Times New Roman;serif" w:hAnsi="Times New Roman;serif"/>
          <w:b w:val="false"/>
          <w:i/>
          <w:color w:val="000000"/>
          <w:sz w:val="24"/>
        </w:rPr>
        <w:t>Equity Hurdle Base</w:t>
      </w:r>
      <w:r>
        <w:rPr>
          <w:color w:val="000000"/>
        </w:rPr>
        <w:t xml:space="preserve">” </w:t>
      </w:r>
      <w:r>
        <w:rPr>
          <w:rFonts w:ascii="Times New Roman;serif" w:hAnsi="Times New Roman;serif"/>
          <w:b w:val="false"/>
          <w:color w:val="000000"/>
          <w:sz w:val="24"/>
        </w:rPr>
        <w:t>is hereby replaced with the following:</w:t>
      </w:r>
    </w:p>
    <w:p>
      <w:pPr>
        <w:pStyle w:val="TextBody"/>
        <w:bidi w:val="0"/>
        <w:spacing w:before="0" w:after="0"/>
        <w:jc w:val="left"/>
        <w:rPr/>
      </w:pPr>
      <w:r>
        <w:rPr/>
      </w:r>
    </w:p>
    <w:p>
      <w:pPr>
        <w:pStyle w:val="TextBody"/>
        <w:bidi w:val="0"/>
        <w:spacing w:lineRule="auto" w:line="288"/>
        <w:jc w:val="left"/>
        <w:rPr/>
      </w:pPr>
      <w:r>
        <w:rPr>
          <w:color w:val="000000"/>
        </w:rPr>
        <w:t>“</w:t>
      </w:r>
      <w:r>
        <w:rPr>
          <w:rFonts w:ascii="Times New Roman;serif" w:hAnsi="Times New Roman;serif"/>
          <w:b w:val="false"/>
          <w:i/>
          <w:color w:val="000000"/>
          <w:sz w:val="24"/>
        </w:rPr>
        <w:t>Equity Hurdle Base</w:t>
      </w:r>
      <w:r>
        <w:rPr>
          <w:color w:val="000000"/>
        </w:rPr>
        <w:t xml:space="preserve">” </w:t>
      </w:r>
      <w:r>
        <w:rPr>
          <w:rFonts w:ascii="Times New Roman;serif" w:hAnsi="Times New Roman;serif"/>
          <w:b w:val="false"/>
          <w:color w:val="000000"/>
          <w:sz w:val="24"/>
        </w:rPr>
        <w:t xml:space="preserve">means (a) the sum of (1) the Company’s book value (calculated in the manner described in the Company’s public filings) immediately after the Company Merger Effective Time, plus (2) the net proceeds received by the Company from all issuances of Common Shares following the Company Merger Effective Time, plus (3) the Company’s cumulative EAD for the period commencing on the Company Merger Effective Time to the end of the most recently completed calendar quarter, (b) less (1) any distributions to the holders of Common Shares following the Company Merger Effective Time, less (2) any amount that the Company has paid to repurchase Common Shares following the Company Merger Effective Time and less (3) any Incentive Fee earned by the Manager following the Company Merger Effective Time, excluding (c) one-time events pursuant to changes in GAAP and certain other nonrecurring or other gains or losses after discussions between the Manager and the Independent Directors and after approval by a majority of the Independent Directors. With respect to that portion of the period from and after the Company Merger Effective Time that is used in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calculation of Incentive Fee, all items in the foregoing sentence (other than clauses (a)(1) and (a)(3)) shall be calculated on a daily weighted average basis.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vi.</w:t>
      </w:r>
      <w:r>
        <w:rPr>
          <w:color w:val="000000"/>
        </w:rPr>
        <w:t xml:space="preserve"> </w:t>
      </w:r>
      <w:r>
        <w:rPr>
          <w:rFonts w:ascii="Times New Roman;serif" w:hAnsi="Times New Roman;serif"/>
          <w:b w:val="false"/>
          <w:color w:val="000000"/>
          <w:sz w:val="24"/>
        </w:rPr>
        <w:t>The definition for “Incentive Fee” is hereby replaced with the following:</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i/>
          <w:color w:val="000000"/>
          <w:sz w:val="24"/>
        </w:rPr>
        <w:t>Incentive Fee</w:t>
      </w:r>
      <w:r>
        <w:rPr>
          <w:color w:val="000000"/>
        </w:rPr>
        <w:t xml:space="preserve">” </w:t>
      </w:r>
      <w:r>
        <w:rPr>
          <w:rFonts w:ascii="Times New Roman;serif" w:hAnsi="Times New Roman;serif"/>
          <w:b w:val="false"/>
          <w:color w:val="000000"/>
          <w:sz w:val="24"/>
        </w:rPr>
        <w:t>means the incentive fee calculated and payable with respect to each calendar quarter (or part thereof that this Management Agreement is in effect) in arrears in an amount, not less than zero, equal to the excess of (1) the product of (a) 15% and (b) the excess of (i) Earnings Available for Distribution of the Company for the previous 12-month period, over (ii) the product of (A) the Equity Hurdle Base in the previous 12-month period, and (B) 8% per annum, over (2) the sum of any Incentive Fee earned by the Manager with respect to the first three quarters of such previous 12-month period;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Incentive Fee shall be payable to the Manager with respect to any calendar quarter unless Earnings Available for Distribution for the 12 most recently completed calendar quarters (or such lesser number of completed calendar quarters following the Company Merger Effective Time) is greater than zero. </w:t>
      </w:r>
    </w:p>
    <w:p>
      <w:pPr>
        <w:pStyle w:val="TextBody"/>
        <w:bidi w:val="0"/>
        <w:spacing w:lineRule="auto" w:line="288" w:before="0" w:after="0"/>
        <w:jc w:val="left"/>
        <w:rPr/>
      </w:pPr>
      <w:r>
        <w:rPr>
          <w:rFonts w:ascii="Times New Roman;serif" w:hAnsi="Times New Roman;serif"/>
          <w:b w:val="false"/>
          <w:color w:val="000000"/>
          <w:sz w:val="24"/>
        </w:rPr>
        <w:t xml:space="preserve">The Incentive Fee shall be </w:t>
      </w:r>
      <w:r>
        <w:rPr>
          <w:rFonts w:ascii="Times New Roman;serif" w:hAnsi="Times New Roman;serif"/>
          <w:b w:val="false"/>
          <w:i/>
          <w:color w:val="000000"/>
          <w:sz w:val="24"/>
        </w:rPr>
        <w:t>pro rated</w:t>
      </w:r>
      <w:r>
        <w:rPr>
          <w:color w:val="000000"/>
        </w:rPr>
        <w:t xml:space="preserve"> </w:t>
      </w:r>
      <w:r>
        <w:rPr>
          <w:rFonts w:ascii="Times New Roman;serif" w:hAnsi="Times New Roman;serif"/>
          <w:b w:val="false"/>
          <w:color w:val="000000"/>
          <w:sz w:val="24"/>
        </w:rPr>
        <w:t xml:space="preserve">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vii.The definition for “Termination Fee” is hereby replaced with the following: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"Termination Fee" </w:t>
      </w:r>
      <w:r>
        <w:rPr>
          <w:rFonts w:ascii="Times New Roman;serif" w:hAnsi="Times New Roman;serif"/>
          <w:b w:val="false"/>
          <w:color w:val="000000"/>
          <w:sz w:val="24"/>
        </w:rPr>
        <w:t>means a termination fee equal to three (3) times the sum of (i) the average annual Base Management Fee and (ii) the average annual Incentive Fee earned by the Manager, during the 24-month period immediately preceding the date of termination, calculated as of the end of the most recently completed fiscal quarter before the date of termination.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(b)Section 7. Compensation.</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i.Section 7(e) is hereby deleted and replaced with the following:</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(e) The Incentive Fee shall be payable in arrears, in quarterly installments commencing with the fiscal quarter in which the Company Merger Effective Time occurs. The Manager shall compute each installment of the Incentive Fee within 60 days after the end of the fiscal quarter with respect to which such installment is payable. A copy of the computations made by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Manager to calculate such installment shall thereafter, for informational purposes only, promptly be delivered to the Board of Directors. Payment for each quarterly installment of the Incentive Fee in a given fiscal year shall be due and payable no later than the date which is five (5) Business Days after the date of delivery to the Board of Directors of the computation for the last fiscal quarter of a year.</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 xml:space="preserve">ii.Section 7(f) is hereby deleted. </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iii.Section 7(g) is hereby deleted and replaced with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 The Incentive Fee shall be payable to the Manager in cash; provided that, by written notice from the Board of Directors to the Manager delivered no earlier than 45 days, and no later than 10 days, prior to the end of a fiscal year, the Incentive Fee with respect to such fiscal year may be paid in Common Shares or a combination of cash and Common Shares as determined solely by a majority of the Board of Directors (including a majority of the Independent Directors), as set forth in the applicable written notice; provided further, any Incentive Fee payable in Common Shares is subject to the following: (1) the ownership of such shares by the Manager does not violate the limit on ownership of Common Shares set forth in the Company’s charter, after giving effect to any waiver from such limit that the Board of Directors may grant to the Manager in the future and (2) the Company’s issuance of such shares to the Manager complies with all applicable securities exchange rules and securities laws (including, without limitation, prohibitions on transfers and insider trading); provided further that no more than 50% of the Incentive Fee in any given year shall be paid in Common Shares unless the Manager has provided its written consent. Notwithstanding such restriction and subject to compliance with all applicable securities laws (including, without limitation, prohibitions on insider trading), the Manager shall have the right to allocate any Common Shares received hereunder in its sole and absolute discretion to its officers, employees and other individuals who provide services to it at any time. The number of Common Shares payable as Incentive Fee shall be equal to the dollar amount of the portion of the Incentive Fee payable in Common Shares (as set forth in any applicable notice) divided by the average of the closing prices of the Common Shares on the NYSE over the five (5) Business Days prior to the date on which the Incentive Fee is paid. The Manager will promptly provide documentation and information as reasonably requested by the Board of Directors in connection with any determination regarding the form of payment of the Incentive Fee.</w:t>
      </w:r>
    </w:p>
    <w:p>
      <w:pPr>
        <w:pStyle w:val="TextBody"/>
        <w:bidi w:val="0"/>
        <w:spacing w:before="0" w:after="0"/>
        <w:jc w:val="left"/>
        <w:rPr/>
      </w:pPr>
      <w:r>
        <w:rPr/>
      </w:r>
    </w:p>
    <w:p>
      <w:pPr>
        <w:pStyle w:val="TextBody"/>
        <w:bidi w:val="0"/>
        <w:spacing w:lineRule="auto" w:line="288"/>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Full Force and Effect</w:t>
      </w:r>
      <w:r>
        <w:rPr>
          <w:rFonts w:ascii="Times New Roman;serif" w:hAnsi="Times New Roman;serif"/>
          <w:b w:val="false"/>
          <w:color w:val="000000"/>
          <w:sz w:val="24"/>
        </w:rPr>
        <w:t>. Except as specifically amended by this Amendment, the Management Agreement shall remain in full force and effect.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No Further Amendment</w:t>
      </w:r>
      <w:r>
        <w:rPr>
          <w:rFonts w:ascii="Times New Roman;serif" w:hAnsi="Times New Roman;serif"/>
          <w:b w:val="false"/>
          <w:color w:val="000000"/>
          <w:sz w:val="24"/>
        </w:rPr>
        <w:t>. This Amendment, which may be executed in multiple counterparts, constitutes the entire agreement of the Parties regarding the matters contained herein and shall not be modified by any prior oral or written discussions.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shall be governed by and construed in accordance with the laws of the State of New York.</w:t>
      </w:r>
    </w:p>
    <w:p>
      <w:pPr>
        <w:pStyle w:val="TextBody"/>
        <w:bidi w:val="0"/>
        <w:spacing w:before="0" w:after="160"/>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WITNESS WHEREOF, the Parties have executed this Amendment as of the date first written above.</w:t>
      </w:r>
    </w:p>
    <w:p>
      <w:pPr>
        <w:pStyle w:val="TextBody"/>
        <w:bidi w:val="0"/>
        <w:spacing w:lineRule="auto" w:line="288" w:before="720" w:after="720"/>
        <w:jc w:val="left"/>
        <w:rPr/>
      </w:pPr>
      <w:r>
        <w:rPr>
          <w:rFonts w:ascii="Times New Roman;serif" w:hAnsi="Times New Roman;serif"/>
          <w:b/>
          <w:color w:val="000000"/>
          <w:sz w:val="24"/>
        </w:rPr>
        <w:t>TPG MORTGAGE INVESTMENT TRUST, INC.</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 REIT MANAGEMENT, LLC</w:t>
      </w:r>
    </w:p>
    <w:p>
      <w:pPr>
        <w:pStyle w:val="TextBody"/>
        <w:bidi w:val="0"/>
        <w:spacing w:lineRule="auto" w:line="288" w:before="0" w:after="0"/>
        <w:jc w:val="left"/>
        <w:rPr/>
      </w:pPr>
      <w:r>
        <w:rPr>
          <w:rFonts w:ascii="Times New Roman;serif" w:hAnsi="Times New Roman;serif"/>
          <w:b w:val="false"/>
          <w:color w:val="000000"/>
          <w:sz w:val="24"/>
        </w:rPr>
        <w:t>By: Angelo, Gordon &amp; Co., L.P. its sole member</w:t>
      </w:r>
      <w:r>
        <w:rPr>
          <w:rFonts w:ascii="Times New Roman;serif" w:hAnsi="Times New Roman;serif"/>
          <w:b/>
          <w:color w:val="000000"/>
          <w:sz w:val="24"/>
        </w:rPr>
        <w:br/>
      </w:r>
      <w:r>
        <w:rPr>
          <w:rFonts w:ascii="Times New Roman;serif" w:hAnsi="Times New Roman;serif"/>
          <w:b w:val="false"/>
          <w:color w:val="000000"/>
          <w:sz w:val="24"/>
        </w:rPr>
        <w:br/>
        <w:br/>
        <w:br/>
        <w:t>By:    </w:t>
      </w:r>
      <w:r>
        <w:rPr>
          <w:rFonts w:ascii="Times New Roman;serif" w:hAnsi="Times New Roman;serif"/>
          <w:b w:val="false"/>
          <w:color w:val="000000"/>
          <w:sz w:val="24"/>
          <w:u w:val="single"/>
        </w:rPr>
        <w:t>/s/ Christopher D. Moore    </w:t>
      </w:r>
      <w:r>
        <w:rPr>
          <w:rFonts w:ascii="Times New Roman;serif" w:hAnsi="Times New Roman;serif"/>
          <w:b w:val="false"/>
          <w:color w:val="000000"/>
          <w:sz w:val="24"/>
        </w:rPr>
        <w:br/>
        <w:t>    Name: Christopher D. Moore</w:t>
        <w:br/>
        <w:t>    Title: General Counsel</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Fifth Amendment to Management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Fifth Amendment to Management Agreement</w:t>
                      </w:r>
                      <w:r>
                        <w:rPr>
                          <w:rFonts w:ascii="Times New Roman;serif" w:hAnsi="Times New Roman;serif"/>
                          <w:b w:val="false"/>
                          <w:color w:val="000000"/>
                          <w:sz w:val="24"/>
                        </w:rPr>
                        <w:t>]</w:t>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7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 descr=""/>
                          <pic:cNvPicPr>
                            <a:picLocks noChangeAspect="1" noChangeArrowheads="1"/>
                          </pic:cNvPicPr>
                        </pic:nvPicPr>
                        <pic:blipFill>
                          <a:blip r:embed="rId2"/>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2" descr=""/>
                          <pic:cNvPicPr>
                            <a:picLocks noChangeAspect="1" noChangeArrowheads="1"/>
                          </pic:cNvPicPr>
                        </pic:nvPicPr>
                        <pic:blipFill>
                          <a:blip r:embed="rId3"/>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99.1</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TPG MORTGAGE INVESTMENT TRUST AND CHERRY HILL MORTGAGE INVESTMENT CORPORATION ANNOUNCE DEFINITIVE MERGER AGREEMENT</w:t>
      </w:r>
    </w:p>
    <w:p>
      <w:pPr>
        <w:pStyle w:val="TextBody"/>
        <w:bidi w:val="0"/>
        <w:spacing w:before="0" w:after="0"/>
        <w:jc w:val="left"/>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Merger to Strengthen the Platform's Position as a Leading Residential Mortgage REIT Through Enhanced Scale and Operational Efficiencies</w:t>
      </w:r>
    </w:p>
    <w:p>
      <w:pPr>
        <w:pStyle w:val="TextBody"/>
        <w:bidi w:val="0"/>
        <w:spacing w:before="0" w:after="0"/>
        <w:jc w:val="left"/>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Transaction Expected to Drive Earnings Accretion and Long-Term Growth</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Implied Transaction Value of $117.5 Million Represents 29% Premium to CHMI Closing Price on August 7, 2026 and a 32% Premium to 30-Day VWAP</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CHMI Stockholders to Receive 0.3063 Shares of MITT Common Stock and $0.93 in Cash Per Share in Merger</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 xml:space="preserve">Unanimously Approved by MITT Board of Directors and CHMI Board of Directors </w:t>
      </w:r>
    </w:p>
    <w:p>
      <w:pPr>
        <w:pStyle w:val="TextBody"/>
        <w:bidi w:val="0"/>
        <w:spacing w:before="0" w:after="0"/>
        <w:jc w:val="left"/>
        <w:rPr/>
      </w:pPr>
      <w:r>
        <w:rPr/>
      </w:r>
    </w:p>
    <w:p>
      <w:pPr>
        <w:pStyle w:val="TextBody"/>
        <w:bidi w:val="0"/>
        <w:spacing w:lineRule="auto" w:line="300" w:before="0" w:after="0"/>
        <w:jc w:val="left"/>
        <w:rPr/>
      </w:pPr>
      <w:r>
        <w:rPr>
          <w:rFonts w:ascii="sans-serif" w:hAnsi="sans-serif"/>
          <w:b/>
          <w:color w:val="000000"/>
          <w:sz w:val="22"/>
        </w:rPr>
        <w:t>NEW YORK, NY – August 10, 2026</w:t>
      </w:r>
      <w:r>
        <w:rPr>
          <w:color w:val="000000"/>
        </w:rPr>
        <w:t xml:space="preserve"> </w:t>
      </w:r>
      <w:r>
        <w:rPr>
          <w:rFonts w:ascii="sans-serif" w:hAnsi="sans-serif"/>
          <w:b w:val="false"/>
          <w:color w:val="000000"/>
          <w:sz w:val="22"/>
        </w:rPr>
        <w:t xml:space="preserve">- TPG Mortgage Investment Trust, Inc. (NYSE: MITT) (“MITT”), a publicly traded residential mortgage REIT managed by AG REIT Management, LLC, an affiliate of TPG Inc. (“TPG”) (NASDAQ: TPG), a leading global alternative asset management firm with $327 billion in assets under management, and Cherry Hill Mortgage Investment Corporation (NYSE: CHMI) (“CHMI”), a residential mortgage REIT, today announced that they have entered into a definitive merger agreement, pursuant to which MITT will acquire CHMI.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 connection with the transaction, holders of CHMI common stock will receive 0.3063 shares of MITT common stock and $0.93 in cash per share. Based on the closing price of MITT’s common stock on the New York Stock Exchange (the “NYSE”) on August 7, 2026, the transaction implies a value of $3.10 per share of CHMI common stock, representing a 29% premium to CHMI’s unaffected closing stock price on the NYSE on August 7, 2026 and a 32% premium to 30-day volume weighted average price (“VWAP”).</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companies expect the transaction to close in the fourth quarter of 2026, subject to customary closing conditions, including the approval of both MITT and CHMI stockholders. This strategic transaction was unanimously approved by the Board of Directors of MITT and Board of Directors of CHMI.</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2"/>
        </w:rPr>
        <w:t>This combination represents a transformational, value-creating opportunity for both MITT and CHMI stockholders,” said T.J. Durkin, President, Chief Executive Officer, and board member of MITT. “We are excited to bring together two highly complementary portfolios to significantly enhance the scale of MITT’s residential mortgage platform, which we believe will generate meaningful operational efficiencies and deliver accretive earnings growth for the benefit of all stockholders. We look forward to completing this transaction and replicating the success we achieved when we acquired Western Asset Mortgage Capital Corporation in 2023.”</w:t>
      </w:r>
    </w:p>
    <w:p>
      <w:pPr>
        <w:pStyle w:val="TextBody"/>
        <w:bidi w:val="0"/>
        <w:spacing w:before="0" w:after="0"/>
        <w:jc w:val="left"/>
        <w:rPr/>
      </w:pPr>
      <w:r>
        <w:rPr/>
      </w:r>
    </w:p>
    <w:p>
      <w:pPr>
        <w:pStyle w:val="TextBody"/>
        <w:bidi w:val="0"/>
        <w:spacing w:lineRule="auto" w:line="300"/>
        <w:jc w:val="left"/>
        <w:rPr>
          <w:rFonts w:ascii="sans-serif" w:hAnsi="sans-serif"/>
          <w:b w:val="false"/>
          <w:color w:val="000000"/>
          <w:sz w:val="22"/>
        </w:rPr>
      </w:pPr>
      <w:r>
        <w:rPr>
          <w:rFonts w:ascii="sans-serif" w:hAnsi="sans-serif"/>
          <w:b w:val="false"/>
          <w:color w:val="000000"/>
          <w:sz w:val="22"/>
        </w:rPr>
        <w:t xml:space="preserve">Joseph Murin, Chairman of CHMI’s Board of Directors, stated, “After conducting a thorough competitive process with the assistance of our financial advisor, the Board unanimously determined that this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7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3" descr=""/>
                          <pic:cNvPicPr>
                            <a:picLocks noChangeAspect="1" noChangeArrowheads="1"/>
                          </pic:cNvPicPr>
                        </pic:nvPicPr>
                        <pic:blipFill>
                          <a:blip r:embed="rId4"/>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7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 descr=""/>
                          <pic:cNvPicPr>
                            <a:picLocks noChangeAspect="1" noChangeArrowheads="1"/>
                          </pic:cNvPicPr>
                        </pic:nvPicPr>
                        <pic:blipFill>
                          <a:blip r:embed="rId5"/>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 xml:space="preserve">transaction with MITT is in the best interest of CHMI and its stockholders. We believe this combination will unlock substantial value for all stockholders and we are excited about the value the combination can achieve.”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Jay Lown, Chief Executive Officer and board member of CHMI, added, “This transaction will deliver immediate cash consideration to CHMI stockholders, together with an opportunity to participate in the potential upside of the combined company. Our diversified portfolio of Agency RMBS and MSRs, combined with the support of TPG’s residential mortgage industry expertise, substantial resources, and record of successful integration of other REIT platforms, positions MITT well to drive long-term value for all stakeholders. We are committed to efficiently completing the merger and unlocking the growth potential of this combination for our stockholders.”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 xml:space="preserve">On a pro forma basis, following the closing of the transaction, MITT stockholders are expected to own approximately 73% of the combined company’s equity, and CHMI stockholders are expected to own approximately 27%.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Compelling Strategic Rationale for MITT and CHMI Stockholders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merger of MITT and CHMI is expected to create numerous operational and financial benefits, including:</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 xml:space="preserve">Cash Consideration for Stockholders: </w:t>
      </w:r>
      <w:r>
        <w:rPr>
          <w:rFonts w:ascii="sans-serif" w:hAnsi="sans-serif"/>
          <w:b w:val="false"/>
          <w:color w:val="000000"/>
          <w:sz w:val="22"/>
        </w:rPr>
        <w:t xml:space="preserve">CHMI stockholders will receive approximately 30% of the merger consideration in cash, consisting of an approximate $20 million payment from TPG and an approximate $15 million payment from MITT, or $0.52 per share and $0.41 per share, respectively.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Strong Financial Rationale</w:t>
      </w:r>
      <w:r>
        <w:rPr>
          <w:rFonts w:ascii="sans-serif" w:hAnsi="sans-serif"/>
          <w:b w:val="false"/>
          <w:color w:val="000000"/>
          <w:sz w:val="22"/>
        </w:rPr>
        <w:t>: Transaction expected to be accretive to earnings within one year of closing and to provide the combined company with an attractive growth profile.</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Increased Financial Strength and Flexibility</w:t>
      </w:r>
      <w:r>
        <w:rPr>
          <w:rFonts w:ascii="sans-serif" w:hAnsi="sans-serif"/>
          <w:b w:val="false"/>
          <w:color w:val="000000"/>
          <w:sz w:val="22"/>
        </w:rPr>
        <w:t xml:space="preserve">: Strong support and access to resources from MITT’s manager, which is an affiliate of TPG, a leading global alternative asset management firm with $327 billion of assets under management, including access to TPG’s proprietary, best-in-class securitization platform. The combined company is also expected to benefit from an expanded investor base and enhanced trading liquidity and volume.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 xml:space="preserve">Compelling Strategic Fit: </w:t>
      </w:r>
      <w:r>
        <w:rPr>
          <w:rFonts w:ascii="sans-serif" w:hAnsi="sans-serif"/>
          <w:b w:val="false"/>
          <w:color w:val="000000"/>
          <w:sz w:val="22"/>
        </w:rPr>
        <w:t xml:space="preserve">Strategically aligned investment strategies spanning Agency and Non-Agency residential mortgage loans brings the combined company’s investment portfolio to $9.0 billion, consisting of approximately 72.0% of Non-Agency Residential Credit, 14.4% Agency RMBS and MSRs, 12.6% Home Equity and 1.0% of other investments.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 xml:space="preserve">Enhanced Operational Efficiencies: </w:t>
      </w:r>
      <w:r>
        <w:rPr>
          <w:rFonts w:ascii="sans-serif" w:hAnsi="sans-serif"/>
          <w:b w:val="false"/>
          <w:color w:val="000000"/>
          <w:sz w:val="22"/>
        </w:rPr>
        <w:t>More favorable expense ratio and</w:t>
      </w:r>
      <w:r>
        <w:rPr>
          <w:color w:val="000000"/>
        </w:rPr>
        <w:t xml:space="preserve"> </w:t>
      </w:r>
      <w:r>
        <w:rPr>
          <w:rFonts w:ascii="sans-serif" w:hAnsi="sans-serif"/>
          <w:b w:val="false"/>
          <w:color w:val="000000"/>
          <w:sz w:val="22"/>
        </w:rPr>
        <w:t xml:space="preserve">operating efficiencies of approximately $7 to $9 million on an annual basis are expected to be realized.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Transaction Overview</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79"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8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5" descr=""/>
                          <pic:cNvPicPr>
                            <a:picLocks noChangeAspect="1" noChangeArrowheads="1"/>
                          </pic:cNvPicPr>
                        </pic:nvPicPr>
                        <pic:blipFill>
                          <a:blip r:embed="rId6"/>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8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 descr=""/>
                          <pic:cNvPicPr>
                            <a:picLocks noChangeAspect="1" noChangeArrowheads="1"/>
                          </pic:cNvPicPr>
                        </pic:nvPicPr>
                        <pic:blipFill>
                          <a:blip r:embed="rId7"/>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300" w:before="0" w:after="0"/>
        <w:jc w:val="left"/>
        <w:rPr/>
      </w:pPr>
      <w:r>
        <w:rPr>
          <w:rFonts w:ascii="sans-serif" w:hAnsi="sans-serif"/>
          <w:b w:val="false"/>
          <w:color w:val="000000"/>
          <w:sz w:val="22"/>
        </w:rPr>
        <w:t>Each share of CHMI common stock will be converted at closing into the right to receive 0.3063 shares of MITT common stock for a total of 11.608 million shares, pursuant to a fixed exchange ratio,</w:t>
      </w:r>
      <w:r>
        <w:rPr>
          <w:rFonts w:ascii="sans-serif" w:hAnsi="sans-serif"/>
          <w:b w:val="false"/>
          <w:color w:val="000000"/>
          <w:sz w:val="14"/>
        </w:rPr>
        <w:t>1</w:t>
      </w:r>
      <w:r>
        <w:rPr>
          <w:color w:val="000000"/>
        </w:rPr>
        <w:t xml:space="preserve"> </w:t>
      </w:r>
      <w:r>
        <w:rPr>
          <w:rFonts w:ascii="sans-serif" w:hAnsi="sans-serif"/>
          <w:b w:val="false"/>
          <w:color w:val="000000"/>
          <w:sz w:val="22"/>
        </w:rPr>
        <w:t xml:space="preserve">and $0.93 per share in cash, $0.52 per share of which is to be contributed in part from MITT’s manager and the remainder funded from MITT’s balance sheet. Upon the closing of the transaction, MITT stockholders are expected to own approximately 73% of the combined company’s stock, while CHMI stockholders are expected to own approximately 27% of the combined company’s stock.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Each share of CHMI 8.20% Series A Cumulative Redeemable Preferred Stock and CHMI 8.250% Series B Fixed-to-Floating Rate Cumulative Redeemable Preferred Stock will be converted at closing into the right to receive one newly issued share of MITT 8.20% Series D Cumulative Redeemable Preferred Stock and MITT 8.250% Series E Floating Rate Cumulative Redeemable Preferred Stock, respectively, having the rights, preferences, privileges and voting powers substantially the same as those of the CHMI Series A Preferred Stock and CHMI Series B Preferred Stock, respectively.</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Governance and Management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Upon completion of the merger, the combined company will continue to operate as “TPG Mortgage Investment Trust, Inc.” and will be led by MITT’s existing management team, including T.J. Durkin as its President and Chief Executive Officer.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CHMI will designate two independent directors to be added to MITT’s Board of Directors, bringing MITT’s Board up to eight directors. The combined company will be headquartered in New York, and its common stock will continue to be listed on the NYSE under MITT’s current ticker symbol.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 connection with the transaction, the MITT manager’s incentive fee structure will be amended to further enhance alignment of interests with those of stockholders, including to be based on the combined company’s pro forma book value and earnings available for distribution.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Additional information on the transaction and the anticipated benefits to MITT and CHMI stockholders can be found in MITT’s investor deck relating to the transaction posted on MITT’s website at www.mitt.tpg.com. The investor deck is also being furnished by MITT in a Current Report on Form 8-K being filed by MITT with the Securities and Exchange Commission (the “SEC”) on the date hereof.</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Timing and Approvals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transaction has been unanimously approved by the Boards of Directors of MITT and CHMI and MITT’s manager. The transaction is expected to close in the fourth quarter of 2026, subject to approval by the respective stockholders of MITT and CHMI, receipt of regulatory approvals and satisfaction of other customary closing conditions set forth in the merger agreement.</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Advisors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Piper Sandler &amp; Co. is acting as exclusive financial advisor and Hunton Andrews Kurth LLP and Freshfields LLP are acting as legal counsel to MITT. Fried, Frank, Harris, Shriver &amp; Jacobson LLP is acting as legal </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sans-serif" w:hAnsi="sans-serif"/>
          <w:b w:val="false"/>
          <w:color w:val="000000"/>
          <w:sz w:val="20"/>
        </w:rPr>
        <w:t>Exchange ratio is based on 38.633 million outstanding shares of CHMI common stock on a fully-diluted basis as of June 30,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82"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8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 descr=""/>
                          <pic:cNvPicPr>
                            <a:picLocks noChangeAspect="1" noChangeArrowheads="1"/>
                          </pic:cNvPicPr>
                        </pic:nvPicPr>
                        <pic:blipFill>
                          <a:blip r:embed="rId8"/>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8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 descr=""/>
                          <pic:cNvPicPr>
                            <a:picLocks noChangeAspect="1" noChangeArrowheads="1"/>
                          </pic:cNvPicPr>
                        </pic:nvPicPr>
                        <pic:blipFill>
                          <a:blip r:embed="rId9"/>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counsel to MITT’s independent directors. BTIG, LLC is acting as exclusive financial advisor and Mayer Brown LLP is acting as legal advisor to CHMI.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TPG Mortgage Investment Trust, Inc.</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TPG Mortgage Investment Trust, Inc. is a residential mortgage REIT with a focus on investing in a diversified risk-adjusted portfolio of residential mortgage-related assets in the U.S. mortgage market. The Company is externally managed and advised by AG REIT Management, LLC, an affiliate of TPG Inc. (NASDAQ: TPG).</w:t>
      </w:r>
      <w:r>
        <w:rPr>
          <w:color w:val="000000"/>
        </w:rPr>
        <w:t xml:space="preserve"> </w:t>
      </w:r>
      <w:r>
        <w:rPr>
          <w:rFonts w:ascii="sans-serif" w:hAnsi="sans-serif"/>
          <w:b w:val="false"/>
          <w:color w:val="000000"/>
          <w:sz w:val="22"/>
        </w:rPr>
        <w:t xml:space="preserve">Additional information can be found on MITT’s website at www.mitt.tpg.com.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Cherry Hill Mortgage Investment Corporation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Cherry Hill Mortgage Investment Corporation is a real estate finance company that acquires, invests in and manages residential mortgage assets in the United States. For additional information, visit www.chmireit.com.</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Additional Information</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 xml:space="preserve">This communication relates to the proposed merger (the “Merger”) pursuant to the terms of a definitive agreement and plan of merger (the “Merger Agreement”). In connection with the proposed Merger, MITT expects to file relevant materials with the SEC, including a registration statement on Form S-4 that will include a prospectus of MITT and a joint proxy statement of MITT and CHMI. Promptly after filing the definitive joint proxy statement/prospectus with the SEC, MITT and CHMI will mail the definitive joint proxy statement/prospectus and a proxy card to each stockholder of MITT and CHMI, respectively, entitled to vote at the special meeting of MITT and CHMI, respectively, relating to the proposed transaction. This communication is not a substitute for any proxy statement, registration statement, tender or exchange offer statement, prospectus or other document MITT or CHMI may file with the SEC in connection with the proposed Merger and related matters. The materials to be filed by MITT and CHMI will be made available to MITT and CHMI’s investors and stockholders at no expense to them. Copies of the documents filed by MITT with the SEC are also available free of charge on MITT’s website at www.mitt.tpg.com. Copies of the documents filed by CHMI with the SEC are also available free of charge on CHMI’s website at www.chmireit.com. In addition, all of those materials will be available at no charge on the SEC’s website at www.sec.gov. </w:t>
      </w:r>
      <w:r>
        <w:rPr>
          <w:rFonts w:ascii="sans-serif" w:hAnsi="sans-serif"/>
          <w:b/>
          <w:color w:val="000000"/>
          <w:sz w:val="22"/>
        </w:rPr>
        <w:t>INVESTORS AND STOCKHOLDERS ARE URGED TO READ THE FORM S-4, THE JOINT PROXY STATEMENT/PROSPECTUS, AND THE OTHER RELEVANT MATERIALS WHEN THEY BECOME AVAILABLE BEFORE MAKING ANY VOTING OR INVESTMENT DECISION WITH RESPECT TO THE PROPOSED TRANSACTION BECAUSE THEY CONTAIN IMPORTANT INFORMATION ABOUT MITT, CHMI AND THE PROPOSED MERGER</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shd w:fill="FFFFFF" w:val="clear"/>
        </w:rPr>
      </w:pPr>
      <w:r>
        <w:rPr>
          <w:rFonts w:ascii="sans-serif" w:hAnsi="sans-serif"/>
          <w:b/>
          <w:color w:val="000000"/>
          <w:sz w:val="22"/>
          <w:shd w:fill="FFFFFF" w:val="clear"/>
        </w:rPr>
        <w:t>Participants in the Solicitation Relating to the Merger</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2"/>
          <w:shd w:fill="FFFFFF" w:val="clear"/>
        </w:rPr>
      </w:pPr>
      <w:r>
        <w:rPr>
          <w:rFonts w:ascii="sans-serif" w:hAnsi="sans-serif"/>
          <w:b w:val="false"/>
          <w:color w:val="000000"/>
          <w:sz w:val="22"/>
          <w:shd w:fill="FFFFFF" w:val="clear"/>
        </w:rPr>
        <w:t xml:space="preserve">MITT, CHMI and certain of their respective directors and executive officers and certain other affiliates of MITT and CHMI may be deemed to be participants in the solicitation of proxies from the common stockholders of CHMI and MITT in respect of the proposed Merger under SEC rules. Information regarding CHMI and its directors and executive officers and their ownership of common stock of CHMI can be found in CHMI’s Annual Report on Form 10-K for the fiscal year ended December 31, 2025, filed with the SEC on March 5, 2026, and its subsequent filings under the Securities Exchange Act of 1934, as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85"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8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 descr=""/>
                          <pic:cNvPicPr>
                            <a:picLocks noChangeAspect="1" noChangeArrowheads="1"/>
                          </pic:cNvPicPr>
                        </pic:nvPicPr>
                        <pic:blipFill>
                          <a:blip r:embed="rId10"/>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8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0" descr=""/>
                          <pic:cNvPicPr>
                            <a:picLocks noChangeAspect="1" noChangeArrowheads="1"/>
                          </pic:cNvPicPr>
                        </pic:nvPicPr>
                        <pic:blipFill>
                          <a:blip r:embed="rId11"/>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amended (the “Exchange Act”). Information regarding MITT and its directors and executive officers and their ownership of common stock of MITT can be found in MITT’s Annual Report on Form 10-K for the fiscal year ended December 31, 2025, filed with the SEC on February 25, 2026, and its subsequent filings under the Exchange Act. Additional information regarding the interests of such participants in the Merger, which may, in some cases, be different than those of MITT and CHMI stockholders generally, will be included in the joint proxy statement/prospectus and other relevant documents relating to the proposed Merger when they are filed with the SEC. These documents are available free of charge on the SEC’s website and from MITT or CHMI, as applicable, using the sources indicated above.</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shd w:fill="FFFFFF" w:val="clear"/>
        </w:rPr>
      </w:pPr>
      <w:r>
        <w:rPr>
          <w:rFonts w:ascii="sans-serif" w:hAnsi="sans-serif"/>
          <w:b/>
          <w:color w:val="000000"/>
          <w:sz w:val="22"/>
          <w:shd w:fill="FFFFFF" w:val="clear"/>
        </w:rPr>
        <w:t>No Offer or Solicitation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as amended (the “Securities Act”). This communication may be deemed to be solicitation material in respect of the proposed Merger.</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2"/>
          <w:shd w:fill="FFFFFF" w:val="clear"/>
        </w:rPr>
      </w:pPr>
      <w:r>
        <w:rPr>
          <w:rFonts w:ascii="sans-serif" w:hAnsi="sans-serif"/>
          <w:b w:val="false"/>
          <w:color w:val="000000"/>
          <w:sz w:val="22"/>
          <w:shd w:fill="FFFFFF" w:val="clear"/>
        </w:rPr>
        <w:t>This communication contains certain “forward-looking” statements within the meaning of Section 27A of the Securities Act and Section 21E of the Exchange Act. MITT and CHMI intend such forward-looking statements to be covered by the safe harbor provisions for forward-looking statements contained in the Private Securities Litigation Reform Act of 1995 and include this statement for purposes of complying with the safe harbor provisions. Words such as “expects,” “anticipates,” “intends,” “plans,” “believes,” “seeks,” “estimates,” “will,” “should,” “may,” “projects,” “could” or variations of such words and other similar expressions are intended to identify such forward-looking statements, which generally are not historical in nature, but not all forward-looking statements include such identifying words. Forward-looking statements regarding MITT and CHMI include, but are not limited to, statements related to the proposed Merger, including the anticipated timing, benefits and financial and operational impact thereof; other statements of management’s belief, intentions or goals;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MITT’s and CHMI’s ability to complete the proposed Merger on the proposed terms or on the anticipated timeline, or at all, including risks and uncertainties related to securing the necessary stockholder approval from CHMI’s and MITT’s respective stockholders and satisfaction of other closing conditions to consummate the proposed Merger; the occurrence of any event, change or other circumstance that could give rise to the termination of the Merger Agreement; risks related to diverting the attention of MITT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MITT’s and CHMI’s respective businesses will not be integrated successfully or that such integration may be more difficult, time-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8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47" w:type="dxa"/>
        <w:jc w:val="right"/>
        <w:tblInd w:w="0" w:type="dxa"/>
        <w:tblLayout w:type="fixed"/>
        <w:tblCellMar>
          <w:top w:w="28" w:type="dxa"/>
          <w:left w:w="28" w:type="dxa"/>
          <w:bottom w:w="28" w:type="dxa"/>
          <w:right w:w="28" w:type="dxa"/>
        </w:tblCellMar>
      </w:tblPr>
      <w:tblGrid>
        <w:gridCol w:w="613"/>
        <w:gridCol w:w="538"/>
        <w:gridCol w:w="540"/>
        <w:gridCol w:w="895"/>
        <w:gridCol w:w="895"/>
        <w:gridCol w:w="126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495300"/>
                  <wp:effectExtent l="0" t="0" r="0" b="0"/>
                  <wp:docPr id="18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1" descr=""/>
                          <pic:cNvPicPr>
                            <a:picLocks noChangeAspect="1" noChangeArrowheads="1"/>
                          </pic:cNvPicPr>
                        </pic:nvPicPr>
                        <pic:blipFill>
                          <a:blip r:embed="rId12"/>
                          <a:stretch>
                            <a:fillRect/>
                          </a:stretch>
                        </pic:blipFill>
                        <pic:spPr bwMode="auto">
                          <a:xfrm>
                            <a:off x="0" y="0"/>
                            <a:ext cx="1009650" cy="495300"/>
                          </a:xfrm>
                          <a:prstGeom prst="rect">
                            <a:avLst/>
                          </a:prstGeom>
                        </pic:spPr>
                      </pic:pic>
                    </a:graphicData>
                  </a:graphic>
                </wp:inline>
              </w:drawing>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57375" cy="247650"/>
                  <wp:effectExtent l="0" t="0" r="0" b="0"/>
                  <wp:docPr id="19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 descr=""/>
                          <pic:cNvPicPr>
                            <a:picLocks noChangeAspect="1" noChangeArrowheads="1"/>
                          </pic:cNvPicPr>
                        </pic:nvPicPr>
                        <pic:blipFill>
                          <a:blip r:embed="rId13"/>
                          <a:stretch>
                            <a:fillRect/>
                          </a:stretch>
                        </pic:blipFill>
                        <pic:spPr bwMode="auto">
                          <a:xfrm>
                            <a:off x="0" y="0"/>
                            <a:ext cx="1857375" cy="2476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consuming or costly than expected; the risk that MITT may not achieve the same level of success that it achieved in past acquisitions; and effects relating to the announcement of the proposed Merger or any further announcements or the consummation of the proposed Merger on the market price of MITT’s or CHMI’s common stock. Additional risks and uncertainties related to MITT’s and CHMI’s business are included under the headings “Forward-Looking Statements” and “Risk Factors” in MITT’s and CHMI’s Annual Report on Form 10-K for the year ended December 31, 2025, and in other reports and documents filed by either company with the SEC from time to time. Moreover, other risks and uncertainties of which MITT or CHMI are not currently aware may also affect each of the companies’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even if they are subsequently made available by MITT or CHMI on their respective websites or otherwise. Neither MITT nor CHMI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Contacts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Investors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TPG Mortgage Investment Trust, Inc.</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Investor Relations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(212) 692-2110</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media@tpg.com</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Cherry Hill Mortgage Investment Corporation</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Investor Relations</w:t>
        <w:br/>
        <w:t>(877) 870–7005</w:t>
        <w:br/>
        <w:t xml:space="preserve">InvestorRelations@CHMIreit.com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446" w:name="tpgmortgageinvestmenttru.htm"/>
      <w:bookmarkStart w:id="447" w:name="kstpgmortgageinvestmenttru"/>
      <w:bookmarkEnd w:id="446"/>
      <w:bookmarkEnd w:id="447"/>
      <w:r>
        <w:rPr/>
        <w:drawing>
          <wp:inline distT="0" distB="0" distL="0" distR="0">
            <wp:extent cx="10153650" cy="7620000"/>
            <wp:effectExtent l="0" t="0" r="0" b="0"/>
            <wp:docPr id="19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92"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TPG Mortgage Investment Trust, Inc. to Acquire Cherry Hill Mortgage Investment Corporation August 10,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2NYSE: MITT Forward Looking Statements &amp; Non-GAAP Financial Information Forward Looking Statements: This presentation includes "forward-looking statements" within the meaning of the safe harbor provisions of the United States Private Securities Litigation Reform Act of 1995 related to the merger, dividends, book value, our investments, our business and investment strategy, investment returns, return on equity, liquidity, financing, taxes, our assets, our interest rate sensitivity, and our views on certain macroeconomic trends and conditions, among others. Forward-looking statements are based on estimates, projections, beliefs and assumptions of management of our company at the time of such statements and are not guarantees of future performance. Forward-looking statements involve risks and uncertainties in predicting future results and conditions. Actual results could differ materially from those projected in these forward-looking statements due to a variety of factors, including, without limitation, MITT’s and CHMI’s ability to complete the proposed Merger on the proposed terms or on the anticipated timeline, or at all, including risks and uncertainties related to securing the necessary stockholder approval from CHMI’s and MITT’s respective stockholders and satisfaction of other closing conditions to consummate the proposed Merger; the occurrence of any event, change or other circumstance that could give rise to the termination of the Merger Agreement; risks related to diverting the attention of MITT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MITT’s and CHMI’s respective businesses will not be integrated successfully or that such integration may be more difficult, time-consuming or costly than expected; and effects relating to the announcement of the proposed Merger or any further announcements or the consummation of the proposed Merger on the market price of MITT’s or CHMI’s common stock; our ability to generate attractive risk adjusted returns over the long term as a programmatic aggregator and issuer of Non-Agency residential loan securitizations; the strength in our earnings available for distribution (EAD), including whether it will continue to support dividend; whether our investment portfolio will continue to deliver durable net interest income; our levels of operating expenses; our ability to continue to opportunistically rotate capital, including through sales of legacy WMC or other non-core assets; our ability to consummate sales and/or deed-in-lieu of the properties underlying legacy WMC commercial loans within the timeframe or manner anticipated or at all; our ability to continue to grow our residential investment portfolio; whether we will achieve the anticipated benefits of acquiring additional interests in Arc Home within the timeframe contemplated or at all, including driving our earnings power and continuing contribution to EAD; our acquisition pipeline; our ability to invest in higher yielding assets through Arc Home, other origination partners or otherwise; our levels of liquidity, including whether our liquidity will sufficiently enable us to continue to deploy capital within the residential whole loan space as anticipated or at all; the availability of committed financing to support our liquidity; the impact of market, regulatory and structural changes on the market opportunities we expect to have, and whether we will be able to capitalize on such opportunities in the manner we anticipate, including our ability to participate in, and benefit from, the home equity loan market; the impact of market volatility on our business, including our book value, and ability to execute our strategy; our trading volume and liquidity; our portfolio mix, including levels of Residential Investments and Agency RMBS; our ability to manage warehouse exposure as anticipated or at all; our levels of leverage, including our levels of recourse and non-recourse financing; our ability to repay or refinance corporate leverage; our ability to execute securitizations, including at the pace anticipated or at all; our ability to achieve our forecasted returns on equity on warehoused assets and post-securitization, including whether such returns will support earnings growth; changes in our business and investment strategy; our ability to grow our book value; our ability to predict and control costs; changes in inflation, tariffs, interest rates and the fair value of our assets, including negative changes resulting in margin calls relating to the financing of our assets; the impact of credit spread movements on our business; the impact of interest rate changes on our asset yields and net interest margin; changes in the yield curve; the timing and amount of stock issuances pursuant to our ATM program or otherwise; the timing and amount of stock repurchases, if any; our capitalization, including the timing and amount of preferred stock repurchases or exchanges, if any; expense levels, including levels of management fees; changes in prepayment rates on the loans we own or that underlie our investment securities; our distribution policy; Arc Home’s performance, including its profitability, liquidity position and ability to increase market share or benefit from improved gain on sale margins; Arc Home’s origination volumes; the composition of Arc Home’s portfolio, including levels of MSR exposure; costs and levels of leverage on Arc Home’s portfolio; our percentage allocation of loans originated by Arc Home; increased rates of default or delinquencies and/or decreased recovery rates on our assets; the availability of and competition for our target investments; our ability to obtain and maintain financing arrangements on terms favorable to us or at all; changes in general economic or market conditions in our industry and in the finance and real estate markets, including the impact on the value of our assets; conditions in the market for Residential Investments and Agency RMBS; our levels of EAD; market conditions impacting commercial real estate; legislative and regulatory actions by the U.S. Department of the Treasury, the Federal Reserve and other agencies and instrumentalities; regional bank failures; our ability to make distributions to our stockholders in the future; our ability to maintain our qualification as a REIT for federal tax purposes; and our ability to qualify for an exemption from registration under the Investment Company Act of 1940, as amended. Additional information concerning these and other risk factors are contained in our filings with the Securities and Exchange Commission ("SEC"), including those described in Part I – Item 1A. “Risk Factors” of our Annual Report on Form 10-K for the fiscal year ended December 31, 2025, as such factors may be updated from time to time in our filings with the SEC. Copies are available free of charge on the SEC's website, http://www.sec.gov/. All forward looking statements in this presentation speak only as of the date of this presentation. We undertake no duty to update any forward-looking statements to reflect any change in our expectations or any change in events, conditions or circumstances on which any such statement is based. All financial information in this presentation is as of June 30, 2026, unless otherwise indicated. Non-GAAP Financial Information: In addition to the results presented in accordance with GAAP, this presentation includes certain non-GAAP financial results and financial metrics derived therefrom, including Earnings Available for Distribution (“EAD“) and economic leverage ratio, as described in the footnotes to this presentation. Our management team believes that this non-GAAP financial information, when considered with our GAAP financial statements, provides supplemental information useful for investors to help evaluate our financial performance. However, our management team also believes that our definition of EAD has important limitations as it does not include certain earnings or losses our management team considers in evaluating our financial performance. Our presentation of non-GAAP financial information may not be comparable to similarly-titled measures of other companies, who may use different calculations. This non-GAAP financial information should not be considered a substitute for, or superior to, the financial measures calculated in accordance with GAAP. Our GAAP financial results and any reconciliations of the non-GAAP financial measures included in this presentation to the most directly comparable financial measures prepared in accordance with GAAP should be carefully evaluated. This presentation may contain statistics and other data that has been obtained or compiled from information made available by third-party service providers. We have not independently verified such statistics or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3NYSE: MITT Additional Disclosures Important Additional Information and Where to Find It In connection with the merger with Cherry Hill Mortgage Investment Corp (“CHMI”), TPG Mortgage Investment Trust, Inc. (“MITT”) expects to file with the U.S. Securities and Exchange Commission (the “SEC”) a registration statement on Form S-4 (the “Registration Statement”) that will include a prospectus of MITT and a joint proxy statement of MITT and CHMI (the “joint proxy statement/prospectus”). The joint proxy statement/prospectus will contain important information about MITT, CHMI, the proposed Merger and related matters. MITT and CHMI also expect to file with the SEC other documents regarding the Merger. The Merger will be submitted to the stockholders of CHMI for their consideration. Issuance of MITT stock in the Merger will be submitted to the stockholders of MITT for consideration. The definitive joint proxy statement/prospectus will be sent to the stockholders of MITT and CHMI, and will contain important information about MITT, CHMI, the proposed Merger and related matters. This communication is not a substitute for any proxy statement, registration statement, tender or exchange offer statement, prospectus or other document MITT or CHMI may file with the SEC in connection with the proposed Merger and related matters. INVESTORS AND SECURITY HOLDERS ARE ADVISED TO READ THE REGISTRATION STATEMENT ON FORM S-4 AND THE RELATED JOINT PROXY STATEMENT/PROSPECTUS (INCLUDING ALL AMENDMENTS AND SUPPLEMENTS THERETO) AND OTHER RELEVANT DOCUMENTS FILED BY MITT AND CHMI WITH THE SEC CAREFULLY AND IN THEIR ENTIRETY IF AND WHEN THEY BECOME AVAILABLE BECAUSE THEY WILL CONTAIN IMPORTANT INFORMATION ABOUT MITT, CHMI AND THE PROPOSED MERGER. Investors and security holders may obtain copies of these documents free of charge (if and when they become available) through the website maintained by the SEC at www.sec.gov. Copies of the documents filed by MITT with the SEC are also available free of charge on MITT’s website at www.mitt.tpg.com. Copies of the documents filed by CHMI with the SEC are also available free of charge on CHMI’s website at www.chmireit.com. Participants in the Solicitation Relating to the Merger MITT, CHMI and certain of their respective directors and executive officers and certain other affiliates of MITT and CHMI may be deemed to be participants in the solicitation of proxies from the common stockholders of CHMI and MITT in respect of the proposed Merger. Information regarding CHMI and its directors and executive officers and their ownership of common stock of CHMI can be found in CHMI’s Annual Report on Form 10-K for the fiscal year ended December 31, 2025, filed with the SEC on March 5, 2026, and in its definitive proxy statement relating to its 2026 annual meeting of stockholders, filed with the SEC on April 21, 2026. Information regarding MITT and its directors and executive officers and their ownership of common stock of MITT can be found in MITT’s Annual Report on Form 10-K for the fiscal year ended December 31, 2025, filed with the SEC on February 25, 2026, and in its definitive proxy statement relating to its 2026 annual meeting of stockholders, filed with the SEC on March 16, 2026. Additional information regarding the interests of such participants in the Merger will be included in the joint proxy statement/prospectus and other relevant documents relating to the proposed Merger when they are filed with the SEC. These documents are available free of charge on the SEC’s website and from MITT or CHMI, as applicable, using the sources indicated above. No Offer or Solicitation 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as amended (the “Securities Act”). This communication may be deemed to be solicitation material in respect of the proposed Merger.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4NYSE: MITT Transaction Summary • TPG Mortgage Investment Trust, Inc. (NYSE: MITT) has entered into an agreement to acquire Cherry Hill Mortgage Investment Corporation (NYSE: CHMI) by issuing new common shares of MITT to CHMI’s stockholders using an exchange ratio of 0.3063x(1) • CHMI stockholders will also receive cash consideration from MITT and MITT’s external manager, an affiliate of TPG Inc. (“TPG”) Merger Consideration • Exchange ratio would result in approximately 11.608 million new MITT common shares issued to CHMI stockholders • Total consideration of $117.5 million, or $3.10 per share of CHMI common stock ◦ Stock consideration of $2.17 per share of CHMI common stock(2) ◦ Cash consideration of $0.93 per share of CHMI common stock (~30% of total consideration), consisting of $0.52 per share from TPG and $0.41 per share from MITT • Total consideration represents a purchase price premium of approximately 29% to CHMI’s closing price on August 7, 2026 • MITT will assume CHMI’s $69.5 million of 8.20% Series A Preferred Stock and $40.1 million of 8.25% Series B Fixed-to-Floating Rate Preferred Stock, which will be exchanged for new preferred shares of the combined company with the same terms TPG Contribution and Alignment • TPG will contribute ~$20 million of the cash consideration paid to CHMI’s stockholders, representing ~17% of total consideration • MITT’s external manager, an affiliate of TPG, will continue to serve as the external manager of the pro forma combined company and MITT's existing management team will continue to operate the combined entity • In connection with this support, the external manager’s incentive fee structure will be amended at closing to be based on pro- forma book value and earnings available for distribution, strengthening TPG's alignment of interests with shareholders and its commitment to the combined company’s long-term growth Pro Forma Ownership • MITT: ~73% • CHMI: ~27% Governance • MITT’s board of directors will be expanded to include two additional independent board members designated by CHMI Required Approvals • Transaction is subject to MITT and CHMI shareholder approval and customary regulatory and other closing conditions Expected Closing • Target closing in fourth quarter 2026 1) Based on adjusted book values per share for each of MITT and CHMI as of June 30, 2026. 2) Based on MITT’s closing price of $7.09 as of August 7, 2026. Transaction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5NYSE: MITT Transaction Highlights Long-Term Value Creation Transformational combination driving potential for significant long-term value creation for shareholders and continued growth within the U.S. residential mortgage market High Quality Assets Providing shareholders with access to a combined investment portfolio spanning across Agency and Non-Agency products collateralized by residential mortgage loans with strong credit profiles Synergistic Pro Forma Investment Portfolio CHMI’s Agency-focused strategy producing stable cash flows complements MITT’s credit-focused earnings power and supports dividends for shareholders; this transaction scales a portfolio that has already delivered a 140% increase in EAD(1) and a 33% quarterly dividend increase since Q3 2023 Enhanced Liquidity Profile Further bolsters MITT’s already strong liquidity profile with optionality to leverage MITT’s existing relationships to optimize portfolio financing Improved Scale and Operating Efficiencies A combined platform with increased operating leverage should result in material expense synergies spread across a larger equity capital base Low Leverage Profile Pro forma leverage ratio to be reduced relative to CHMI’s in-place ratio and attractive on a pro forma basis compared to the combined company’s peer group Business Alignment Combined with External Manager Support Fundamental alignment between MITT’s pure play residential mortgage and securitization strategy and CHMI’s Agency RMBS and MSR strategy, complemented by support from one of the most tenured structured credit teams in the industry at TPG 1) EAD, a non-GAAP financial measure, is calculated as Net Income/(loss) available to common stockholders excluding (i) (a) unrealized gains/(losses) on loans, real estate securities, derivatives and other investments, inclusive of our investment in AG Arc and Arc Home's net mortgage servicing rights, and (b) net realized gains/(losses) on the sale or termination of such instruments, (ii) any transaction related expenses incurred in connection with the acquisition, disposition, or securitization of our investments, (iii) the income tax effect on non-EAD income/(loss) items, and (iv) certain other nonrecurring gains or losses. Items (i) through (iv) above include any amount related to those items held in affiliated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6NYSE: MITT 1) Based on MITT’s book value per share of $10.00 as of June 30, 2026 and CHMI’s stock price of $2.41 as of August 7, 2026. 2) Represents estimated operating expense synergies recognized upon combining companies, offset by the additional estimated management fee expense. Anticipated Benefits of the Transaction Transaction expected to increase MITT’s market capitalization by 36%, improving liquidity and trading volume of the stock, increasing the total equity capital base to ~$743 million Transaction is expected to be accretive to earnings in 2027 and generate strong equity returns to common shareholders Transaction to increase the size of MITT’s investment portfolio by ~$1.3 billion, or ~17% Conventional MSR portfolio and in-place servicing structure supported by TPG’s significant experience in originating, acquiring and managing MSRs providing ability to grow this complementary business Transaction provides growth through permanent equity capital without assuming unsecured corporate debt ~$20 million cash contribution from TPG to reduce book value dilution and signals continued support in MITT’s plans to scale Anticipated Benefits to MITT Shareholders Merger consideration represents a significant premium (29%) to CHMI’s current stock price Opportunity to benefit from MITT’s future performance and narrowing of its current trading discount, as total consideration based on MITT’s June 30, 2026 book value represents total consideration of $3.99 per share, or a 66% premium to CHMI’s stock price as of August 7, 2026(1) Cash contribution, as a percentage of the total merger consideration (30%), represents substantial and certain value at closing relative to precedent M&amp;A transactions in the mortgage REIT space MITT’s management team has a track record of successfully executing accretive transactions for shareholders as evidenced by performance post-WMC acquisition in 2023 Anticipated Benefits to CHMI Shareholders Continued strong support from TPG in the form of a ~$20 million cash contribution to the total merger consideration Access to TPG platform, a $327 billion leading global alternative asset management firm providing expertise across both credit and asset-based finance strategies Liquid investment portfolio providing optionality for shareholders in rotating equity into assets classes identified as providing the strongest relative risk- adjusted returns Well positioned with increased scale and liquidity to further capitalize on opportunistic investment environment post-transaction Expect significant operating expense efficiencies of $7 - $9 million annually with combined expenses spread over a larger equity base(2) Anticipated Benefits to Combined Company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 descr=""/>
                    <pic:cNvPicPr>
                      <a:picLocks noChangeAspect="1" noChangeArrowheads="1"/>
                    </pic:cNvPicPr>
                  </pic:nvPicPr>
                  <pic:blipFill>
                    <a:blip r:embed="rId2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7NYSE: MITT $1.3 Investment Portfolio (in billions) $3.16 Book Value per Share $228.9 Total Equity (in millions) $77.8 Liquidity(1) (in millions) 5.0x Aggregate Portfolio Leverage Ratio(2) 83.6% 16.4% Agency MSR 31.0% 30.8% 22.7% 15.5% Agency MSR Cash Other (3) Note: data as of June 30, 2026. 1) Calculated as unrestricted cash plus unencumbered agency RMBS securities. 2) Reflects amounts outstanding under repurchase agreements and notes payable as of June 30, 2026, divided by stockholders equity as of June 30, 2026. 3) “Other” designation includes equity in CHMI’s derivatives portfolio, restricted cash, and other assets &amp; liabilities. $1.3 Billion $228.9 Million Cherry Hill Mortgage Investment Corporation Overview • Fully integrated, internally managed residential mortgage REIT focused on acquiring, investing in and managing residential mortgage assets in the United States • CHMI, through a wholly owned subsidiary, is a licensed mortgage servicer for Fannie Mae and Freddie Mac, enabling the company to invest in mortgage servicing rights • Conducts its business through two segments, investments in RMBS (Agency RMBS) and investments in Servicing Related Assets (mortgage servicing rights) • Headquartered in Tinton Falls, NJ Company Overview Investment Portfolio Overview June 30, 2026 Key Statistics Equity Composition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20" descr=""/>
                    <pic:cNvPicPr>
                      <a:picLocks noChangeAspect="1" noChangeArrowheads="1"/>
                    </pic:cNvPicPr>
                  </pic:nvPicPr>
                  <pic:blipFill>
                    <a:blip r:embed="rId2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8NYSE: MITT TPG Mortgage Investment Trust, Inc. Overview $7.7 Investment Portfolio (in billions) $10.00 Book Value per Share $546.0 Total Equity (in millions) $111.6 Liquidity(1) (in millions) 1.8x Economic Leverage Ratio(2) 38.3% 29.5% 8.3% 0.7% 9.6% 7.2% 6.4% First Mortgage Home Equity Commercial Agency Cash Arc Home Other Note: data as of June 30, 2026. 1) Total liquidity includes $61.6 million of cash and cash equivalents and $50.0 million of available committed financing on certain residential mortgage loans. 2) Economic Leverage, a non-GAAP financial measure, is calculated as the sum of our financing arrangements, net of cash posted on our financing arrangements, and our senior unsecured notes. Economic leverage does not include any financing utilized through AG Arc. 3) Excludes MITT’s senior unsecured notes for purposes of calculating the percentage equity allocation of MITT’s total equity of $546.0 million as of June 30, 2026. 4) “Other” designation includes restricted cash, equity in MITT’s derivatives portfolio, and other assets &amp; liabilities. 83.9% 14.7% 1.2% 0.2% First Mortgages Home Equity Commercial Agency (4) $7.7 Billion $546.0 Million • Pure-play residential mortgage REIT focused on investing in a diversified risk-adjusted portfolio of residential mortgage-related assets in the U.S. mortgage market • Investment activities primarily include acquiring and securitizing newly- originated residential mortgage loans within the non-agency segment of the housing market • Conducts its business through two segments, Loans and Securities and Arc Home, its residential mortgage loan originator and servicer • Externally managed and advised by AG REIT Management LLC, a wholly-owned subsidiary of TPG (Nasdaq: TPG), a leading global alternative asset management firm • Headquartered in New York, NY Company Overview Investment Portfolio Overview June 30, 2026 Key Statistics Equity Composition Overview(3)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1" descr=""/>
                    <pic:cNvPicPr>
                      <a:picLocks noChangeAspect="1" noChangeArrowheads="1"/>
                    </pic:cNvPicPr>
                  </pic:nvPicPr>
                  <pic:blipFill>
                    <a:blip r:embed="rId2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9NYSE: MITT 29.4% 22.6% 6.3% 9.0% 8.4% 9.7% 5.5% 9.1% First Mortgage Home Equity Commercial Agency MSR Cash Arc Home Other The combined, pro forma company represents a scaled platform with capabilities across Residential Credit, Agency, and Mortgage Servicing, targeting high-teen ROEs in its investment portfolio Diversified &amp; Scaled Pure-Play Residential Platform 72.0% 12.6% 1.0% 12.1% 2.3% First Mortgages Home Equity Commercial Agency MSR 1.8x 5.0x 2.9x MITT CHMI Pro Forma Financing Arrangements Senior Unsecured Notes $ in millions 1) Economic Leverage, a non-GAAP financial measure, is calculated as the sum of our financing arrangements, net of cash posted on our financing arrangements, and our senior unsecured notes. Economic leverage does not include any financing utilized through AG Arc. 2) Pro forma analysis is adjusted for estimated severance, transaction expenses for each of MITT and CHMI and the ~$15 million of cash consideration payable by MITT. 3) Excludes MITT’s senior unsecured notes for purposes of calculating the percentage equity allocation of the combined company’s pro forma equity as of June 30, 2026. 4) “Other” designation includes restricted cash, equity in MITT’s &amp; CHMI’s derivatives portfolios, and other assets &amp; liabilities. (4) $9.0 Billion $742.5 Million Pro Forma Investment Portfolio Overview Pro Forma Economic Leverage Overview(1)(2) Pro Forma Equity Allocation(2)(3)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2" descr=""/>
                    <pic:cNvPicPr>
                      <a:picLocks noChangeAspect="1" noChangeArrowheads="1"/>
                    </pic:cNvPicPr>
                  </pic:nvPicPr>
                  <pic:blipFill>
                    <a:blip r:embed="rId2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10NYSE: MITT Price Change (%) Post July 12, 2023 MITT Submits Offer to Acquire WMC Closing MITT Peer Date MITT WMC Group 7/12/23 0.00% 0.00% 0.00% 7/13/23 2.31% 8.25% 0.90% 7/14/23 6.60% 11.84% 0.26% 7/17/23 9.74% 11.72% 0.66% 7/18/23 12.38% 11.84% 2.05% 7/19/23 12.54% 13.52% 3.95% MITT Share Price Performance: June 2023 - August 2023 Source: S&amp;P Capital IQ Pro. 1) Peer group includes other non-agency mortgage REITs comparable to MITT. • The market sees the value in MITT scaling through accretive M&amp;A transactions, as evidenced by the movement in MITT’s stock price in the lead-up to the announcement of its acquisition of Western Asset Mortgage Capital Corporation (“WMC”) in 2023 o After WMC had initially announced a transaction with a third party, MITT publicly announced its competing acquisition proposal which was followed by a sharp increase in MITT’s stock price relative to peers for the ensuing 5 days • Signals conviction in the impact of a larger equity capital base on liquidity and volume and cost synergies on pro forma earnings power, driving returns for shareholders (15.00%) (10.00%) (5.00%) 0.00% 5.00% 10.00% 15.00% 20.00% 6/27/23 7/1/23 7/5/23 7/9/23 7/13/23 7/17/23 7/21/23 7/25/23 7/29/23 8/2/23 8/6/23 P ri ce C h an ge ( % ) MITT WMC MITT Peer Group August 8, 2023: MITT &amp; WMC announce merger agreement July 13, 2023: MITT publicly announces WMC acquisition proposal (1) (1) June 28, 2023: WMC announces initial transaction with third party Price Performance Through WMC Acquisition Milestones Post WMC Bid Announcement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3" descr=""/>
                    <pic:cNvPicPr>
                      <a:picLocks noChangeAspect="1" noChangeArrowheads="1"/>
                    </pic:cNvPicPr>
                  </pic:nvPicPr>
                  <pic:blipFill>
                    <a:blip r:embed="rId2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11NYSE: MITT $0.10 $0.17 $0.21 $0.21 $0.17 $0.18 $0.20 $0.18 $0.23 $0.25 $0.26 $0.24 $0.05 $0.10 $0.15 $0.20 $0.25 $0.30 Q3 2023 Q4 2023 Q1 2024 Q2 2024 Q3 2024 Q4 2024 Q1 2025 Q2 2025 Q3 2025 Q4 2025 Q1 2026 Q2 2026 M IT T Q u ar te rl y EA D p er Sh ar e MITT Performance Since WMC Acquisition (20.0%) – 20.0% 40.0% 60.0% 80.0% 100.0% 120.0% Dec-23 Apr-24 Aug-24 Dec-24 Apr-25 Aug-25 Dec-25 Apr-26 Aug-26 To ta l R et u rn ( % ) MITT MITT Peer Group 71% 19% Source: S&amp;P Capital IQ Pro. 1) Market data as of August 7, 2026 and measures total return since December 5, 2023, the day prior to the closing of the WMC acquisition. 2) Peer group includes other non-agency mortgage REITs comparable to MITT. 3) % change figures calculated as most recently disclosed quarterly dividend relative to each company’s Q3 2023 quarterly dividend. 33.3% 12.5% 2.9% 0.0% 0.0% (10.0%) (13.3%) (16.7%) (24.4%)(30.0%) (20.0%) (10.0%) 0.0% 10.0% 20.0% 30.0% 40.0% MITT Peer 1 Peer 2 Peer 3 Peer 4 Peer 5 Peer 6 Peer 7 Peer 8 D iv id en d G ro w th ( % ) Total Return Since Western Asset Mortgage Capital Corporation Acquisition Closing(1) • MITT’s stock price has demonstrated significant momentum relative to its peer group since the successful acquisition of WMC in December 2023 Dividend and Earnings Available for Distribution Growth Since Q3 2023(2)(3) • MITT’s 140% EAD growth since Q3 2023 has powered a 33% quarterly dividend increase, significantly outperforming similar mortgage REITs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4" descr=""/>
                    <pic:cNvPicPr>
                      <a:picLocks noChangeAspect="1" noChangeArrowheads="1"/>
                    </pic:cNvPicPr>
                  </pic:nvPicPr>
                  <pic:blipFill>
                    <a:blip r:embed="rId2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5" descr=""/>
                    <pic:cNvPicPr>
                      <a:picLocks noChangeAspect="1" noChangeArrowheads="1"/>
                    </pic:cNvPicPr>
                  </pic:nvPicPr>
                  <pic:blipFill>
                    <a:blip r:embed="rId2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13NYSE: MITT TPG – A Scaled and Experienced Global Alternatives Manager 1) As of June 30, 2026. $327B(1) of AUM across public and private markets 1992 Founded in San Francisco and Fort Worth, Texas 700+ investment and operations professionals 1,900+ total TPG employees 30 offices globally Active Portfolio Company TPG Office TPG Co-Headquarters Fort Worth New York Washington, D.C. San Francisco Los Angeles Chicago Miami London Luxembourg Amsterdam Frankfurt Milan Melbourne Sydney Dubai Mumbai Singapore Seoul Beijing Hong Kong Shanghai Tokyo Cleveland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6" descr=""/>
                    <pic:cNvPicPr>
                      <a:picLocks noChangeAspect="1" noChangeArrowheads="1"/>
                    </pic:cNvPicPr>
                  </pic:nvPicPr>
                  <pic:blipFill>
                    <a:blip r:embed="rId2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www.mitt.tpg.com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175</Pages>
  <Words>99008</Words>
  <Characters>526774</Characters>
  <CharactersWithSpaces>625099</CharactersWithSpaces>
  <Paragraphs>1663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tpgmortgageinvestmenttru</dc:title>
</cp:coreProperties>
</file>