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75775.xml.htm"/>
      <w:bookmarkStart w:id="1" w:name="kswkform4_178587577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MITCHELL M CHRISTIAN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ANGELO, GORDON &amp; CO., L.P.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 PARK AVENUE, 26TH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TPG Mortgage Investment Trust, Inc.</w:t>
              </w:r>
            </w:hyperlink>
            <w:r>
              <w:rPr/>
              <w:t xml:space="preserve"> [ </w:t>
            </w:r>
            <w:r>
              <w:rPr>
                <w:rFonts w:ascii="Times;serif" w:hAnsi="Times;serif"/>
                <w:color w:val="0000FF"/>
                <w:sz w:val="24"/>
                <w:shd w:fill="FFFFFF" w:val="clear"/>
              </w:rPr>
              <w:t>MITT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7.09</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17,386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granted by the Issuer pursuant to dividend equivalent rights on previously awarded restricted stock units. The restricted stock units are fully vested, have no expiration, and will be settled in shares of the Issuer's common stock, on a one-for-one basis, upon the reporting person's separation from service with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Jenny B. Neslin, Attorney-in-Fact for M. Christian Mitchell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84574" TargetMode="External"/><Relationship Id="rId5" Type="http://schemas.openxmlformats.org/officeDocument/2006/relationships/hyperlink" Target="http://www.sec.gov/cgi-bin/browse-edgar?action=getcompany&amp;CIK=0001514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637</Words>
  <Characters>3462</Characters>
  <CharactersWithSpaces>4027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