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pPr>
      <w:r>
        <w:rPr>
          <w:rFonts w:ascii="Times New Roman;serif" w:hAnsi="Times New Roman;serif"/>
          <w:b/>
          <w:color w:val="000000"/>
          <w:sz w:val="20"/>
        </w:rPr>
        <w:t>Washington, D.C. 20549</w:t>
      </w:r>
      <w:r>
        <w:rPr>
          <w:color w:val="000000"/>
        </w:rPr>
        <w:t>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__________________________________________________</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288" w:before="0" w:after="60"/>
        <w:jc w:val="center"/>
        <w:rPr/>
      </w:pPr>
      <w:r>
        <w:rPr>
          <w:rFonts w:ascii="Times New Roman;serif" w:hAnsi="Times New Roman;serif"/>
          <w:b w:val="false"/>
          <w:color w:val="000000"/>
          <w:sz w:val="18"/>
        </w:rPr>
        <w:t>__________________________________________________</w:t>
      </w: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(Mark One)</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0"/>
        <w:ind w:left="0" w:right="0" w:firstLine="495"/>
        <w:jc w:val="both"/>
        <w:rPr>
          <w:rFonts w:ascii="Times New Roman;serif" w:hAnsi="Times New Roman;serif"/>
          <w:b/>
          <w:color w:val="000000"/>
          <w:sz w:val="20"/>
        </w:rPr>
      </w:pPr>
      <w:r>
        <w:rPr>
          <w:rFonts w:ascii="Times New Roman;serif" w:hAnsi="Times New Roman;serif"/>
          <w:b/>
          <w:color w:val="000000"/>
          <w:sz w:val="20"/>
        </w:rPr>
        <w:t xml:space="preserve">For the quarterly period ended June 30, 2026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120"/>
        <w:ind w:left="0" w:right="0" w:firstLine="495"/>
        <w:jc w:val="both"/>
        <w:rPr/>
      </w:pPr>
      <w:r>
        <w:rPr>
          <w:rFonts w:ascii="Times New Roman;serif" w:hAnsi="Times New Roman;serif"/>
          <w:b/>
          <w:color w:val="000000"/>
          <w:sz w:val="20"/>
        </w:rPr>
        <w:t>For the transition period from</w:t>
      </w:r>
      <w:r>
        <w:rPr>
          <w:color w:val="000000"/>
        </w:rPr>
        <w:t xml:space="preserve"> </w:t>
      </w:r>
      <w:r>
        <w:rPr>
          <w:color w:val="000000"/>
          <w:u w:val="single"/>
        </w:rPr>
        <w:t>                        </w:t>
      </w:r>
      <w:r>
        <w:rPr>
          <w:color w:val="000000"/>
        </w:rPr>
        <w:t xml:space="preserve"> </w:t>
      </w:r>
      <w:r>
        <w:rPr>
          <w:rFonts w:ascii="Times New Roman;serif" w:hAnsi="Times New Roman;serif"/>
          <w:b/>
          <w:color w:val="000000"/>
          <w:sz w:val="20"/>
        </w:rPr>
        <w:t>to</w:t>
      </w:r>
      <w:r>
        <w:rPr>
          <w:color w:val="000000"/>
        </w:rPr>
        <w:t xml:space="preserve"> </w:t>
      </w:r>
      <w:r>
        <w:rPr>
          <w:color w:val="000000"/>
          <w:u w:val="single"/>
        </w:rPr>
        <w:t>                        </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Commission file number 001-35151</w:t>
      </w:r>
    </w:p>
    <w:p>
      <w:pPr>
        <w:pStyle w:val="TextBody"/>
        <w:bidi w:val="0"/>
        <w:spacing w:lineRule="auto" w:line="288" w:before="0" w:after="60"/>
        <w:jc w:val="center"/>
        <w:rPr>
          <w:rFonts w:ascii="Times New Roman;serif" w:hAnsi="Times New Roman;serif"/>
          <w:b w:val="false"/>
          <w:color w:val="000000"/>
          <w:sz w:val="18"/>
        </w:rPr>
      </w:pPr>
      <w:r>
        <w:rPr>
          <w:rFonts w:ascii="Times New Roman;serif" w:hAnsi="Times New Roman;serif"/>
          <w:b w:val="false"/>
          <w:color w:val="000000"/>
          <w:sz w:val="18"/>
        </w:rPr>
        <w:t>_____________________________________________________________________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TPG MORTGAGE INVESTMENT TRUST, INC.</w:t>
      </w:r>
    </w:p>
    <w:p>
      <w:pPr>
        <w:pStyle w:val="TextBody"/>
        <w:bidi w:val="0"/>
        <w:spacing w:lineRule="auto" w:line="288" w:before="0" w:after="0"/>
        <w:jc w:val="center"/>
        <w:rPr/>
      </w:pPr>
      <w:r>
        <w:rPr>
          <w:rFonts w:ascii="Times New Roman;serif" w:hAnsi="Times New Roman;serif"/>
          <w:b/>
          <w:color w:val="000000"/>
          <w:sz w:val="20"/>
        </w:rPr>
        <w:t>(Exact name of registrant as specified in its charter)</w:t>
      </w:r>
      <w:r>
        <w:rPr>
          <w:color w:val="000000"/>
        </w:rPr>
        <w:t>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_____________________________________________________________________ </w:t>
      </w:r>
    </w:p>
    <w:tbl>
      <w:tblPr>
        <w:tblW w:w="5008" w:type="dxa"/>
        <w:jc w:val="center"/>
        <w:tblInd w:w="0" w:type="dxa"/>
        <w:tblLayout w:type="fixed"/>
        <w:tblCellMar>
          <w:top w:w="28" w:type="dxa"/>
          <w:left w:w="28" w:type="dxa"/>
          <w:bottom w:w="28" w:type="dxa"/>
          <w:right w:w="28" w:type="dxa"/>
        </w:tblCellMar>
      </w:tblPr>
      <w:tblGrid>
        <w:gridCol w:w="1214"/>
        <w:gridCol w:w="1070"/>
        <w:gridCol w:w="1075"/>
        <w:gridCol w:w="481"/>
        <w:gridCol w:w="481"/>
        <w:gridCol w:w="687"/>
      </w:tblGrid>
      <w:tr>
        <w:trPr/>
        <w:tc>
          <w:tcPr>
            <w:tcW w:w="121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Maryland</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27-5254382</w:t>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Incorporation or Organization)</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245 Park Avenue, 26th Floor</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New York, New York</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10167</w:t>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(212) 692-2000</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tbl>
      <w:tblPr>
        <w:tblW w:w="10205" w:type="dxa"/>
        <w:jc w:val="left"/>
        <w:tblInd w:w="0" w:type="dxa"/>
        <w:tblLayout w:type="fixed"/>
        <w:tblCellMar>
          <w:top w:w="28" w:type="dxa"/>
          <w:left w:w="28" w:type="dxa"/>
          <w:bottom w:w="28" w:type="dxa"/>
          <w:right w:w="28" w:type="dxa"/>
        </w:tblCellMar>
      </w:tblPr>
      <w:tblGrid>
        <w:gridCol w:w="1851"/>
        <w:gridCol w:w="1444"/>
        <w:gridCol w:w="1439"/>
        <w:gridCol w:w="235"/>
        <w:gridCol w:w="235"/>
        <w:gridCol w:w="235"/>
        <w:gridCol w:w="421"/>
        <w:gridCol w:w="421"/>
        <w:gridCol w:w="397"/>
        <w:gridCol w:w="235"/>
        <w:gridCol w:w="235"/>
        <w:gridCol w:w="235"/>
        <w:gridCol w:w="828"/>
        <w:gridCol w:w="828"/>
        <w:gridCol w:w="1166"/>
      </w:tblGrid>
      <w:tr>
        <w:trPr/>
        <w:tc>
          <w:tcPr>
            <w:tcW w:w="1851"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c>
      </w:tr>
      <w:tr>
        <w:trPr/>
        <w:tc>
          <w:tcPr>
            <w:tcW w:w="4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47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$0.01 par value per share</w:t>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MITT</w:t>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New York Stock Exchange (NYSE)</w:t>
            </w:r>
          </w:p>
        </w:tc>
      </w:tr>
      <w:tr>
        <w:trPr/>
        <w:tc>
          <w:tcPr>
            <w:tcW w:w="4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8.25% Series A Cumulative Redeemable Preferred Stock</w:t>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MITT PrA</w:t>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New York Stock Exchange (NYSE)</w:t>
            </w:r>
          </w:p>
        </w:tc>
      </w:tr>
      <w:tr>
        <w:trPr/>
        <w:tc>
          <w:tcPr>
            <w:tcW w:w="4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8.00% Series B Cumulative Redeemable Preferred Stock</w:t>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MITT PrB</w:t>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New York Stock Exchange (NYSE)</w:t>
            </w:r>
          </w:p>
        </w:tc>
      </w:tr>
      <w:tr>
        <w:trPr/>
        <w:tc>
          <w:tcPr>
            <w:tcW w:w="4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8.000% Series C Fixed-to-Floating Rate Cumulative Redeemable Preferred Stock</w:t>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MITT PrC</w:t>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New York Stock Exchange (NYSE)</w:t>
            </w:r>
          </w:p>
        </w:tc>
      </w:tr>
      <w:tr>
        <w:trPr/>
        <w:tc>
          <w:tcPr>
            <w:tcW w:w="4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9.500% Senior Notes due 2029</w:t>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MITN</w:t>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2"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erif" w:hAnsi="Times New Roman;serif"/>
                <w:b w:val="false"/>
                <w:color w:val="000000"/>
                <w:sz w:val="16"/>
              </w:rPr>
              <w:t>New York Stock Exchange (NYSE)</w:t>
            </w:r>
          </w:p>
        </w:tc>
      </w:tr>
      <w:tr>
        <w:trPr/>
        <w:tc>
          <w:tcPr>
            <w:tcW w:w="4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9.500% Senior Notes due 2029</w:t>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MITP</w:t>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New York Stock Exchange (NYSE)</w:t>
            </w:r>
          </w:p>
        </w:tc>
      </w:tr>
    </w:tbl>
    <w:p>
      <w:pPr>
        <w:pStyle w:val="TextBody"/>
        <w:bidi w:val="0"/>
        <w:spacing w:lineRule="auto" w:line="288" w:before="0" w:after="120"/>
        <w:ind w:left="0" w:right="0" w:firstLine="720"/>
        <w:jc w:val="both"/>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 xml:space="preserve">No   </w:t>
      </w:r>
      <w:r>
        <w:rPr>
          <w:color w:val="000000"/>
        </w:rPr>
        <w:t>☐</w:t>
      </w:r>
    </w:p>
    <w:p>
      <w:pPr>
        <w:pStyle w:val="TextBody"/>
        <w:bidi w:val="0"/>
        <w:spacing w:lineRule="auto" w:line="288" w:before="0" w:after="120"/>
        <w:ind w:left="0" w:right="0" w:firstLine="720"/>
        <w:jc w:val="both"/>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and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lineRule="auto" w:line="288" w:before="0" w:after="120"/>
        <w:ind w:left="0" w:right="0" w:firstLine="720"/>
        <w:jc w:val="both"/>
        <w:rPr/>
      </w:pPr>
      <w:r>
        <w:rPr>
          <w:rFonts w:ascii="Times New Roman;serif" w:hAnsi="Times New Roman;serif"/>
          <w:b w:val="false"/>
          <w:color w:val="000000"/>
          <w:sz w:val="20"/>
        </w:rPr>
        <w:t xml:space="preserve">Large Accelerated filer </w:t>
      </w:r>
      <w:r>
        <w:rPr>
          <w:color w:val="000000"/>
        </w:rPr>
        <w:t>☐     </w:t>
      </w:r>
      <w:r>
        <w:rPr>
          <w:rFonts w:ascii="Times New Roman;serif" w:hAnsi="Times New Roman;serif"/>
          <w:b w:val="false"/>
          <w:color w:val="000000"/>
          <w:sz w:val="20"/>
        </w:rPr>
        <w:t xml:space="preserve">Accelerated filer </w:t>
      </w:r>
      <w:r>
        <w:rPr>
          <w:color w:val="000000"/>
        </w:rPr>
        <w:t xml:space="preserve">☒ </w:t>
      </w:r>
      <w:r>
        <w:rPr>
          <w:rFonts w:ascii="Times New Roman;serif" w:hAnsi="Times New Roman;serif"/>
          <w:b w:val="false"/>
          <w:color w:val="000000"/>
          <w:sz w:val="20"/>
        </w:rPr>
        <w:t>Non-Accelerated filer </w:t>
      </w:r>
      <w:r>
        <w:rPr>
          <w:color w:val="000000"/>
        </w:rPr>
        <w:t>☐ </w:t>
      </w:r>
      <w:r>
        <w:rPr>
          <w:rFonts w:ascii="Times New Roman;serif" w:hAnsi="Times New Roman;serif"/>
          <w:b w:val="false"/>
          <w:color w:val="000000"/>
          <w:sz w:val="20"/>
        </w:rPr>
        <w:t xml:space="preserve">Smaller reporting company </w:t>
      </w:r>
      <w:r>
        <w:rPr>
          <w:color w:val="000000"/>
        </w:rPr>
        <w:t>☒  </w:t>
      </w: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0" w:after="120"/>
        <w:jc w:val="both"/>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   </w:t>
      </w:r>
    </w:p>
    <w:p>
      <w:pPr>
        <w:pStyle w:val="TextBody"/>
        <w:bidi w:val="0"/>
        <w:spacing w:lineRule="auto" w:line="288" w:before="0" w:after="0"/>
        <w:ind w:left="0" w:right="0" w:firstLine="8640"/>
        <w:jc w:val="right"/>
        <w:rPr/>
      </w:pPr>
      <w:r>
        <w:rPr>
          <w:rFonts w:ascii="Times New Roman;serif" w:hAnsi="Times New Roman;serif"/>
          <w:b w:val="false"/>
          <w:color w:val="000000"/>
          <w:sz w:val="20"/>
        </w:rPr>
        <w:t xml:space="preserve">Yes   </w:t>
      </w:r>
      <w:r>
        <w:rPr>
          <w:color w:val="000000"/>
        </w:rPr>
        <w:t>☐     </w:t>
      </w:r>
      <w:r>
        <w:rPr>
          <w:rFonts w:ascii="Times New Roman;serif" w:hAnsi="Times New Roman;serif"/>
          <w:b w:val="false"/>
          <w:color w:val="000000"/>
          <w:sz w:val="20"/>
        </w:rPr>
        <w:t xml:space="preserve">No   </w:t>
      </w:r>
      <w:r>
        <w:rPr>
          <w:color w:val="000000"/>
        </w:rPr>
        <w:t>☒</w:t>
      </w:r>
    </w:p>
    <w:p>
      <w:pPr>
        <w:pStyle w:val="TextBody"/>
        <w:bidi w:val="0"/>
        <w:spacing w:lineRule="auto" w:line="288" w:before="0" w:after="120"/>
        <w:jc w:val="left"/>
        <w:rPr>
          <w:rFonts w:ascii="Times New Roman;serif" w:hAnsi="Times New Roman;serif"/>
          <w:b w:val="false"/>
          <w:color w:val="000000"/>
          <w:sz w:val="18"/>
        </w:rPr>
      </w:pPr>
      <w:r>
        <w:rPr>
          <w:rFonts w:ascii="Times New Roman;serif" w:hAnsi="Times New Roman;serif"/>
          <w:b w:val="false"/>
          <w:color w:val="000000"/>
          <w:sz w:val="18"/>
        </w:rPr>
        <w:t>As of August 5, 2026, there were 31,803,475 outstanding shares of common stock of TPG Mortgage Investment Trust, Inc.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TPG MORTGAGE INVESTMENT TRUST,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613"/>
        <w:gridCol w:w="538"/>
        <w:gridCol w:w="538"/>
        <w:gridCol w:w="2679"/>
        <w:gridCol w:w="2608"/>
        <w:gridCol w:w="2654"/>
        <w:gridCol w:w="167"/>
        <w:gridCol w:w="167"/>
        <w:gridCol w:w="241"/>
      </w:tblGrid>
      <w:tr>
        <w:trPr/>
        <w:tc>
          <w:tcPr>
            <w:tcW w:w="61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2679" w:type="dxa"/>
            <w:tcBorders/>
            <w:vAlign w:val="center"/>
          </w:tcPr>
          <w:p>
            <w:pPr>
              <w:pStyle w:val="TableContents"/>
              <w:bidi w:val="0"/>
              <w:spacing w:before="0" w:after="283"/>
              <w:jc w:val="left"/>
              <w:rPr>
                <w:sz w:val="4"/>
                <w:szCs w:val="4"/>
              </w:rPr>
            </w:pPr>
            <w:r>
              <w:rPr>
                <w:sz w:val="4"/>
                <w:szCs w:val="4"/>
              </w:rPr>
            </w:r>
          </w:p>
        </w:tc>
        <w:tc>
          <w:tcPr>
            <w:tcW w:w="2608" w:type="dxa"/>
            <w:tcBorders/>
            <w:vAlign w:val="center"/>
          </w:tcPr>
          <w:p>
            <w:pPr>
              <w:pStyle w:val="TableContents"/>
              <w:bidi w:val="0"/>
              <w:spacing w:before="0" w:after="283"/>
              <w:jc w:val="left"/>
              <w:rPr>
                <w:sz w:val="4"/>
                <w:szCs w:val="4"/>
              </w:rPr>
            </w:pPr>
            <w:r>
              <w:rPr>
                <w:sz w:val="4"/>
                <w:szCs w:val="4"/>
              </w:rPr>
            </w:r>
          </w:p>
        </w:tc>
        <w:tc>
          <w:tcPr>
            <w:tcW w:w="265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963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9630"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102f031cee543db89aa3a5b502b4134_10">
              <w:r>
                <w:rPr>
                  <w:rStyle w:val="InternetLink"/>
                  <w:rFonts w:ascii="Times New Roman;serif" w:hAnsi="Times New Roman;serif"/>
                  <w:b/>
                  <w:color w:val="0000FF"/>
                  <w:sz w:val="20"/>
                  <w:u w:val="single"/>
                </w:rPr>
                <w:t>PART I.     FINANCIAL INFORMATION</w:t>
              </w:r>
            </w:hyperlink>
          </w:p>
        </w:tc>
        <w:tc>
          <w:tcPr>
            <w:tcW w:w="57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102f031cee543db89aa3a5b502b4134_13">
              <w:r>
                <w:rPr>
                  <w:rStyle w:val="InternetLink"/>
                  <w:rFonts w:ascii="Times New Roman;serif" w:hAnsi="Times New Roman;serif"/>
                  <w:b w:val="false"/>
                  <w:color w:val="0000FF"/>
                  <w:sz w:val="20"/>
                  <w:u w:val="single"/>
                </w:rPr>
                <w:t>Item 1.</w:t>
              </w:r>
            </w:hyperlink>
          </w:p>
        </w:tc>
        <w:tc>
          <w:tcPr>
            <w:tcW w:w="79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102f031cee543db89aa3a5b502b4134_13">
              <w:r>
                <w:rPr>
                  <w:rStyle w:val="InternetLink"/>
                  <w:rFonts w:ascii="Times New Roman;serif" w:hAnsi="Times New Roman;serif"/>
                  <w:b w:val="false"/>
                  <w:color w:val="0000FF"/>
                  <w:sz w:val="20"/>
                  <w:u w:val="single"/>
                </w:rPr>
                <w:t>Financial Statements (unaudited)</w:t>
              </w:r>
            </w:hyperlink>
          </w:p>
        </w:tc>
        <w:tc>
          <w:tcPr>
            <w:tcW w:w="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102f031cee543db89aa3a5b502b4134_16">
              <w:r>
                <w:rPr>
                  <w:rStyle w:val="InternetLink"/>
                  <w:rFonts w:ascii="Times New Roman;serif" w:hAnsi="Times New Roman;serif"/>
                  <w:b w:val="false"/>
                  <w:color w:val="0000FF"/>
                  <w:sz w:val="20"/>
                  <w:u w:val="single"/>
                </w:rPr>
                <w:t>Consolidated Balance Sheets as of June 30, 2026 and December 31, 2025</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102f031cee543db89aa3a5b502b4134_16">
              <w:r>
                <w:rPr>
                  <w:rStyle w:val="InternetLink"/>
                  <w:rFonts w:ascii="Times New Roman;serif" w:hAnsi="Times New Roman;serif"/>
                  <w:b w:val="false"/>
                  <w:color w:val="0000FF"/>
                  <w:sz w:val="20"/>
                  <w:u w:val="single"/>
                </w:rPr>
                <w:t>3</w:t>
              </w:r>
            </w:hyperlink>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102f031cee543db89aa3a5b502b4134_22">
              <w:r>
                <w:rPr>
                  <w:rStyle w:val="InternetLink"/>
                  <w:rFonts w:ascii="Times New Roman;serif" w:hAnsi="Times New Roman;serif"/>
                  <w:b w:val="false"/>
                  <w:color w:val="0000FF"/>
                  <w:sz w:val="20"/>
                  <w:u w:val="single"/>
                </w:rPr>
                <w:t>Consolidated Statements of Operations for the three and six months ended June 30, 2026 and 2025</w:t>
              </w:r>
            </w:hyperlink>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102f031cee543db89aa3a5b502b4134_22">
              <w:r>
                <w:rPr>
                  <w:rStyle w:val="InternetLink"/>
                  <w:rFonts w:ascii="Times New Roman;serif" w:hAnsi="Times New Roman;serif"/>
                  <w:b w:val="false"/>
                  <w:color w:val="0000FF"/>
                  <w:sz w:val="20"/>
                  <w:u w:val="single"/>
                </w:rPr>
                <w:t>4</w:t>
              </w:r>
            </w:hyperlink>
          </w:p>
        </w:tc>
      </w:tr>
      <w:tr>
        <w:trPr/>
        <w:tc>
          <w:tcPr>
            <w:tcW w:w="1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102f031cee543db89aa3a5b502b4134_28">
              <w:r>
                <w:rPr>
                  <w:rStyle w:val="InternetLink"/>
                  <w:rFonts w:ascii="Times New Roman;serif" w:hAnsi="Times New Roman;serif"/>
                  <w:b w:val="false"/>
                  <w:color w:val="0000FF"/>
                  <w:sz w:val="20"/>
                  <w:u w:val="single"/>
                </w:rPr>
                <w:t>Consolidated Statements of Stockholders’ Equity for the three and six months ended June 30, 2026 and 2025</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102f031cee543db89aa3a5b502b4134_28">
              <w:r>
                <w:rPr>
                  <w:rStyle w:val="InternetLink"/>
                  <w:rFonts w:ascii="Times New Roman;serif" w:hAnsi="Times New Roman;serif"/>
                  <w:b w:val="false"/>
                  <w:color w:val="0000FF"/>
                  <w:sz w:val="20"/>
                  <w:u w:val="single"/>
                </w:rPr>
                <w:t>5</w:t>
              </w:r>
            </w:hyperlink>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102f031cee543db89aa3a5b502b4134_34">
              <w:r>
                <w:rPr>
                  <w:rStyle w:val="InternetLink"/>
                  <w:rFonts w:ascii="Times New Roman;serif" w:hAnsi="Times New Roman;serif"/>
                  <w:b w:val="false"/>
                  <w:color w:val="0000FF"/>
                  <w:sz w:val="20"/>
                  <w:u w:val="single"/>
                </w:rPr>
                <w:t>Consolidated Statements of Cash Flows for the six months ended June 30, 2026 and 2025</w:t>
              </w:r>
            </w:hyperlink>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102f031cee543db89aa3a5b502b4134_34">
              <w:r>
                <w:rPr>
                  <w:rStyle w:val="InternetLink"/>
                  <w:rFonts w:ascii="Times New Roman;serif" w:hAnsi="Times New Roman;serif"/>
                  <w:b w:val="false"/>
                  <w:color w:val="0000FF"/>
                  <w:sz w:val="20"/>
                  <w:u w:val="single"/>
                </w:rPr>
                <w:t>6</w:t>
              </w:r>
            </w:hyperlink>
          </w:p>
        </w:tc>
      </w:tr>
      <w:tr>
        <w:trPr/>
        <w:tc>
          <w:tcPr>
            <w:tcW w:w="1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102f031cee543db89aa3a5b502b4134_37">
              <w:r>
                <w:rPr>
                  <w:rStyle w:val="InternetLink"/>
                  <w:rFonts w:ascii="Times New Roman;serif" w:hAnsi="Times New Roman;serif"/>
                  <w:b w:val="false"/>
                  <w:color w:val="0000FF"/>
                  <w:sz w:val="20"/>
                  <w:u w:val="single"/>
                </w:rPr>
                <w:t>Notes to Consolidated Financial Statements (unaudited)</w:t>
              </w:r>
            </w:hyperlink>
          </w:p>
        </w:tc>
        <w:tc>
          <w:tcPr>
            <w:tcW w:w="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102f031cee543db89aa3a5b502b4134_40">
              <w:r>
                <w:rPr>
                  <w:rStyle w:val="InternetLink"/>
                  <w:rFonts w:ascii="Times New Roman;serif" w:hAnsi="Times New Roman;serif"/>
                  <w:b w:val="false"/>
                  <w:color w:val="0000FF"/>
                  <w:sz w:val="20"/>
                  <w:u w:val="single"/>
                </w:rPr>
                <w:t>Note 1. Organization</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102f031cee543db89aa3a5b502b4134_40">
              <w:r>
                <w:rPr>
                  <w:rStyle w:val="InternetLink"/>
                  <w:rFonts w:ascii="Times New Roman;serif" w:hAnsi="Times New Roman;serif"/>
                  <w:b w:val="false"/>
                  <w:color w:val="0000FF"/>
                  <w:sz w:val="20"/>
                  <w:u w:val="single"/>
                </w:rPr>
                <w:t>8</w:t>
              </w:r>
            </w:hyperlink>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102f031cee543db89aa3a5b502b4134_43">
              <w:r>
                <w:rPr>
                  <w:rStyle w:val="InternetLink"/>
                  <w:rFonts w:ascii="Times New Roman;serif" w:hAnsi="Times New Roman;serif"/>
                  <w:b w:val="false"/>
                  <w:color w:val="0000FF"/>
                  <w:sz w:val="20"/>
                  <w:u w:val="single"/>
                </w:rPr>
                <w:t>Note 2. Summary of Significant Accounting Policies</w:t>
              </w:r>
            </w:hyperlink>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102f031cee543db89aa3a5b502b4134_43">
              <w:r>
                <w:rPr>
                  <w:rStyle w:val="InternetLink"/>
                  <w:rFonts w:ascii="Times New Roman;serif" w:hAnsi="Times New Roman;serif"/>
                  <w:b w:val="false"/>
                  <w:color w:val="0000FF"/>
                  <w:sz w:val="20"/>
                  <w:u w:val="single"/>
                </w:rPr>
                <w:t>9</w:t>
              </w:r>
            </w:hyperlink>
          </w:p>
        </w:tc>
      </w:tr>
      <w:tr>
        <w:trPr/>
        <w:tc>
          <w:tcPr>
            <w:tcW w:w="1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102f031cee543db89aa3a5b502b4134_49">
              <w:r>
                <w:rPr>
                  <w:rStyle w:val="InternetLink"/>
                  <w:rFonts w:ascii="Times New Roman;serif" w:hAnsi="Times New Roman;serif"/>
                  <w:b w:val="false"/>
                  <w:color w:val="0000FF"/>
                  <w:sz w:val="20"/>
                  <w:u w:val="single"/>
                </w:rPr>
                <w:t>Note 3. Loans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102f031cee543db89aa3a5b502b4134_49">
              <w:r>
                <w:rPr>
                  <w:rStyle w:val="InternetLink"/>
                  <w:rFonts w:ascii="Times New Roman;serif" w:hAnsi="Times New Roman;serif"/>
                  <w:b w:val="false"/>
                  <w:color w:val="0000FF"/>
                  <w:sz w:val="20"/>
                  <w:u w:val="single"/>
                </w:rPr>
                <w:t>12</w:t>
              </w:r>
            </w:hyperlink>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102f031cee543db89aa3a5b502b4134_55">
              <w:r>
                <w:rPr>
                  <w:rStyle w:val="InternetLink"/>
                  <w:rFonts w:ascii="Times New Roman;serif" w:hAnsi="Times New Roman;serif"/>
                  <w:b w:val="false"/>
                  <w:color w:val="0000FF"/>
                  <w:sz w:val="20"/>
                  <w:u w:val="single"/>
                </w:rPr>
                <w:t>Note 4. Real Estate Securities</w:t>
              </w:r>
            </w:hyperlink>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102f031cee543db89aa3a5b502b4134_55">
              <w:r>
                <w:rPr>
                  <w:rStyle w:val="InternetLink"/>
                  <w:rFonts w:ascii="Times New Roman;serif" w:hAnsi="Times New Roman;serif"/>
                  <w:b w:val="false"/>
                  <w:color w:val="0000FF"/>
                  <w:sz w:val="20"/>
                  <w:u w:val="single"/>
                </w:rPr>
                <w:t>17</w:t>
              </w:r>
            </w:hyperlink>
          </w:p>
        </w:tc>
      </w:tr>
      <w:tr>
        <w:trPr/>
        <w:tc>
          <w:tcPr>
            <w:tcW w:w="1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102f031cee543db89aa3a5b502b4134_61">
              <w:r>
                <w:rPr>
                  <w:rStyle w:val="InternetLink"/>
                  <w:rFonts w:ascii="Times New Roman;serif" w:hAnsi="Times New Roman;serif"/>
                  <w:b w:val="false"/>
                  <w:color w:val="0000FF"/>
                  <w:sz w:val="20"/>
                  <w:u w:val="single"/>
                </w:rPr>
                <w:t>Note 5. Fair Value Measurements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102f031cee543db89aa3a5b502b4134_61">
              <w:r>
                <w:rPr>
                  <w:rStyle w:val="InternetLink"/>
                  <w:rFonts w:ascii="Times New Roman;serif" w:hAnsi="Times New Roman;serif"/>
                  <w:b w:val="false"/>
                  <w:color w:val="0000FF"/>
                  <w:sz w:val="20"/>
                  <w:u w:val="single"/>
                </w:rPr>
                <w:t>18</w:t>
              </w:r>
            </w:hyperlink>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102f031cee543db89aa3a5b502b4134_67">
              <w:r>
                <w:rPr>
                  <w:rStyle w:val="InternetLink"/>
                  <w:rFonts w:ascii="Times New Roman;serif" w:hAnsi="Times New Roman;serif"/>
                  <w:b w:val="false"/>
                  <w:color w:val="0000FF"/>
                  <w:sz w:val="20"/>
                  <w:u w:val="single"/>
                </w:rPr>
                <w:t>Note 6. Financing</w:t>
              </w:r>
            </w:hyperlink>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102f031cee543db89aa3a5b502b4134_67">
              <w:r>
                <w:rPr>
                  <w:rStyle w:val="InternetLink"/>
                  <w:rFonts w:ascii="Times New Roman;serif" w:hAnsi="Times New Roman;serif"/>
                  <w:b w:val="false"/>
                  <w:color w:val="0000FF"/>
                  <w:sz w:val="20"/>
                  <w:u w:val="single"/>
                </w:rPr>
                <w:t>24</w:t>
              </w:r>
            </w:hyperlink>
          </w:p>
        </w:tc>
      </w:tr>
      <w:tr>
        <w:trPr/>
        <w:tc>
          <w:tcPr>
            <w:tcW w:w="1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102f031cee543db89aa3a5b502b4134_73">
              <w:r>
                <w:rPr>
                  <w:rStyle w:val="InternetLink"/>
                  <w:rFonts w:ascii="Times New Roman;serif" w:hAnsi="Times New Roman;serif"/>
                  <w:b w:val="false"/>
                  <w:color w:val="0000FF"/>
                  <w:sz w:val="20"/>
                  <w:u w:val="single"/>
                </w:rPr>
                <w:t>Note 7. Other Assets and Liabilities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102f031cee543db89aa3a5b502b4134_73">
              <w:r>
                <w:rPr>
                  <w:rStyle w:val="InternetLink"/>
                  <w:rFonts w:ascii="Times New Roman;serif" w:hAnsi="Times New Roman;serif"/>
                  <w:b w:val="false"/>
                  <w:color w:val="0000FF"/>
                  <w:sz w:val="20"/>
                  <w:u w:val="single"/>
                </w:rPr>
                <w:t>27</w:t>
              </w:r>
            </w:hyperlink>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102f031cee543db89aa3a5b502b4134_79">
              <w:r>
                <w:rPr>
                  <w:rStyle w:val="InternetLink"/>
                  <w:rFonts w:ascii="Times New Roman;serif" w:hAnsi="Times New Roman;serif"/>
                  <w:b w:val="false"/>
                  <w:color w:val="0000FF"/>
                  <w:sz w:val="20"/>
                  <w:u w:val="single"/>
                </w:rPr>
                <w:t>Note 8. Earnings Per Share</w:t>
              </w:r>
            </w:hyperlink>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102f031cee543db89aa3a5b502b4134_79">
              <w:r>
                <w:rPr>
                  <w:rStyle w:val="InternetLink"/>
                  <w:rFonts w:ascii="Times New Roman;serif" w:hAnsi="Times New Roman;serif"/>
                  <w:b w:val="false"/>
                  <w:color w:val="0000FF"/>
                  <w:sz w:val="20"/>
                  <w:u w:val="single"/>
                </w:rPr>
                <w:t>29</w:t>
              </w:r>
            </w:hyperlink>
          </w:p>
        </w:tc>
      </w:tr>
      <w:tr>
        <w:trPr/>
        <w:tc>
          <w:tcPr>
            <w:tcW w:w="1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102f031cee543db89aa3a5b502b4134_88">
              <w:r>
                <w:rPr>
                  <w:rStyle w:val="InternetLink"/>
                  <w:rFonts w:ascii="Times New Roman;serif" w:hAnsi="Times New Roman;serif"/>
                  <w:b w:val="false"/>
                  <w:color w:val="0000FF"/>
                  <w:sz w:val="20"/>
                  <w:u w:val="single"/>
                </w:rPr>
                <w:t>Note 9. Income Taxes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102f031cee543db89aa3a5b502b4134_88">
              <w:r>
                <w:rPr>
                  <w:rStyle w:val="InternetLink"/>
                  <w:rFonts w:ascii="Times New Roman;serif" w:hAnsi="Times New Roman;serif"/>
                  <w:b w:val="false"/>
                  <w:color w:val="0000FF"/>
                  <w:sz w:val="20"/>
                  <w:u w:val="single"/>
                </w:rPr>
                <w:t>30</w:t>
              </w:r>
            </w:hyperlink>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102f031cee543db89aa3a5b502b4134_91">
              <w:r>
                <w:rPr>
                  <w:rStyle w:val="InternetLink"/>
                  <w:rFonts w:ascii="Times New Roman;serif" w:hAnsi="Times New Roman;serif"/>
                  <w:b w:val="false"/>
                  <w:color w:val="0000FF"/>
                  <w:sz w:val="20"/>
                  <w:u w:val="single"/>
                </w:rPr>
                <w:t>Note 10. Related Party Transactions</w:t>
              </w:r>
            </w:hyperlink>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102f031cee543db89aa3a5b502b4134_91">
              <w:r>
                <w:rPr>
                  <w:rStyle w:val="InternetLink"/>
                  <w:rFonts w:ascii="Times New Roman;serif" w:hAnsi="Times New Roman;serif"/>
                  <w:b w:val="false"/>
                  <w:color w:val="0000FF"/>
                  <w:sz w:val="20"/>
                  <w:u w:val="single"/>
                </w:rPr>
                <w:t>31</w:t>
              </w:r>
            </w:hyperlink>
          </w:p>
        </w:tc>
      </w:tr>
      <w:tr>
        <w:trPr/>
        <w:tc>
          <w:tcPr>
            <w:tcW w:w="1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102f031cee543db89aa3a5b502b4134_94">
              <w:r>
                <w:rPr>
                  <w:rStyle w:val="InternetLink"/>
                  <w:rFonts w:ascii="Times New Roman;serif" w:hAnsi="Times New Roman;serif"/>
                  <w:b w:val="false"/>
                  <w:color w:val="0000FF"/>
                  <w:sz w:val="20"/>
                  <w:u w:val="single"/>
                </w:rPr>
                <w:t>Note 11. Equity</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102f031cee543db89aa3a5b502b4134_94">
              <w:r>
                <w:rPr>
                  <w:rStyle w:val="InternetLink"/>
                  <w:rFonts w:ascii="Times New Roman;serif" w:hAnsi="Times New Roman;serif"/>
                  <w:b w:val="false"/>
                  <w:color w:val="0000FF"/>
                  <w:sz w:val="20"/>
                  <w:u w:val="single"/>
                </w:rPr>
                <w:t>36</w:t>
              </w:r>
            </w:hyperlink>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102f031cee543db89aa3a5b502b4134_100">
              <w:r>
                <w:rPr>
                  <w:rStyle w:val="InternetLink"/>
                  <w:rFonts w:ascii="Times New Roman;serif" w:hAnsi="Times New Roman;serif"/>
                  <w:b w:val="false"/>
                  <w:color w:val="0000FF"/>
                  <w:sz w:val="20"/>
                  <w:u w:val="single"/>
                </w:rPr>
                <w:t>Note 12. Commitments and Contingencies</w:t>
              </w:r>
            </w:hyperlink>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102f031cee543db89aa3a5b502b4134_100">
              <w:r>
                <w:rPr>
                  <w:rStyle w:val="InternetLink"/>
                  <w:rFonts w:ascii="Times New Roman;serif" w:hAnsi="Times New Roman;serif"/>
                  <w:b w:val="false"/>
                  <w:color w:val="0000FF"/>
                  <w:sz w:val="20"/>
                  <w:u w:val="single"/>
                </w:rPr>
                <w:t>39</w:t>
              </w:r>
            </w:hyperlink>
          </w:p>
        </w:tc>
      </w:tr>
      <w:tr>
        <w:trPr/>
        <w:tc>
          <w:tcPr>
            <w:tcW w:w="1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102f031cee543db89aa3a5b502b4134_103">
              <w:r>
                <w:rPr>
                  <w:rStyle w:val="InternetLink"/>
                  <w:rFonts w:ascii="Times New Roman;serif" w:hAnsi="Times New Roman;serif"/>
                  <w:b w:val="false"/>
                  <w:color w:val="0000FF"/>
                  <w:sz w:val="20"/>
                  <w:u w:val="single"/>
                </w:rPr>
                <w:t>Note 13. Segment Reporting</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102f031cee543db89aa3a5b502b4134_103">
              <w:r>
                <w:rPr>
                  <w:rStyle w:val="InternetLink"/>
                  <w:rFonts w:ascii="Times New Roman;serif" w:hAnsi="Times New Roman;serif"/>
                  <w:b w:val="false"/>
                  <w:color w:val="0000FF"/>
                  <w:sz w:val="20"/>
                  <w:u w:val="single"/>
                </w:rPr>
                <w:t>39</w:t>
              </w:r>
            </w:hyperlink>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102f031cee543db89aa3a5b502b4134_106">
              <w:r>
                <w:rPr>
                  <w:rStyle w:val="InternetLink"/>
                  <w:rFonts w:ascii="Times New Roman;serif" w:hAnsi="Times New Roman;serif"/>
                  <w:b w:val="false"/>
                  <w:color w:val="0000FF"/>
                  <w:sz w:val="20"/>
                  <w:u w:val="single"/>
                </w:rPr>
                <w:t>Note 14. Subsequent Events</w:t>
              </w:r>
            </w:hyperlink>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102f031cee543db89aa3a5b502b4134_106">
              <w:r>
                <w:rPr>
                  <w:rStyle w:val="InternetLink"/>
                  <w:rFonts w:ascii="Times New Roman;serif" w:hAnsi="Times New Roman;serif"/>
                  <w:b w:val="false"/>
                  <w:color w:val="0000FF"/>
                  <w:sz w:val="20"/>
                  <w:u w:val="single"/>
                </w:rPr>
                <w:t>42</w:t>
              </w:r>
            </w:hyperlink>
          </w:p>
        </w:tc>
      </w:tr>
      <w:tr>
        <w:trPr/>
        <w:tc>
          <w:tcPr>
            <w:tcW w:w="1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102f031cee543db89aa3a5b502b4134_109">
              <w:r>
                <w:rPr>
                  <w:rStyle w:val="InternetLink"/>
                  <w:rFonts w:ascii="Times New Roman;serif" w:hAnsi="Times New Roman;serif"/>
                  <w:b w:val="false"/>
                  <w:color w:val="0000FF"/>
                  <w:sz w:val="20"/>
                  <w:u w:val="single"/>
                </w:rPr>
                <w:t>Item 2.</w:t>
              </w:r>
            </w:hyperlink>
          </w:p>
        </w:tc>
        <w:tc>
          <w:tcPr>
            <w:tcW w:w="79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102f031cee543db89aa3a5b502b4134_109">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102f031cee543db89aa3a5b502b4134_109">
              <w:r>
                <w:rPr>
                  <w:rStyle w:val="InternetLink"/>
                  <w:rFonts w:ascii="Times New Roman;serif" w:hAnsi="Times New Roman;serif"/>
                  <w:b w:val="false"/>
                  <w:color w:val="0000FF"/>
                  <w:sz w:val="20"/>
                  <w:u w:val="single"/>
                </w:rPr>
                <w:t>44</w:t>
              </w:r>
            </w:hyperlink>
          </w:p>
        </w:tc>
      </w:tr>
      <w:tr>
        <w:trPr/>
        <w:tc>
          <w:tcPr>
            <w:tcW w:w="1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102f031cee543db89aa3a5b502b4134_118">
              <w:r>
                <w:rPr>
                  <w:rStyle w:val="InternetLink"/>
                  <w:rFonts w:ascii="Times New Roman;serif" w:hAnsi="Times New Roman;serif"/>
                  <w:b w:val="false"/>
                  <w:color w:val="0000FF"/>
                  <w:sz w:val="20"/>
                  <w:u w:val="single"/>
                </w:rPr>
                <w:t>Item 3.</w:t>
              </w:r>
            </w:hyperlink>
          </w:p>
        </w:tc>
        <w:tc>
          <w:tcPr>
            <w:tcW w:w="79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102f031cee543db89aa3a5b502b4134_118">
              <w:r>
                <w:rPr>
                  <w:rStyle w:val="InternetLink"/>
                  <w:rFonts w:ascii="Times New Roman;serif" w:hAnsi="Times New Roman;serif"/>
                  <w:b w:val="false"/>
                  <w:color w:val="0000FF"/>
                  <w:sz w:val="20"/>
                  <w:u w:val="single"/>
                </w:rPr>
                <w:t>Quantitative and Qualitative Disclosures About Market Risk</w:t>
              </w:r>
            </w:hyperlink>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102f031cee543db89aa3a5b502b4134_118">
              <w:r>
                <w:rPr>
                  <w:rStyle w:val="InternetLink"/>
                  <w:rFonts w:ascii="Times New Roman;serif" w:hAnsi="Times New Roman;serif"/>
                  <w:b w:val="false"/>
                  <w:color w:val="0000FF"/>
                  <w:sz w:val="20"/>
                  <w:u w:val="single"/>
                </w:rPr>
                <w:t>78</w:t>
              </w:r>
            </w:hyperlink>
          </w:p>
        </w:tc>
      </w:tr>
      <w:tr>
        <w:trPr/>
        <w:tc>
          <w:tcPr>
            <w:tcW w:w="1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102f031cee543db89aa3a5b502b4134_121">
              <w:r>
                <w:rPr>
                  <w:rStyle w:val="InternetLink"/>
                  <w:rFonts w:ascii="Times New Roman;serif" w:hAnsi="Times New Roman;serif"/>
                  <w:b w:val="false"/>
                  <w:color w:val="0000FF"/>
                  <w:sz w:val="20"/>
                  <w:u w:val="single"/>
                </w:rPr>
                <w:t>Item 4.</w:t>
              </w:r>
            </w:hyperlink>
          </w:p>
        </w:tc>
        <w:tc>
          <w:tcPr>
            <w:tcW w:w="79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102f031cee543db89aa3a5b502b4134_121">
              <w:r>
                <w:rPr>
                  <w:rStyle w:val="InternetLink"/>
                  <w:rFonts w:ascii="Times New Roman;serif" w:hAnsi="Times New Roman;serif"/>
                  <w:b w:val="false"/>
                  <w:color w:val="0000FF"/>
                  <w:sz w:val="20"/>
                  <w:u w:val="single"/>
                </w:rPr>
                <w:t>Controls and Procedures</w:t>
              </w:r>
            </w:hyperlink>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102f031cee543db89aa3a5b502b4134_121">
              <w:r>
                <w:rPr>
                  <w:rStyle w:val="InternetLink"/>
                  <w:rFonts w:ascii="Times New Roman;serif" w:hAnsi="Times New Roman;serif"/>
                  <w:b w:val="false"/>
                  <w:color w:val="0000FF"/>
                  <w:sz w:val="20"/>
                  <w:u w:val="single"/>
                </w:rPr>
                <w:t>81</w:t>
              </w:r>
            </w:hyperlink>
          </w:p>
        </w:tc>
      </w:tr>
      <w:tr>
        <w:trPr/>
        <w:tc>
          <w:tcPr>
            <w:tcW w:w="1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0"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102f031cee543db89aa3a5b502b4134_124">
              <w:r>
                <w:rPr>
                  <w:rStyle w:val="InternetLink"/>
                  <w:rFonts w:ascii="Times New Roman;serif" w:hAnsi="Times New Roman;serif"/>
                  <w:b/>
                  <w:color w:val="0000FF"/>
                  <w:sz w:val="20"/>
                  <w:u w:val="single"/>
                </w:rPr>
                <w:t>PART II.    OTHER INFORMATION</w:t>
              </w:r>
            </w:hyperlink>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102f031cee543db89aa3a5b502b4134_124">
              <w:r>
                <w:rPr>
                  <w:rStyle w:val="InternetLink"/>
                  <w:rFonts w:ascii="Times New Roman;serif" w:hAnsi="Times New Roman;serif"/>
                  <w:b w:val="false"/>
                  <w:color w:val="0000FF"/>
                  <w:sz w:val="20"/>
                  <w:u w:val="single"/>
                </w:rPr>
                <w:t>83</w:t>
              </w:r>
            </w:hyperlink>
          </w:p>
        </w:tc>
      </w:tr>
      <w:tr>
        <w:trPr/>
        <w:tc>
          <w:tcPr>
            <w:tcW w:w="1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102f031cee543db89aa3a5b502b4134_127">
              <w:r>
                <w:rPr>
                  <w:rStyle w:val="InternetLink"/>
                  <w:rFonts w:ascii="Times New Roman;serif" w:hAnsi="Times New Roman;serif"/>
                  <w:b w:val="false"/>
                  <w:color w:val="0000FF"/>
                  <w:sz w:val="20"/>
                  <w:u w:val="single"/>
                </w:rPr>
                <w:t>Item 1.</w:t>
              </w:r>
            </w:hyperlink>
          </w:p>
        </w:tc>
        <w:tc>
          <w:tcPr>
            <w:tcW w:w="79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102f031cee543db89aa3a5b502b4134_127">
              <w:r>
                <w:rPr>
                  <w:rStyle w:val="InternetLink"/>
                  <w:rFonts w:ascii="Times New Roman;serif" w:hAnsi="Times New Roman;serif"/>
                  <w:b w:val="false"/>
                  <w:color w:val="0000FF"/>
                  <w:sz w:val="20"/>
                  <w:u w:val="single"/>
                </w:rPr>
                <w:t>Legal Proceedings</w:t>
              </w:r>
            </w:hyperlink>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102f031cee543db89aa3a5b502b4134_127">
              <w:r>
                <w:rPr>
                  <w:rStyle w:val="InternetLink"/>
                  <w:rFonts w:ascii="Times New Roman;serif" w:hAnsi="Times New Roman;serif"/>
                  <w:b w:val="false"/>
                  <w:color w:val="0000FF"/>
                  <w:sz w:val="20"/>
                  <w:u w:val="single"/>
                </w:rPr>
                <w:t>83</w:t>
              </w:r>
            </w:hyperlink>
          </w:p>
        </w:tc>
      </w:tr>
      <w:tr>
        <w:trPr/>
        <w:tc>
          <w:tcPr>
            <w:tcW w:w="1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102f031cee543db89aa3a5b502b4134_130">
              <w:r>
                <w:rPr>
                  <w:rStyle w:val="InternetLink"/>
                  <w:rFonts w:ascii="Times New Roman;serif" w:hAnsi="Times New Roman;serif"/>
                  <w:b w:val="false"/>
                  <w:color w:val="0000FF"/>
                  <w:sz w:val="20"/>
                  <w:u w:val="single"/>
                </w:rPr>
                <w:t>Item 1A.</w:t>
              </w:r>
            </w:hyperlink>
          </w:p>
        </w:tc>
        <w:tc>
          <w:tcPr>
            <w:tcW w:w="79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102f031cee543db89aa3a5b502b4134_130">
              <w:r>
                <w:rPr>
                  <w:rStyle w:val="InternetLink"/>
                  <w:rFonts w:ascii="Times New Roman;serif" w:hAnsi="Times New Roman;serif"/>
                  <w:b w:val="false"/>
                  <w:color w:val="0000FF"/>
                  <w:sz w:val="20"/>
                  <w:u w:val="single"/>
                </w:rPr>
                <w:t>Risk Factors</w:t>
              </w:r>
            </w:hyperlink>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102f031cee543db89aa3a5b502b4134_130">
              <w:r>
                <w:rPr>
                  <w:rStyle w:val="InternetLink"/>
                  <w:rFonts w:ascii="Times New Roman;serif" w:hAnsi="Times New Roman;serif"/>
                  <w:b w:val="false"/>
                  <w:color w:val="0000FF"/>
                  <w:sz w:val="20"/>
                  <w:u w:val="single"/>
                </w:rPr>
                <w:t>83</w:t>
              </w:r>
            </w:hyperlink>
          </w:p>
        </w:tc>
      </w:tr>
      <w:tr>
        <w:trPr/>
        <w:tc>
          <w:tcPr>
            <w:tcW w:w="1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102f031cee543db89aa3a5b502b4134_133">
              <w:r>
                <w:rPr>
                  <w:rStyle w:val="InternetLink"/>
                  <w:rFonts w:ascii="Times New Roman;serif" w:hAnsi="Times New Roman;serif"/>
                  <w:b w:val="false"/>
                  <w:color w:val="0000FF"/>
                  <w:sz w:val="20"/>
                  <w:u w:val="single"/>
                </w:rPr>
                <w:t>Item 2.</w:t>
              </w:r>
            </w:hyperlink>
          </w:p>
        </w:tc>
        <w:tc>
          <w:tcPr>
            <w:tcW w:w="79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102f031cee543db89aa3a5b502b4134_133">
              <w:r>
                <w:rPr>
                  <w:rStyle w:val="InternetLink"/>
                  <w:rFonts w:ascii="Times New Roman;serif" w:hAnsi="Times New Roman;serif"/>
                  <w:b w:val="false"/>
                  <w:color w:val="0000FF"/>
                  <w:sz w:val="20"/>
                  <w:u w:val="single"/>
                </w:rPr>
                <w:t>Unregistered Sales of Equity Securities and Use of Proceeds</w:t>
              </w:r>
            </w:hyperlink>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102f031cee543db89aa3a5b502b4134_133">
              <w:r>
                <w:rPr>
                  <w:rStyle w:val="InternetLink"/>
                  <w:rFonts w:ascii="Times New Roman;serif" w:hAnsi="Times New Roman;serif"/>
                  <w:b w:val="false"/>
                  <w:color w:val="0000FF"/>
                  <w:sz w:val="20"/>
                  <w:u w:val="single"/>
                </w:rPr>
                <w:t>83</w:t>
              </w:r>
            </w:hyperlink>
          </w:p>
        </w:tc>
      </w:tr>
      <w:tr>
        <w:trPr/>
        <w:tc>
          <w:tcPr>
            <w:tcW w:w="1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102f031cee543db89aa3a5b502b4134_136">
              <w:r>
                <w:rPr>
                  <w:rStyle w:val="InternetLink"/>
                  <w:rFonts w:ascii="Times New Roman;serif" w:hAnsi="Times New Roman;serif"/>
                  <w:b w:val="false"/>
                  <w:color w:val="0000FF"/>
                  <w:sz w:val="20"/>
                  <w:u w:val="single"/>
                </w:rPr>
                <w:t>Item 3.</w:t>
              </w:r>
            </w:hyperlink>
          </w:p>
        </w:tc>
        <w:tc>
          <w:tcPr>
            <w:tcW w:w="79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102f031cee543db89aa3a5b502b4134_136">
              <w:r>
                <w:rPr>
                  <w:rStyle w:val="InternetLink"/>
                  <w:rFonts w:ascii="Times New Roman;serif" w:hAnsi="Times New Roman;serif"/>
                  <w:b w:val="false"/>
                  <w:color w:val="0000FF"/>
                  <w:sz w:val="20"/>
                  <w:u w:val="single"/>
                </w:rPr>
                <w:t>Defaults Upon Senior Securities</w:t>
              </w:r>
            </w:hyperlink>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102f031cee543db89aa3a5b502b4134_136">
              <w:r>
                <w:rPr>
                  <w:rStyle w:val="InternetLink"/>
                  <w:rFonts w:ascii="Times New Roman;serif" w:hAnsi="Times New Roman;serif"/>
                  <w:b w:val="false"/>
                  <w:color w:val="0000FF"/>
                  <w:sz w:val="20"/>
                  <w:u w:val="single"/>
                </w:rPr>
                <w:t>83</w:t>
              </w:r>
            </w:hyperlink>
          </w:p>
        </w:tc>
      </w:tr>
      <w:tr>
        <w:trPr/>
        <w:tc>
          <w:tcPr>
            <w:tcW w:w="1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102f031cee543db89aa3a5b502b4134_139">
              <w:r>
                <w:rPr>
                  <w:rStyle w:val="InternetLink"/>
                  <w:rFonts w:ascii="Times New Roman;serif" w:hAnsi="Times New Roman;serif"/>
                  <w:b w:val="false"/>
                  <w:color w:val="0000FF"/>
                  <w:sz w:val="20"/>
                  <w:u w:val="single"/>
                </w:rPr>
                <w:t>Item 4.</w:t>
              </w:r>
            </w:hyperlink>
          </w:p>
        </w:tc>
        <w:tc>
          <w:tcPr>
            <w:tcW w:w="79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102f031cee543db89aa3a5b502b4134_139">
              <w:r>
                <w:rPr>
                  <w:rStyle w:val="InternetLink"/>
                  <w:rFonts w:ascii="Times New Roman;serif" w:hAnsi="Times New Roman;serif"/>
                  <w:b w:val="false"/>
                  <w:color w:val="0000FF"/>
                  <w:sz w:val="20"/>
                  <w:u w:val="single"/>
                </w:rPr>
                <w:t>Mine Safety Disclosures</w:t>
              </w:r>
            </w:hyperlink>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102f031cee543db89aa3a5b502b4134_139">
              <w:r>
                <w:rPr>
                  <w:rStyle w:val="InternetLink"/>
                  <w:rFonts w:ascii="Times New Roman;serif" w:hAnsi="Times New Roman;serif"/>
                  <w:b w:val="false"/>
                  <w:color w:val="0000FF"/>
                  <w:sz w:val="20"/>
                  <w:u w:val="single"/>
                </w:rPr>
                <w:t>84</w:t>
              </w:r>
            </w:hyperlink>
          </w:p>
        </w:tc>
      </w:tr>
      <w:tr>
        <w:trPr/>
        <w:tc>
          <w:tcPr>
            <w:tcW w:w="1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102f031cee543db89aa3a5b502b4134_142">
              <w:r>
                <w:rPr>
                  <w:rStyle w:val="InternetLink"/>
                  <w:rFonts w:ascii="Times New Roman;serif" w:hAnsi="Times New Roman;serif"/>
                  <w:b w:val="false"/>
                  <w:color w:val="0000FF"/>
                  <w:sz w:val="20"/>
                  <w:u w:val="single"/>
                </w:rPr>
                <w:t>Item 5.</w:t>
              </w:r>
            </w:hyperlink>
          </w:p>
        </w:tc>
        <w:tc>
          <w:tcPr>
            <w:tcW w:w="79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102f031cee543db89aa3a5b502b4134_142">
              <w:r>
                <w:rPr>
                  <w:rStyle w:val="InternetLink"/>
                  <w:rFonts w:ascii="Times New Roman;serif" w:hAnsi="Times New Roman;serif"/>
                  <w:b w:val="false"/>
                  <w:color w:val="0000FF"/>
                  <w:sz w:val="20"/>
                  <w:u w:val="single"/>
                </w:rPr>
                <w:t>Other Information</w:t>
              </w:r>
            </w:hyperlink>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102f031cee543db89aa3a5b502b4134_142">
              <w:r>
                <w:rPr>
                  <w:rStyle w:val="InternetLink"/>
                  <w:rFonts w:ascii="Times New Roman;serif" w:hAnsi="Times New Roman;serif"/>
                  <w:b w:val="false"/>
                  <w:color w:val="0000FF"/>
                  <w:sz w:val="20"/>
                  <w:u w:val="single"/>
                </w:rPr>
                <w:t>84</w:t>
              </w:r>
            </w:hyperlink>
          </w:p>
        </w:tc>
      </w:tr>
      <w:tr>
        <w:trPr/>
        <w:tc>
          <w:tcPr>
            <w:tcW w:w="1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102f031cee543db89aa3a5b502b4134_145">
              <w:r>
                <w:rPr>
                  <w:rStyle w:val="InternetLink"/>
                  <w:rFonts w:ascii="Times New Roman;serif" w:hAnsi="Times New Roman;serif"/>
                  <w:b w:val="false"/>
                  <w:color w:val="0000FF"/>
                  <w:sz w:val="20"/>
                  <w:u w:val="single"/>
                </w:rPr>
                <w:t>Item 6.</w:t>
              </w:r>
            </w:hyperlink>
          </w:p>
        </w:tc>
        <w:tc>
          <w:tcPr>
            <w:tcW w:w="79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102f031cee543db89aa3a5b502b4134_145">
              <w:r>
                <w:rPr>
                  <w:rStyle w:val="InternetLink"/>
                  <w:rFonts w:ascii="Times New Roman;serif" w:hAnsi="Times New Roman;serif"/>
                  <w:b w:val="false"/>
                  <w:color w:val="0000FF"/>
                  <w:sz w:val="20"/>
                  <w:u w:val="single"/>
                </w:rPr>
                <w:t>Exhibits</w:t>
              </w:r>
            </w:hyperlink>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102f031cee543db89aa3a5b502b4134_145">
              <w:r>
                <w:rPr>
                  <w:rStyle w:val="InternetLink"/>
                  <w:rFonts w:ascii="Times New Roman;serif" w:hAnsi="Times New Roman;serif"/>
                  <w:b w:val="false"/>
                  <w:color w:val="0000FF"/>
                  <w:sz w:val="20"/>
                  <w:u w:val="single"/>
                </w:rPr>
                <w:t>85</w:t>
              </w:r>
            </w:hyperlink>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w:t>
      </w:r>
    </w:p>
    <w:p>
      <w:pPr>
        <w:pStyle w:val="TextBody"/>
        <w:bidi w:val="0"/>
        <w:spacing w:lineRule="auto" w:line="288"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 FINANCIAL STATEMENTS</w:t>
      </w:r>
    </w:p>
    <w:p>
      <w:pPr>
        <w:pStyle w:val="TextBody"/>
        <w:bidi w:val="0"/>
        <w:spacing w:lineRule="auto" w:line="288" w:before="0" w:after="0"/>
        <w:ind w:left="0" w:right="0" w:firstLine="72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TPG Mortgage Investment Trust,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w:t>
      </w:r>
    </w:p>
    <w:tbl>
      <w:tblPr>
        <w:tblW w:w="10205" w:type="dxa"/>
        <w:jc w:val="center"/>
        <w:tblInd w:w="0" w:type="dxa"/>
        <w:tblLayout w:type="fixed"/>
        <w:tblCellMar>
          <w:top w:w="28" w:type="dxa"/>
          <w:left w:w="28" w:type="dxa"/>
          <w:bottom w:w="28" w:type="dxa"/>
          <w:right w:w="28" w:type="dxa"/>
        </w:tblCellMar>
      </w:tblPr>
      <w:tblGrid>
        <w:gridCol w:w="2749"/>
        <w:gridCol w:w="2266"/>
        <w:gridCol w:w="2290"/>
        <w:gridCol w:w="196"/>
        <w:gridCol w:w="871"/>
        <w:gridCol w:w="109"/>
        <w:gridCol w:w="109"/>
        <w:gridCol w:w="109"/>
        <w:gridCol w:w="109"/>
        <w:gridCol w:w="224"/>
        <w:gridCol w:w="996"/>
        <w:gridCol w:w="177"/>
      </w:tblGrid>
      <w:tr>
        <w:trPr/>
        <w:tc>
          <w:tcPr>
            <w:tcW w:w="2749"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c>
          <w:tcPr>
            <w:tcW w:w="229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7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Securitized residential mortgage loans, at fair value - $726,279 and $766,901 pledged as collateral, respectively (1)</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7,119,175 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7,999,619 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Residential mortgage loans, at fair value - $261,475 and $198,596 pledged as collateral, respectively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199,677 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Commercial loans, at fair value - $49,254 and $55,376 pledged as collateral,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55,376 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Real estate securities, at fair value - $277,341 and $231,894 pledged as collateral, respectively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260,304 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debt and equity of affiliates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61,333 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57,832 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18,489 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r>
      <w:tr>
        <w:trPr/>
        <w:tc>
          <w:tcPr>
            <w:tcW w:w="730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r>
      <w:tr>
        <w:trPr/>
        <w:tc>
          <w:tcPr>
            <w:tcW w:w="730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r>
      <w:tr>
        <w:trPr/>
        <w:tc>
          <w:tcPr>
            <w:tcW w:w="730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assets - $0 and $319 pledged as collateral, respectively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58,900 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7,935,584 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8,711,530 </w:t>
            </w:r>
          </w:p>
        </w:tc>
        <w:tc>
          <w:tcPr>
            <w:tcW w:w="1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Securitized debt, at fair value (1)</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6,355,237 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7,177,923 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arrangements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891,015 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826,394 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Senior unsecured notes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96,458 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r>
      <w:tr>
        <w:trPr/>
        <w:tc>
          <w:tcPr>
            <w:tcW w:w="730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r>
      <w:tr>
        <w:trPr/>
        <w:tc>
          <w:tcPr>
            <w:tcW w:w="730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r>
      <w:tr>
        <w:trPr/>
        <w:tc>
          <w:tcPr>
            <w:tcW w:w="730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r>
      <w:tr>
        <w:trPr/>
        <w:tc>
          <w:tcPr>
            <w:tcW w:w="730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 payable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7,301 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 (2)</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42,720 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7,389,580 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8,150,796 </w:t>
            </w:r>
          </w:p>
        </w:tc>
        <w:tc>
          <w:tcPr>
            <w:tcW w:w="1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Commitments and Contingencies (Note 12)</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Stockholders’ Equity</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 $227,991 aggregate liquidation preference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220,472 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par value $0.01 per share; 450,000 shares of common stock authorized and 31,803 and 31,744 shares issued and outstanding at June 30, 2026 and December 31, 2025,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840,572 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840,401 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earnings/(deficit)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(515,358)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(500,456)</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546,004 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560,734 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7,935,584 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8,711,530 </w:t>
            </w:r>
          </w:p>
        </w:tc>
        <w:tc>
          <w:tcPr>
            <w:tcW w:w="1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(1)These balances relate to certain residential mortgage loans which were securitized resulting in the Company consolidating the variable interest entities that were created to facilitate these securitizations as the Company was determined to be the primary beneficiary. The "Securitized debt, at fair value" is collateralized by the "Securitized residential mortgage loans, at fair value" held within the securitization trusts. See Note 3 and Note 6 for additional details. </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(2)Refer to Note 7 and Note 10 for additional details on amounts payable to affiliates.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51155"/>
                <wp:effectExtent l="0" t="0" r="0" b="0"/>
                <wp:wrapNone/>
                <wp:docPr id="3" name="Frame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TPG Mortgage Investment Trust,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528"/>
        <w:gridCol w:w="1307"/>
        <w:gridCol w:w="1319"/>
        <w:gridCol w:w="215"/>
        <w:gridCol w:w="811"/>
        <w:gridCol w:w="120"/>
        <w:gridCol w:w="109"/>
        <w:gridCol w:w="109"/>
        <w:gridCol w:w="109"/>
        <w:gridCol w:w="215"/>
        <w:gridCol w:w="811"/>
        <w:gridCol w:w="120"/>
        <w:gridCol w:w="109"/>
        <w:gridCol w:w="109"/>
        <w:gridCol w:w="109"/>
        <w:gridCol w:w="215"/>
        <w:gridCol w:w="811"/>
        <w:gridCol w:w="120"/>
        <w:gridCol w:w="109"/>
        <w:gridCol w:w="109"/>
        <w:gridCol w:w="109"/>
        <w:gridCol w:w="215"/>
        <w:gridCol w:w="811"/>
        <w:gridCol w:w="120"/>
        <w:gridCol w:w="109"/>
        <w:gridCol w:w="109"/>
        <w:gridCol w:w="109"/>
        <w:gridCol w:w="159"/>
      </w:tblGrid>
      <w:tr>
        <w:trPr/>
        <w:tc>
          <w:tcPr>
            <w:tcW w:w="1528"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gridSpan w:val="2"/>
            <w:tcBorders/>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Interest Income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124,155 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110,865 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253,963 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219,995 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103,912 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93,113 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213,077 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183,394 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Interest Income</w:t>
            </w:r>
          </w:p>
        </w:tc>
        <w:tc>
          <w:tcPr>
            <w:tcW w:w="10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20,243 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17,752 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40,886 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36,601 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Income/(Loss)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interest component of interest rate swaps</w:t>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realized gain/(loss)</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(1,844)</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(3,494)</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(1,962)</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(3,484)</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unrealized gain/(loss)</w:t>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(12,038)</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Income/(Loss)</w:t>
            </w:r>
          </w:p>
        </w:tc>
        <w:tc>
          <w:tcPr>
            <w:tcW w:w="10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2,874 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(2,713)</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(13,302)</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(1,164)</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Management fee to affiliate (1)</w:t>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Non-investment related expenses (1)</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5,787 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related expenses (1)</w:t>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8,518 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 related expenses (1)</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Expenses</w:t>
            </w:r>
          </w:p>
        </w:tc>
        <w:tc>
          <w:tcPr>
            <w:tcW w:w="10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8,929 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11,299 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18,776 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21,377 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Income/(loss) before equity in earnings/(loss) from affiliates</w:t>
            </w:r>
          </w:p>
        </w:tc>
        <w:tc>
          <w:tcPr>
            <w:tcW w:w="10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14,188 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3,740 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8,808 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14,060 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earnings/(loss) from affiliates</w:t>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Income/(Loss) before Income Taxes</w:t>
            </w:r>
          </w:p>
        </w:tc>
        <w:tc>
          <w:tcPr>
            <w:tcW w:w="10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14,457 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3,971 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11,077 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15,476 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Income/(Loss)</w:t>
            </w:r>
          </w:p>
        </w:tc>
        <w:tc>
          <w:tcPr>
            <w:tcW w:w="10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14,269 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3,945 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10,707 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15,422 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on preferred stock</w:t>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10,330 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10,625 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Income/(Loss) Available to Common Stockholders</w:t>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9,092 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(1,376)</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4,797 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Earnings/(Loss) Per Share of Common Stock</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(0.05)</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(0.05)</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300"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Weighted Average Number of Shares of Common Stock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31,786 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29,686 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31,762 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29,672 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31,803 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29,686 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31,779 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29,697 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(1) Refer to Note 10 for additional details on related party transactions.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unaudited consolidated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51155"/>
                <wp:effectExtent l="0" t="0" r="0" b="0"/>
                <wp:wrapNone/>
                <wp:docPr id="4" name="Frame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TPG Mortgage Investment Trust,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Stockholders’ Equity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066"/>
        <w:gridCol w:w="720"/>
        <w:gridCol w:w="726"/>
        <w:gridCol w:w="323"/>
        <w:gridCol w:w="323"/>
        <w:gridCol w:w="211"/>
        <w:gridCol w:w="109"/>
        <w:gridCol w:w="109"/>
        <w:gridCol w:w="109"/>
        <w:gridCol w:w="202"/>
        <w:gridCol w:w="435"/>
        <w:gridCol w:w="114"/>
        <w:gridCol w:w="109"/>
        <w:gridCol w:w="109"/>
        <w:gridCol w:w="109"/>
        <w:gridCol w:w="196"/>
        <w:gridCol w:w="736"/>
        <w:gridCol w:w="109"/>
        <w:gridCol w:w="109"/>
        <w:gridCol w:w="109"/>
        <w:gridCol w:w="109"/>
        <w:gridCol w:w="211"/>
        <w:gridCol w:w="793"/>
        <w:gridCol w:w="117"/>
        <w:gridCol w:w="109"/>
        <w:gridCol w:w="109"/>
        <w:gridCol w:w="109"/>
        <w:gridCol w:w="217"/>
        <w:gridCol w:w="861"/>
        <w:gridCol w:w="120"/>
        <w:gridCol w:w="109"/>
        <w:gridCol w:w="109"/>
        <w:gridCol w:w="109"/>
        <w:gridCol w:w="196"/>
        <w:gridCol w:w="736"/>
        <w:gridCol w:w="158"/>
      </w:tblGrid>
      <w:tr>
        <w:trPr/>
        <w:tc>
          <w:tcPr>
            <w:tcW w:w="106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u w:val="single"/>
              </w:rPr>
            </w:pPr>
            <w:r>
              <w:rPr>
                <w:rFonts w:ascii="Times New Roman;serif" w:hAnsi="Times New Roman;serif"/>
                <w:b/>
                <w:color w:val="000000"/>
                <w:sz w:val="18"/>
                <w:u w:val="single"/>
              </w:rPr>
              <w:t>For the Three Months Ended June 30, 2026 and June 30, 2025</w:t>
            </w:r>
          </w:p>
        </w:tc>
      </w:tr>
      <w:tr>
        <w:trPr/>
        <w:tc>
          <w:tcPr>
            <w:tcW w:w="2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Preferred </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Retained</w:t>
              <w:br/>
              <w:t>Earnings/(Deficit)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April 1, 2026</w:t>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31,735 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220,472 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840,396 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(516,789)</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544,396 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2"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2512"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2512"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2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 of restricted stock and amortization of equity 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dividends declared ($0.24 per share)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(7,633)</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(7,633)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Preferred dividends declared (1)</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(5,205)</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2"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2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Income/(Loss)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14,269 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14,269 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June 30, 2026</w:t>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31,803 </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220,472 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840,572 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(515,358)</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546,004 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Preferred </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Retained</w:t>
              <w:br/>
              <w:t>Earnings/(Deficit)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April 1, 2025</w:t>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29,659 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220,472 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824,587 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(501,486)</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543,870 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2"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2512"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2512"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2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 of restricted stock and amortization of equity 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dividends declared ($0.21 per share)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(6,235)</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Preferred dividends declared (1)</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(5,349)</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2"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2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Income/(Loss)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June 30, 2025</w:t>
            </w:r>
          </w:p>
        </w:tc>
        <w:tc>
          <w:tcPr>
            <w:tcW w:w="646"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29,691 </w:t>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5"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297 </w:t>
            </w:r>
          </w:p>
        </w:tc>
        <w:tc>
          <w:tcPr>
            <w:tcW w:w="11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220,472 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824,763 </w:t>
            </w:r>
          </w:p>
        </w:tc>
        <w:tc>
          <w:tcPr>
            <w:tcW w:w="117"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(509,125)</w:t>
            </w:r>
          </w:p>
        </w:tc>
        <w:tc>
          <w:tcPr>
            <w:tcW w:w="120"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536,407 </w:t>
            </w:r>
          </w:p>
        </w:tc>
        <w:tc>
          <w:tcPr>
            <w:tcW w:w="158"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085"/>
        <w:gridCol w:w="726"/>
        <w:gridCol w:w="729"/>
        <w:gridCol w:w="323"/>
        <w:gridCol w:w="323"/>
        <w:gridCol w:w="211"/>
        <w:gridCol w:w="109"/>
        <w:gridCol w:w="109"/>
        <w:gridCol w:w="109"/>
        <w:gridCol w:w="202"/>
        <w:gridCol w:w="435"/>
        <w:gridCol w:w="114"/>
        <w:gridCol w:w="109"/>
        <w:gridCol w:w="109"/>
        <w:gridCol w:w="109"/>
        <w:gridCol w:w="196"/>
        <w:gridCol w:w="736"/>
        <w:gridCol w:w="109"/>
        <w:gridCol w:w="109"/>
        <w:gridCol w:w="109"/>
        <w:gridCol w:w="109"/>
        <w:gridCol w:w="209"/>
        <w:gridCol w:w="786"/>
        <w:gridCol w:w="116"/>
        <w:gridCol w:w="109"/>
        <w:gridCol w:w="109"/>
        <w:gridCol w:w="109"/>
        <w:gridCol w:w="214"/>
        <w:gridCol w:w="847"/>
        <w:gridCol w:w="119"/>
        <w:gridCol w:w="109"/>
        <w:gridCol w:w="109"/>
        <w:gridCol w:w="109"/>
        <w:gridCol w:w="196"/>
        <w:gridCol w:w="736"/>
        <w:gridCol w:w="158"/>
      </w:tblGrid>
      <w:tr>
        <w:trPr/>
        <w:tc>
          <w:tcPr>
            <w:tcW w:w="108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u w:val="single"/>
              </w:rPr>
            </w:pPr>
            <w:r>
              <w:rPr>
                <w:rFonts w:ascii="Times New Roman;serif" w:hAnsi="Times New Roman;serif"/>
                <w:b/>
                <w:color w:val="000000"/>
                <w:sz w:val="18"/>
                <w:u w:val="single"/>
              </w:rPr>
              <w:t>For the Six Months Ended June 30, 2026 and June 30, 2025</w:t>
            </w:r>
          </w:p>
        </w:tc>
      </w:tr>
      <w:tr>
        <w:trPr/>
        <w:tc>
          <w:tcPr>
            <w:tcW w:w="2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Preferred </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Retained</w:t>
              <w:br/>
              <w:t>Earnings/(Deficit)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January 1, 2026</w:t>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31,744 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220,472 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840,401 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(500,456)</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560,734 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0"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2540"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2540"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2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 of restricted stock and amortization of equity based compensation, net (2)</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dividends declared ($0.48 per share)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(15,250)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(15,250)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Preferred dividends declared (3)</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(10,359)</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(10,359)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0"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2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Income/(Loss)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10,707 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10,707 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June 30, 2026</w:t>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31,803 </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220,472 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840,572 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(515,358)</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546,004 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Preferred </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Retained</w:t>
              <w:br/>
              <w:t>Earnings/(Deficit)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January 1, 2025</w:t>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29,640 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220,472 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824,380 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(501,725)</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543,423 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0"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2540"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2540"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2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 of restricted stock and amortization of equity 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dividends declared ($0.41 per share)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(12,167)</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(12,167)</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Preferred dividends declared (3)</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(10,655)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(10,655)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0"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2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Income/(Loss)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15,422 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15,422 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June 30, 2025</w:t>
            </w:r>
          </w:p>
        </w:tc>
        <w:tc>
          <w:tcPr>
            <w:tcW w:w="646"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29,691 </w:t>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5"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297 </w:t>
            </w:r>
          </w:p>
        </w:tc>
        <w:tc>
          <w:tcPr>
            <w:tcW w:w="11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220,472 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824,763 </w:t>
            </w:r>
          </w:p>
        </w:tc>
        <w:tc>
          <w:tcPr>
            <w:tcW w:w="11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7"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(509,125)</w:t>
            </w:r>
          </w:p>
        </w:tc>
        <w:tc>
          <w:tcPr>
            <w:tcW w:w="11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536,407 </w:t>
            </w:r>
          </w:p>
        </w:tc>
        <w:tc>
          <w:tcPr>
            <w:tcW w:w="158"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(1)For the three months ended June 30, 2026 and 2025, dividends totaling $0.51563 and $0.51563 per share of Series A Preferred Stock, $0.50 and $0.50 per share of Series B Preferred Stock, and $0.665952 and $0.704864 per share of Series C Preferred Stock outstanding were declared, respectively. </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(2)During the six months ended June 30, 2026, the Company retired 19 thousand shares of common stock to pay $0.2 million of withholding taxes on the net settlement of equity based compensation. </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(3)For the six months ended June 30, 2026 and 2025, dividends totaling $1.03126 and $1.03126 per share of Series A Preferred Stock, $1.00 and $1.00 per share of Series B Preferred Stock, and $1.318343 and $1.397926 per share of Series C Preferred Stock outstanding were declared,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51155"/>
                <wp:effectExtent l="0" t="0" r="0" b="0"/>
                <wp:wrapNone/>
                <wp:docPr id="5" name="Frame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TPG Mortgage Investment Trust,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9596" w:type="dxa"/>
        <w:jc w:val="center"/>
        <w:tblInd w:w="0" w:type="dxa"/>
        <w:tblLayout w:type="fixed"/>
        <w:tblCellMar>
          <w:top w:w="28" w:type="dxa"/>
          <w:left w:w="28" w:type="dxa"/>
          <w:bottom w:w="28" w:type="dxa"/>
          <w:right w:w="28" w:type="dxa"/>
        </w:tblCellMar>
      </w:tblPr>
      <w:tblGrid>
        <w:gridCol w:w="2502"/>
        <w:gridCol w:w="2202"/>
        <w:gridCol w:w="2211"/>
        <w:gridCol w:w="238"/>
        <w:gridCol w:w="785"/>
        <w:gridCol w:w="132"/>
        <w:gridCol w:w="109"/>
        <w:gridCol w:w="109"/>
        <w:gridCol w:w="109"/>
        <w:gridCol w:w="216"/>
        <w:gridCol w:w="813"/>
        <w:gridCol w:w="170"/>
      </w:tblGrid>
      <w:tr>
        <w:trPr/>
        <w:tc>
          <w:tcPr>
            <w:tcW w:w="2502" w:type="dxa"/>
            <w:tcBorders/>
            <w:vAlign w:val="center"/>
          </w:tcPr>
          <w:p>
            <w:pPr>
              <w:pStyle w:val="TableContents"/>
              <w:bidi w:val="0"/>
              <w:spacing w:before="0" w:after="283"/>
              <w:jc w:val="left"/>
              <w:rPr>
                <w:sz w:val="4"/>
                <w:szCs w:val="4"/>
              </w:rPr>
            </w:pPr>
            <w:r>
              <w:rPr>
                <w:sz w:val="4"/>
                <w:szCs w:val="4"/>
              </w:rPr>
            </w:r>
          </w:p>
        </w:tc>
        <w:tc>
          <w:tcPr>
            <w:tcW w:w="2202" w:type="dxa"/>
            <w:tcBorders/>
            <w:vAlign w:val="center"/>
          </w:tcPr>
          <w:p>
            <w:pPr>
              <w:pStyle w:val="TableContents"/>
              <w:bidi w:val="0"/>
              <w:spacing w:before="0" w:after="283"/>
              <w:jc w:val="left"/>
              <w:rPr>
                <w:sz w:val="4"/>
                <w:szCs w:val="4"/>
              </w:rPr>
            </w:pPr>
            <w:r>
              <w:rPr>
                <w:sz w:val="4"/>
                <w:szCs w:val="4"/>
              </w:rPr>
            </w:r>
          </w:p>
        </w:tc>
        <w:tc>
          <w:tcPr>
            <w:tcW w:w="221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6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income/(loss)</w:t>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10,707 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15,422 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income/(loss) to net cash provided by (used in) operating activities:</w:t>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amortization of premium/(discount)</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18,331 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realized (gain)/loss</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unrealized (gain)/loss</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12,038 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 of restricted stock and amortization of equity based compensation</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(earnings)/loss from affiliates</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(2,269)</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(1,416)</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operating assets/liabilities:</w:t>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(3,852)</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(2,030)</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operating activities</w:t>
            </w:r>
          </w:p>
        </w:tc>
        <w:tc>
          <w:tcPr>
            <w:tcW w:w="102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44,581 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23,515 </w:t>
            </w:r>
          </w:p>
        </w:tc>
        <w:tc>
          <w:tcPr>
            <w:tcW w:w="1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residential mortgage loans</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(157,135)</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(943,871)</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real estate securities</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(66,872)</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(26,064)</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sales of residential mortgage loans</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75,706 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57,761 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sales of real estate securities</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5,189 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repayments on residential mortgage loans</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804,299 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422,774 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repayments on real estate securities</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17,882 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6,443 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repayments on commercial loans</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funding on residential mortgage loans</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(9,568)</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(6,953)</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received in excess of income from investments in debt and equity of affiliates</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8,601 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settlement of interest rate swaps and other instruments</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5,676 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(6,262)</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settlement of TBAs</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provided by other investing activities</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used in other investing activities</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(1,979)</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investing activities</w:t>
            </w:r>
          </w:p>
        </w:tc>
        <w:tc>
          <w:tcPr>
            <w:tcW w:w="102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682,065 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(485,249)</w:t>
            </w:r>
          </w:p>
        </w:tc>
        <w:tc>
          <w:tcPr>
            <w:tcW w:w="1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borrowings under (repayments of) financing arrangements</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64,621 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108,106 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repayments on fixed-rate long-term financing arrangements</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(5,973)</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financing costs paid</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Proceeds from issuance of securitized debt </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727,642 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Principal repayments on securitized debt </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(759,921)</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(384,187)</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Withholding taxes paid on the net settlement of equity based compensation</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paid on common stock</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(14,918)</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(11,564)</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paid on preferred stock</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(10,359)</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(10,655)</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financing activities</w:t>
            </w:r>
          </w:p>
        </w:tc>
        <w:tc>
          <w:tcPr>
            <w:tcW w:w="102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(720,805)</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423,335 </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cash and cash equivalents and restricted cash</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(38,399)</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and restricted cash, Beginning of Period</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76,321 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138,568 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and restricted cash, End of Period</w:t>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82,162 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100,169 </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51155"/>
                <wp:effectExtent l="0" t="0" r="0" b="0"/>
                <wp:wrapNone/>
                <wp:docPr id="6" name="Frame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tbl>
      <w:tblPr>
        <w:tblW w:w="8545" w:type="dxa"/>
        <w:jc w:val="center"/>
        <w:tblInd w:w="0" w:type="dxa"/>
        <w:tblLayout w:type="fixed"/>
        <w:tblCellMar>
          <w:top w:w="28" w:type="dxa"/>
          <w:left w:w="28" w:type="dxa"/>
          <w:bottom w:w="28" w:type="dxa"/>
          <w:right w:w="28" w:type="dxa"/>
        </w:tblCellMar>
      </w:tblPr>
      <w:tblGrid>
        <w:gridCol w:w="2126"/>
        <w:gridCol w:w="1864"/>
        <w:gridCol w:w="1874"/>
        <w:gridCol w:w="217"/>
        <w:gridCol w:w="817"/>
        <w:gridCol w:w="121"/>
        <w:gridCol w:w="109"/>
        <w:gridCol w:w="109"/>
        <w:gridCol w:w="109"/>
        <w:gridCol w:w="216"/>
        <w:gridCol w:w="813"/>
        <w:gridCol w:w="170"/>
      </w:tblGrid>
      <w:tr>
        <w:trPr/>
        <w:tc>
          <w:tcPr>
            <w:tcW w:w="2126"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disclosure of cash flow information:</w:t>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interest</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209,383 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170,612 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taxes</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disclosure of non-cash financing and investing activities:</w:t>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5864"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Transfer from residential mortgage loans to securitized residential mortgage loans</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770,795 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dividends declared but not paid</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7,633 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5864"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5864"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Transfer from residential mortgage loans to other assets</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7,332 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7,081 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investments in debt and equity of affiliates</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price payable on securitized residential mortgage loans </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Payable on unsettled derivatives</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following table provides a reconciliation of cash and cash equivalents and restricted cash reported within the consolidated balance sheets that sum to the total of the same such amounts shown in the consolidated statements of cash flows:</w:t>
      </w:r>
    </w:p>
    <w:tbl>
      <w:tblPr>
        <w:tblW w:w="9790" w:type="dxa"/>
        <w:jc w:val="left"/>
        <w:tblInd w:w="0" w:type="dxa"/>
        <w:tblLayout w:type="fixed"/>
        <w:tblCellMar>
          <w:top w:w="28" w:type="dxa"/>
          <w:left w:w="28" w:type="dxa"/>
          <w:bottom w:w="28" w:type="dxa"/>
          <w:right w:w="28" w:type="dxa"/>
        </w:tblCellMar>
      </w:tblPr>
      <w:tblGrid>
        <w:gridCol w:w="2578"/>
        <w:gridCol w:w="2258"/>
        <w:gridCol w:w="2273"/>
        <w:gridCol w:w="238"/>
        <w:gridCol w:w="785"/>
        <w:gridCol w:w="132"/>
        <w:gridCol w:w="109"/>
        <w:gridCol w:w="109"/>
        <w:gridCol w:w="109"/>
        <w:gridCol w:w="216"/>
        <w:gridCol w:w="813"/>
        <w:gridCol w:w="170"/>
      </w:tblGrid>
      <w:tr>
        <w:trPr/>
        <w:tc>
          <w:tcPr>
            <w:tcW w:w="2578" w:type="dxa"/>
            <w:tcBorders/>
            <w:vAlign w:val="center"/>
          </w:tcPr>
          <w:p>
            <w:pPr>
              <w:pStyle w:val="TableContents"/>
              <w:bidi w:val="0"/>
              <w:spacing w:before="0" w:after="283"/>
              <w:jc w:val="left"/>
              <w:rPr>
                <w:sz w:val="4"/>
                <w:szCs w:val="4"/>
              </w:rPr>
            </w:pPr>
            <w:r>
              <w:rPr>
                <w:sz w:val="4"/>
                <w:szCs w:val="4"/>
              </w:rPr>
            </w:r>
          </w:p>
        </w:tc>
        <w:tc>
          <w:tcPr>
            <w:tcW w:w="2258" w:type="dxa"/>
            <w:tcBorders/>
            <w:vAlign w:val="center"/>
          </w:tcPr>
          <w:p>
            <w:pPr>
              <w:pStyle w:val="TableContents"/>
              <w:bidi w:val="0"/>
              <w:spacing w:before="0" w:after="283"/>
              <w:jc w:val="left"/>
              <w:rPr>
                <w:sz w:val="4"/>
                <w:szCs w:val="4"/>
              </w:rPr>
            </w:pPr>
            <w:r>
              <w:rPr>
                <w:sz w:val="4"/>
                <w:szCs w:val="4"/>
              </w:rPr>
            </w:r>
          </w:p>
        </w:tc>
        <w:tc>
          <w:tcPr>
            <w:tcW w:w="227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7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61,636 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88,746 </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20,526 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11,423 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7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cash, cash equivalents and restricted cash shown in the consolidated statements of cash flows</w:t>
            </w:r>
          </w:p>
        </w:tc>
        <w:tc>
          <w:tcPr>
            <w:tcW w:w="2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82,162 </w:t>
            </w:r>
          </w:p>
        </w:tc>
        <w:tc>
          <w:tcPr>
            <w:tcW w:w="1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100,169 </w:t>
            </w:r>
          </w:p>
        </w:tc>
        <w:tc>
          <w:tcPr>
            <w:tcW w:w="1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The accompanying notes are an integral part of these unaudited consolidated financial statements.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51155"/>
                <wp:effectExtent l="0" t="0" r="0" b="0"/>
                <wp:wrapNone/>
                <wp:docPr id="7" name="Frame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TPG Mortgage Investment Trust,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 Organization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TPG Mortgage Investment Trust, Inc. (the "Company" or "MITT") is a residential mortgage REIT with a focus on investing in a diversified risk-adjusted portfolio of residential mortgage-related assets in the U.S. mortgage market. The Company’s investment activities primarily include acquiring and securitizing newly-originated residential mortgage loans within the non-agency segment of the housing market. The Company obtains its residential mortgage loans through Arc Home, LLC ("Arc Home"), a residential mortgage loan originator in which the Company owned an approximate 66.0% interest as of June 30, 2026, and through other third-party origination partners.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assets, excluding its ownership in Arc Home, include Residential Investments, Agency RMBS and Legacy WMC Commercial Investments. Currently, its Residential Investments primarily consist of Non-Agency Loans, Agency-Eligible Loans, Home Equity Loans, and Non-Agency RMBS collateralized by these loan types. The Company may invest in other types of residential mortgage loans and other mortgage related assets. The Company's asset classes are primarily comprised of the following: </w:t>
      </w:r>
    </w:p>
    <w:tbl>
      <w:tblPr>
        <w:tblW w:w="10205" w:type="dxa"/>
        <w:jc w:val="left"/>
        <w:tblInd w:w="0" w:type="dxa"/>
        <w:tblLayout w:type="fixed"/>
        <w:tblCellMar>
          <w:top w:w="28" w:type="dxa"/>
          <w:left w:w="28" w:type="dxa"/>
          <w:bottom w:w="28" w:type="dxa"/>
          <w:right w:w="28" w:type="dxa"/>
        </w:tblCellMar>
      </w:tblPr>
      <w:tblGrid>
        <w:gridCol w:w="786"/>
        <w:gridCol w:w="423"/>
        <w:gridCol w:w="430"/>
        <w:gridCol w:w="109"/>
        <w:gridCol w:w="109"/>
        <w:gridCol w:w="109"/>
        <w:gridCol w:w="2402"/>
        <w:gridCol w:w="2402"/>
        <w:gridCol w:w="3435"/>
      </w:tblGrid>
      <w:tr>
        <w:trPr/>
        <w:tc>
          <w:tcPr>
            <w:tcW w:w="78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2" w:type="dxa"/>
            <w:tcBorders/>
            <w:vAlign w:val="center"/>
          </w:tcPr>
          <w:p>
            <w:pPr>
              <w:pStyle w:val="TableContents"/>
              <w:bidi w:val="0"/>
              <w:spacing w:before="0" w:after="283"/>
              <w:jc w:val="left"/>
              <w:rPr>
                <w:sz w:val="4"/>
                <w:szCs w:val="4"/>
              </w:rPr>
            </w:pPr>
            <w:r>
              <w:rPr>
                <w:sz w:val="4"/>
                <w:szCs w:val="4"/>
              </w:rPr>
            </w:r>
          </w:p>
        </w:tc>
        <w:tc>
          <w:tcPr>
            <w:tcW w:w="2402" w:type="dxa"/>
            <w:tcBorders/>
            <w:vAlign w:val="center"/>
          </w:tcPr>
          <w:p>
            <w:pPr>
              <w:pStyle w:val="TableContents"/>
              <w:bidi w:val="0"/>
              <w:spacing w:before="0" w:after="283"/>
              <w:jc w:val="left"/>
              <w:rPr>
                <w:sz w:val="4"/>
                <w:szCs w:val="4"/>
              </w:rPr>
            </w:pPr>
            <w:r>
              <w:rPr>
                <w:sz w:val="4"/>
                <w:szCs w:val="4"/>
              </w:rPr>
            </w:r>
          </w:p>
        </w:tc>
        <w:tc>
          <w:tcPr>
            <w:tcW w:w="3435" w:type="dxa"/>
            <w:tcBorders/>
            <w:vAlign w:val="center"/>
          </w:tcPr>
          <w:p>
            <w:pPr>
              <w:pStyle w:val="TableContents"/>
              <w:bidi w:val="0"/>
              <w:spacing w:before="0" w:after="283"/>
              <w:jc w:val="left"/>
              <w:rPr>
                <w:sz w:val="4"/>
                <w:szCs w:val="4"/>
              </w:rPr>
            </w:pPr>
            <w:r>
              <w:rPr>
                <w:sz w:val="4"/>
                <w:szCs w:val="4"/>
              </w:rPr>
            </w:r>
          </w:p>
        </w:tc>
      </w:tr>
      <w:tr>
        <w:trPr/>
        <w:tc>
          <w:tcPr>
            <w:tcW w:w="1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63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Residential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Non-Agency Loans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9"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hanging="180"/>
              <w:jc w:val="both"/>
              <w:rPr/>
            </w:pPr>
            <w:r>
              <w:rPr>
                <w:color w:val="000000"/>
              </w:rPr>
              <w:t>•</w:t>
            </w:r>
            <w:r>
              <w:rPr>
                <w:rFonts w:ascii="Times New Roman;serif" w:hAnsi="Times New Roman;serif"/>
                <w:b w:val="false"/>
                <w:color w:val="000000"/>
                <w:sz w:val="20"/>
              </w:rPr>
              <w:t>Non-Agency Loans are loans that do not conform to the underwriting guidelines of a government-sponsored enterprise ("GSE"). Non-Agency Loans consist of Qualified mortgage loans ("QM Loans") and Non-Qualified mortgage loans ("Non-QM Loans") which are collateralized by a first lien mortgaged property. QM Loans are residential mortgage loans that comply with the Ability-To-Repay rules and related guidelines of the Consumer Financial Protection Bureau.</w:t>
            </w:r>
          </w:p>
        </w:tc>
      </w:tr>
      <w:tr>
        <w:trPr/>
        <w:tc>
          <w:tcPr>
            <w:tcW w:w="16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Agency-Eligible Loans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both"/>
              <w:rPr/>
            </w:pPr>
            <w:r>
              <w:rPr>
                <w:color w:val="000000"/>
              </w:rPr>
              <w:t>•</w:t>
            </w:r>
            <w:r>
              <w:rPr>
                <w:rFonts w:ascii="Times New Roman;serif" w:hAnsi="Times New Roman;serif"/>
                <w:b w:val="false"/>
                <w:color w:val="000000"/>
                <w:sz w:val="20"/>
              </w:rPr>
              <w:t>Agency-Eligible Loans are loans that are collateralized by a first lien mortgaged property and are primarily secured by investment properties. These loans are underwritten in accordance with GSE guidelines, but are not guaranteed by a GSE. Although these loans are underwritten in accordance with GSE guidelines and can be delivered to Fannie Mae and Freddie Mac, the Company includes these loans within its Non-Agency securitizations.</w:t>
            </w:r>
          </w:p>
        </w:tc>
      </w:tr>
      <w:tr>
        <w:trPr/>
        <w:tc>
          <w:tcPr>
            <w:tcW w:w="16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Home Equity Loans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9"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hanging="180"/>
              <w:jc w:val="both"/>
              <w:rPr/>
            </w:pPr>
            <w:r>
              <w:rPr>
                <w:color w:val="000000"/>
              </w:rPr>
              <w:t>•</w:t>
            </w:r>
            <w:r>
              <w:rPr>
                <w:rFonts w:ascii="Times New Roman;serif" w:hAnsi="Times New Roman;serif"/>
                <w:b w:val="false"/>
                <w:color w:val="000000"/>
                <w:sz w:val="20"/>
              </w:rPr>
              <w:t>Home Equity Loans consist of revolving lines of credit and closed-end loans secured primarily by second liens on residential mortgaged properties. These products provide borrowers with access to home equity without requiring the payoff of an existing mortgage. Revolving lines of credit generally feature an initial draw period of 3 to 5 years, after which the balances convert to 15- or 25-year amortizing loans. Closed-end home equity loans are primarily fixed-rate obligations where the full principal amount is funded at origination and repaid through a fully amortizing schedule with original terms to maturity ranging from 10 to 30 years.</w:t>
            </w:r>
          </w:p>
        </w:tc>
      </w:tr>
      <w:tr>
        <w:trPr/>
        <w:tc>
          <w:tcPr>
            <w:tcW w:w="16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 and Non-Performing Loans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both"/>
              <w:rPr/>
            </w:pPr>
            <w:r>
              <w:rPr>
                <w:color w:val="000000"/>
              </w:rPr>
              <w:t>•</w:t>
            </w:r>
            <w:r>
              <w:rPr>
                <w:rFonts w:ascii="Times New Roman;serif" w:hAnsi="Times New Roman;serif"/>
                <w:b w:val="false"/>
                <w:color w:val="000000"/>
                <w:sz w:val="20"/>
              </w:rPr>
              <w:t>Performing, re-performing, and non-performing loans are residential mortgage loans collateralized by a first lien mortgaged property.</w:t>
            </w:r>
          </w:p>
        </w:tc>
      </w:tr>
      <w:tr>
        <w:trPr/>
        <w:tc>
          <w:tcPr>
            <w:tcW w:w="16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Non-Agency RMBS</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both"/>
              <w:rPr/>
            </w:pPr>
            <w:r>
              <w:rPr>
                <w:color w:val="000000"/>
              </w:rPr>
              <w:t>•</w:t>
            </w:r>
            <w:r>
              <w:rPr>
                <w:rFonts w:ascii="Times New Roman;serif" w:hAnsi="Times New Roman;serif"/>
                <w:b w:val="false"/>
                <w:color w:val="000000"/>
                <w:sz w:val="20"/>
              </w:rPr>
              <w:t>Non-Agency Residential Mortgage-Backed Securities ("RMBS") represent fixed- and floating-rate RMBS issued by entities other than U.S. GSEs or agencies of the U.S. government. Non-Agency RMBS are primarily secured by Non-QM, Agency-Eligible, Home Equity, and Prime Jumbo Loans.</w:t>
            </w:r>
          </w:p>
        </w:tc>
      </w:tr>
      <w:tr>
        <w:trPr/>
        <w:tc>
          <w:tcPr>
            <w:tcW w:w="16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Agency RMBS</w:t>
            </w:r>
            <w:r>
              <w:rPr>
                <w:rFonts w:ascii="Times New Roman;serif" w:hAnsi="Times New Roman;serif"/>
                <w:b/>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both"/>
              <w:rPr/>
            </w:pPr>
            <w:r>
              <w:rPr>
                <w:color w:val="000000"/>
              </w:rPr>
              <w:t>•</w:t>
            </w:r>
            <w:r>
              <w:rPr>
                <w:rFonts w:ascii="Times New Roman;serif" w:hAnsi="Times New Roman;serif"/>
                <w:b w:val="false"/>
                <w:color w:val="000000"/>
                <w:sz w:val="20"/>
              </w:rPr>
              <w:t>Agency RMBS represent interests in pools of residential mortgage loans guaranteed by a GSE such as Fannie Mae or Freddie Mac, or an agency of the U.S. Government such as Ginnie Mae.</w:t>
            </w:r>
          </w:p>
        </w:tc>
      </w:tr>
      <w:tr>
        <w:trPr/>
        <w:tc>
          <w:tcPr>
            <w:tcW w:w="1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Legacy WMC Commercial Investments</w:t>
            </w:r>
            <w:r>
              <w:rPr>
                <w:rFonts w:ascii="Times New Roman;serif" w:hAnsi="Times New Roman;serif"/>
                <w:b/>
                <w:color w:val="000000"/>
                <w:sz w:val="13"/>
              </w:rPr>
              <w:t>(3)</w:t>
            </w:r>
          </w:p>
        </w:tc>
      </w:tr>
      <w:tr>
        <w:trPr/>
        <w:tc>
          <w:tcPr>
            <w:tcW w:w="1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both"/>
              <w:rPr/>
            </w:pPr>
            <w:r>
              <w:rPr>
                <w:color w:val="000000"/>
              </w:rPr>
              <w:t>•</w:t>
            </w:r>
            <w:r>
              <w:rPr>
                <w:rFonts w:ascii="Times New Roman;serif" w:hAnsi="Times New Roman;serif"/>
                <w:b w:val="false"/>
                <w:color w:val="000000"/>
                <w:sz w:val="20"/>
              </w:rPr>
              <w:t>Commercial loans represent first lien commercial mortgage loan participations.</w:t>
            </w:r>
          </w:p>
        </w:tc>
      </w:tr>
      <w:tr>
        <w:trPr/>
        <w:tc>
          <w:tcPr>
            <w:tcW w:w="16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CMBS</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both"/>
              <w:rPr/>
            </w:pPr>
            <w:r>
              <w:rPr>
                <w:color w:val="000000"/>
              </w:rPr>
              <w:t>•</w:t>
            </w:r>
            <w:r>
              <w:rPr>
                <w:rFonts w:ascii="Times New Roman;serif" w:hAnsi="Times New Roman;serif"/>
                <w:b w:val="false"/>
                <w:color w:val="000000"/>
                <w:sz w:val="20"/>
              </w:rPr>
              <w:t>Commercial Mortgage-Backed Securities ("CMBS") represent fixed-rate and floating-rate CMBS, secured by, or evidencing an ownership interest in, a single commercial mortgage loan or a pool of commercial mortgage loans.</w:t>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(1)These investments are included in the "Securitized residential mortgage loans, at fair value" or "Residential mortgage loans, at fair value" line items on the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51155"/>
                <wp:effectExtent l="0" t="0" r="0" b="0"/>
                <wp:wrapNone/>
                <wp:docPr id="8" name="Frame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TPG Mortgage Investment Trust,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(2)These investments are included in the "Real estate securities, at fair value" line item on the consolidated balance sheets.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(3)These investments include commercial loans and CMBS (collectively, the "Legacy WMC Commercial Investments") that were acquired in connection with the acquisition of Western Asset Mortgage Capital Corporation (“WMC”) on December 6, 2023. The Company expects to either hold the Legacy WMC Commercial Investments until maturity or opportunistically exit these investments.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conducts its business through two reportable segments: (i) Loans and Securities and (ii) Arc Home. This reflects how the Company manages its business and analyzes and reports its results of operations. Refer to Note 13 for additional details on segment reporting.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was incorporated in the state of Maryland on March 1, 2011 and commenced operations in July 2011. The Company conducts its operations to qualify and be taxed as a real estate investment trust ("REIT") under the Internal Revenue Code of 1986, as amended (the "Code"). The Company is externally managed by AG REIT Management, LLC, a Delaware limited liability company (the "Manager"), a wholly-owned subsidiary of TPG Inc. ("TPG"). The Manager has delegated to Angelo, Gordon &amp; Co., L.P. ("TPG Angelo Gordon"), an affiliate of TPG, the overall responsibility of its day-to-day duties and obligations arising under the management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consolidated financial statements include the accounts of the Company, its wholly-owned subsidiaries, and certain variable interest entities. All intercompany balances and transactions have been eliminated in consolidation.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2. Summary of significant accounting policies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Consolidation and basis of presentation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consolidated financial statements and related notes have been prepared on the accrual basis of accounting in accordance with accounting principles generally accepted in the United States of America ("GAAP") for interim financial reporting and the instructions to Form 10-Q and Rule 8-03 of Regulation S-X. In the opinion of management, all adjustments considered necessary for a fair presentation of the Company’s financial position, results of operations, and cash flows have been included for the interim period and are of a normal and recurring nature. The operating results presented for interim periods are not necessarily indicative of the results that may be expected for any other interim period or for the entire year.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Significant accounting policies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There have been no significant changes to the Company's accounting policies included in Note 2 to the consolidated financial statements of the Company’s Annual Report on Form 10-K (“Form 10-K”) for the year ended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shd w:fill="FFFFFF" w:val="clear"/>
        </w:rPr>
        <w:t xml:space="preserve">These unaudited consolidated financial statements and related notes should be read in conjunction with the consolidated financial statements and related notes for the year ended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shd w:fill="FFFFFF" w:val="clear"/>
        </w:rPr>
        <w:t>included in the Form 10-K.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preparation of consolidated financial statements in conformity with GAAP requires management to make estimates and assumptions that affect the amounts reported in the consolidated financial statements and accompanying notes. Actual results may differ from those estimates.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Investment consolidation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When the Company has a variable interest in an entity, it is required to determine whether the entity is a variable interest entity ("VIE") or a voting interest entity ("VOE"), the classification of which will determine the consolidation model that the Company is required to follow when determining whether it should consolidate the entity. When an entity does not possess the characteristics of a VIE, the Company will determine whether it has a controlling financial interest and meets the criteria for consolidation under the voting interest entity model.</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An entity is a VIE if the equity investors (i) do not have sufficient equity at risk for the entity to finance its activities without additional subordinated financial support, (ii) are unable to direct the entity’s activities or (iii) are not exposed to the entity’s losses or entitled to its residual returns. VIEs within the scope of Accounting Standards Codification ("ASC") 810-10,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51155"/>
                <wp:effectExtent l="0" t="0" r="0" b="0"/>
                <wp:wrapNone/>
                <wp:docPr id="9" name="Frame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TPG Mortgage Investment Trust,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"Consolidation" are required to be consolidated by their primary beneficiary. The primary beneficiary of a VIE is determined to be the party that has both the power to direct the activities of a VIE that most significantly impact the VIE’s economic performance and the obligation to absorb losses or the right to receive benefits from the VIE that could potentially be significant to the VIE. This determination can sometimes involve complex and subjective analyses. Further, ASC 810-10 also requires ongoing assessments of whether an enterprise is the primary beneficiary of a VIE. In accordance with ASC 810-10, all transferees, including variable interest entities, must be evaluated for consolidation. If the Company determines that consolidation is not required, it will then assess whether the transfer of the underlying assets would qualify as a sale, should be accounted for as secured financings under GAAP, or should be accounted for as an equity method investment, depending on the circumstances.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 Special Purpose Entity ("SPE") is an entity designed to fulfill a specific limited need of the company that organized it. SPEs are often used to facilitate transactions that involve securitizing financial assets. The objective of such transactions may include obtaining non-recourse financing, obtaining liquidity or refinancing the underlying securitized financial assets on improved terms. Securitization involves transferring assets to an SPE to convert all or a portion of those assets into cash before they would have been realized in the normal course of business through the SPE’s issuance of debt or equity instruments. Investors in an SPE usually have recourse only to the assets in the SPE and depending on the overall structure of the transaction, may benefit from various forms of credit enhancement, such as over-collateralization in the form of excess assets in the SPE, priority with respect to receipt of cash flows relative to holders of other debt or equity instruments issued by the SPE, or a line of credit or other form of liquidity agreement that is designed with the objective of ensuring that investors receive principal and/or interest cash flow on the investment in accordance with the terms of their investment agreement.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enters into securitization transactions collateralized by its Non-Agency Loans/Agency-Eligible Loans, Home Equity Loans, and re- and non-performing loans (the trusts in which these loans are deposited are referred to as "Non-Agency VIEs", "Home Equity VIEs", and "RPL/NPL VIEs", respectively), which may result in the Company consolidating the respective VIEs that are created to facilitate these securitizations. Based on the evaluations of each VIE, the Company may conclude that the VIEs should be consolidated and, as a result, transferred assets of these VIEs would be determined to be secured borrowings. Upon consolidation, the Company elected the fair value option pursuant to ASC 825 for the assets and liabilities of the Non-Agency VIEs, Home Equity VIEs, and RPL/NPL VIEs. Electing the fair value option allows the Company to record changes in fair value in the consolidated statement of operations, which, in management's view, more appropriately reflects the results of operations for a particular reporting period as all activities will be recorded in a similar manner. The Company applied the guidance under ASC 810-10 (Measuring the Financial Assets and the Financial Liabilities of a Consolidated Collateralized Financing Entity) whereby the Company determines whether the fair value of the assets or liabilities of the Non-Agency VIEs, Home Equity VIEs, and RPL/NPL VIEs are more observable as a basis for measuring the less observable financial instruments. The Company has determined that the fair value of the liabilities of the Non-Agency VIEs, Home Equity VIEs, and RPL/NPL VIEs are more observable since the prices for these liabilities are more easily determined as similar instruments trade more frequently on a relative basis than the individual assets of the VIEs. See Note 3 for more detail regarding the Non-Agency VIEs, Home Equity VIEs, and RPL/NPL VIEs.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Transfers of financial assets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may periodically enter into transactions in which it transfers assets to a third-party. Upon a transfer of financial assets, the Company will sometimes retain or acquire senior or subordinated interests in the related assets. Pursuant to ASC 860-10, "Transfers and Servicing", a determination must be made as to whether a transferor has surrendered control over transferred financial assets. That determination must consider the transferor’s continuing involvement in the transferred financial asset, including all arrangements or agreements made contemporaneously with, or in contemplation of, the transfer, even if they were not entered into at the time of the transfer. The financial components approach under ASC 860-10 limits the circumstances in which a financial asset, or portion of a financial asset, should be derecognized when the transferor has not transferred the entire original financial asset to an entity that is not consolidated with the transferor in the financial statements being presented and/or when the transferor has continuing involvement with the transferred financial asset. It defines the term "participating interest" to establish specific conditions for reporting a transfer of a portion of a financial asset as a sale.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Under ASC 860-10, after a transfer of financial assets that meets the criteria for treatment as a sale—legal isolation, ability of transferee to pledge or exchange the transferred assets without constraint and transferred control—an entity recognizes the financial and servicing assets it acquired or retained and the liabilities it has incurred, derecognizes financial assets it has sold and derecognizes liabilities when extinguished. The transferor would then determine the gain or loss on sale of financial assets by allocating the carrying value of the underlying mortgage between securities or loans sold and the interests retained based on their fair value. The gain or loss on sale is the difference between the cash proceeds from the sale and the amount allocated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51155"/>
                <wp:effectExtent l="0" t="0" r="0" b="0"/>
                <wp:wrapNone/>
                <wp:docPr id="10" name="Frame1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TPG Mortgage Investment Trust,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securities or loans sold. When a transfer of financial assets does not qualify for sale accounting, ASC 860-10 requires the transfer to be accounted for as a secured borrowing with a pledge of collateral.</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may securitize mortgage loans it holds if such financing is available. These transactions will be recorded in accordance with ASC 860-10 and will be accounted for as either a "sale" and the loans will be removed from the consolidated balance sheets or as a "financing" and will be classified as "Securitized residential mortgage loans, at fair value" on the consolidated balance sheets, depending upon the structure of the securitization transaction. ASC 860-10 is a standard that may require the Company to exercise significant judgment in determining whether a transaction should be recorded as a "sale" or a "financing."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Recent accounting pronouncements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Expense disaggregation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November 2024, the FASB issued ASU 2024-03, "Income Statement - Reporting Comprehensive Income Expense Disaggregation Disclosures (Subtopic 220- 40)", and in January 2025, the FASB issued ASU 2025-01, "Income Statement - Reporting Comprehensive Income - Expense Disaggregation Disclosures (Subtopic 220-40): Clarifying the Effective Date". This standard requires public companies to disclose additional information about specific expense categories in the notes to financial statements at interim and annual reporting periods. The new standard, as clarified by ASU 2025-01, is effective for annual reporting periods beginning after December 15, 2026, and interim reporting periods beginning after December 15, 2027, with early adoption permitted. The Company is currently evaluating the potential impact upon adoption, but does not expect the adoption of the new standard to have a material effect on its consolidated financial statements.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Interim Reporting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2025, the FASB issued ASU 2025-11, "Interim Reporting (Topic 270): Narrow-Scope Improvements," which amends the guidance in ASC 270, Interim Reporting. This standard enhances interim disclosure requirements by clarifying the information that must be presented in quarterly periods, including improved transparency regarding significant events, accounting policy updates, and material developments that occur between annual reporting dates. This ASU also aligns certain interim reporting requirements more closely with annual disclosure objectives to promote consistency and comparability. The amendments are effective for interim periods beginning after December 15, 2027, with early adoption permitted. The Company is currently evaluating the potential impact upon adoption, but does not expect the adoption of the new standard to have a material effect on its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51155"/>
                <wp:effectExtent l="0" t="0" r="0" b="0"/>
                <wp:wrapNone/>
                <wp:docPr id="11" name="Frame1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TPG Mortgage Investment Trust,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3. Loans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Residential mortgage loans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tables below detail information regarding the Company’s residential mortgage loan portfolio by collateral type as of June 30, 2026 and December 31, 2025 ($ in thousands). The gross unrealized gains/(losses) in the table below represent inception to date gains/(losses) since acquisition. </w:t>
      </w:r>
    </w:p>
    <w:tbl>
      <w:tblPr>
        <w:tblW w:w="13055" w:type="dxa"/>
        <w:jc w:val="left"/>
        <w:tblInd w:w="0" w:type="dxa"/>
        <w:tblLayout w:type="fixed"/>
        <w:tblCellMar>
          <w:top w:w="28" w:type="dxa"/>
          <w:left w:w="28" w:type="dxa"/>
          <w:bottom w:w="28" w:type="dxa"/>
          <w:right w:w="28" w:type="dxa"/>
        </w:tblCellMar>
      </w:tblPr>
      <w:tblGrid>
        <w:gridCol w:w="643"/>
        <w:gridCol w:w="385"/>
        <w:gridCol w:w="248"/>
        <w:gridCol w:w="196"/>
        <w:gridCol w:w="871"/>
        <w:gridCol w:w="109"/>
        <w:gridCol w:w="109"/>
        <w:gridCol w:w="109"/>
        <w:gridCol w:w="109"/>
        <w:gridCol w:w="196"/>
        <w:gridCol w:w="736"/>
        <w:gridCol w:w="109"/>
        <w:gridCol w:w="109"/>
        <w:gridCol w:w="109"/>
        <w:gridCol w:w="109"/>
        <w:gridCol w:w="207"/>
        <w:gridCol w:w="922"/>
        <w:gridCol w:w="117"/>
        <w:gridCol w:w="109"/>
        <w:gridCol w:w="109"/>
        <w:gridCol w:w="109"/>
        <w:gridCol w:w="196"/>
        <w:gridCol w:w="736"/>
        <w:gridCol w:w="109"/>
        <w:gridCol w:w="109"/>
        <w:gridCol w:w="109"/>
        <w:gridCol w:w="109"/>
        <w:gridCol w:w="196"/>
        <w:gridCol w:w="751"/>
        <w:gridCol w:w="109"/>
        <w:gridCol w:w="109"/>
        <w:gridCol w:w="109"/>
        <w:gridCol w:w="109"/>
        <w:gridCol w:w="196"/>
        <w:gridCol w:w="871"/>
        <w:gridCol w:w="109"/>
        <w:gridCol w:w="109"/>
        <w:gridCol w:w="109"/>
        <w:gridCol w:w="109"/>
        <w:gridCol w:w="233"/>
        <w:gridCol w:w="233"/>
        <w:gridCol w:w="356"/>
        <w:gridCol w:w="109"/>
        <w:gridCol w:w="109"/>
        <w:gridCol w:w="109"/>
        <w:gridCol w:w="233"/>
        <w:gridCol w:w="233"/>
        <w:gridCol w:w="253"/>
        <w:gridCol w:w="109"/>
        <w:gridCol w:w="109"/>
        <w:gridCol w:w="109"/>
        <w:gridCol w:w="259"/>
        <w:gridCol w:w="259"/>
        <w:gridCol w:w="368"/>
      </w:tblGrid>
      <w:tr>
        <w:trPr/>
        <w:tc>
          <w:tcPr>
            <w:tcW w:w="64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Unpaid Principal 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w:t>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June 30, 2026</w:t>
            </w:r>
          </w:p>
        </w:tc>
        <w:tc>
          <w:tcPr>
            <w:tcW w:w="117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Premium</w:t>
              <w:br/>
              <w:t>(Discount)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Coupon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Yield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Life </w:t>
              <w:br/>
              <w:t>(Years) (2)</w:t>
            </w:r>
          </w:p>
        </w:tc>
      </w:tr>
      <w:tr>
        <w:trPr/>
        <w:tc>
          <w:tcPr>
            <w:tcW w:w="3820"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Securitized residential mortgage loans, at fair value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Non-Agency Loans (4)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6,397,864 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6,458,551 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(299,731)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6,212,018 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5.79 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5.65 </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7.36</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Home Equity Loans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726,148 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781,045 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780,920 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9.80 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7.23 </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4.48</w:t>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 and Non-Performing Loans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139,408 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5.91 </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5.18</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Securitized residential mortgage loans, at fair value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7,272,145 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106,859 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7,379,004 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61,715 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(321,544)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7,119,175 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6.16 </w:t>
            </w:r>
          </w:p>
        </w:tc>
        <w:tc>
          <w:tcPr>
            <w:tcW w:w="3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5.82 </w:t>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7.03</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 mortgage loans,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Agency-Eligible Loans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20,455 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6.86 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6.21 </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Home Equity Loans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234,060 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8.88 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7.73 </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4.79</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Non-Agency Loans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7,293 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6.42 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4.40 </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4.86</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 and Non-Performing Loans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Residential mortgage loans, at fair value</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253,882 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262,111 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262,285 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8.65 </w:t>
            </w:r>
          </w:p>
        </w:tc>
        <w:tc>
          <w:tcPr>
            <w:tcW w:w="3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7.78 </w:t>
            </w:r>
          </w:p>
        </w:tc>
        <w:tc>
          <w:tcPr>
            <w:tcW w:w="2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4.73</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Total as of June 30, 2026</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7,526,027 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115,088 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7,641,115 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62,653 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(322,308)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7,381,460 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6.24 </w:t>
            </w:r>
          </w:p>
        </w:tc>
        <w:tc>
          <w:tcPr>
            <w:tcW w:w="3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5.89 </w:t>
            </w:r>
          </w:p>
        </w:tc>
        <w:tc>
          <w:tcPr>
            <w:tcW w:w="2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6.95</w:t>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Unpaid Principal 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w:t>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color w:val="000000"/>
                <w:sz w:val="16"/>
              </w:rPr>
            </w:pPr>
            <w:r>
              <w:rPr>
                <w:rFonts w:ascii="Times New Roman;serif" w:hAnsi="Times New Roman;serif"/>
                <w:b/>
                <w:color w:val="000000"/>
                <w:sz w:val="16"/>
              </w:rPr>
              <w:t>December 31, 2025</w:t>
            </w:r>
          </w:p>
        </w:tc>
        <w:tc>
          <w:tcPr>
            <w:tcW w:w="117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Premium</w:t>
              <w:br/>
              <w:t>(Discount)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Coupon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Yield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Life </w:t>
              <w:br/>
              <w:t>(Years) (2)</w:t>
            </w:r>
          </w:p>
        </w:tc>
      </w:tr>
      <w:tr>
        <w:trPr/>
        <w:tc>
          <w:tcPr>
            <w:tcW w:w="3820"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Securitized residential mortgage loans, at fair value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Non-Agency Loans (4)</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7,026,365 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7,086,120 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6,904,872 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5.87 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5.74 </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7.30</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Home Equity Loans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874,718 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935,959 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960,533 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9.81 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7.70 </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5.43</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 and Non-Performing Loans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146,291 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5.93 </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5.54</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Securitized residential mortgage loans, at fair value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8,057,067 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111,303 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8,168,370 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109,444 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(278,195)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7,999,619 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6.27 </w:t>
            </w:r>
          </w:p>
        </w:tc>
        <w:tc>
          <w:tcPr>
            <w:tcW w:w="3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5.97 </w:t>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7.07</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 mortgage loans,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Agency-Eligible Loans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20,850 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6.83 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6.34 </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4.83</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Home Equity Loans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141,717 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9.07 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7.77 </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4.83</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Non-Agency Loans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37,216 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6.14 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3.62 </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4.17</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 and Non-Performing Loans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Residential mortgage loans, at fair value</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194,046 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6,181 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200,227 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199,677 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8.27 </w:t>
            </w:r>
          </w:p>
        </w:tc>
        <w:tc>
          <w:tcPr>
            <w:tcW w:w="3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7.22 </w:t>
            </w:r>
          </w:p>
        </w:tc>
        <w:tc>
          <w:tcPr>
            <w:tcW w:w="2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4.68</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Total as of December 31, 2025</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8,251,113 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117,484 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8,368,597 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111,061 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(280,362)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8,199,296 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6.32 </w:t>
            </w:r>
          </w:p>
        </w:tc>
        <w:tc>
          <w:tcPr>
            <w:tcW w:w="3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6.00 </w:t>
            </w:r>
          </w:p>
        </w:tc>
        <w:tc>
          <w:tcPr>
            <w:tcW w:w="2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7.01</w:t>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NM - Not Meaningful</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(1)The weighted average yields are calculated based on the amortized cost of the underlying loans.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(2)This is based on projected life. Typically, actual maturities are shorter than stated contractual maturities. Maturities are affected by the lives of the underlying mortgage loans, periodic payments of principal, and prepayments of principal.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(3)Refer to the "Variable interest entities" section below for additional details related to the assets and liabilities of VIEs consolidated on the Company's consolidated balance sheets.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(4)Securitized Non-Agency Loans include loans that were considered to be Agency-Eligible prior to the Company's securitization. </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51155"/>
                <wp:effectExtent l="0" t="0" r="0" b="0"/>
                <wp:wrapNone/>
                <wp:docPr id="12" name="Frame1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TPG Mortgage Investment Trust,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present information regarding the delinquency status of the Company's residential mortgage loans ($ in thousands). </w:t>
      </w:r>
    </w:p>
    <w:tbl>
      <w:tblPr>
        <w:tblW w:w="10205" w:type="dxa"/>
        <w:jc w:val="center"/>
        <w:tblInd w:w="0" w:type="dxa"/>
        <w:tblLayout w:type="fixed"/>
        <w:tblCellMar>
          <w:top w:w="28" w:type="dxa"/>
          <w:left w:w="28" w:type="dxa"/>
          <w:bottom w:w="28" w:type="dxa"/>
          <w:right w:w="28" w:type="dxa"/>
        </w:tblCellMar>
      </w:tblPr>
      <w:tblGrid>
        <w:gridCol w:w="843"/>
        <w:gridCol w:w="482"/>
        <w:gridCol w:w="320"/>
        <w:gridCol w:w="109"/>
        <w:gridCol w:w="109"/>
        <w:gridCol w:w="109"/>
        <w:gridCol w:w="221"/>
        <w:gridCol w:w="984"/>
        <w:gridCol w:w="123"/>
        <w:gridCol w:w="109"/>
        <w:gridCol w:w="109"/>
        <w:gridCol w:w="109"/>
        <w:gridCol w:w="109"/>
        <w:gridCol w:w="109"/>
        <w:gridCol w:w="409"/>
        <w:gridCol w:w="271"/>
        <w:gridCol w:w="230"/>
        <w:gridCol w:w="109"/>
        <w:gridCol w:w="109"/>
        <w:gridCol w:w="109"/>
        <w:gridCol w:w="110"/>
        <w:gridCol w:w="110"/>
        <w:gridCol w:w="110"/>
        <w:gridCol w:w="110"/>
        <w:gridCol w:w="248"/>
        <w:gridCol w:w="255"/>
        <w:gridCol w:w="571"/>
        <w:gridCol w:w="110"/>
        <w:gridCol w:w="110"/>
        <w:gridCol w:w="110"/>
        <w:gridCol w:w="223"/>
        <w:gridCol w:w="187"/>
        <w:gridCol w:w="414"/>
        <w:gridCol w:w="110"/>
        <w:gridCol w:w="110"/>
        <w:gridCol w:w="110"/>
        <w:gridCol w:w="223"/>
        <w:gridCol w:w="187"/>
        <w:gridCol w:w="414"/>
        <w:gridCol w:w="109"/>
        <w:gridCol w:w="109"/>
        <w:gridCol w:w="109"/>
        <w:gridCol w:w="228"/>
        <w:gridCol w:w="226"/>
        <w:gridCol w:w="520"/>
      </w:tblGrid>
      <w:tr>
        <w:trPr/>
        <w:tc>
          <w:tcPr>
            <w:tcW w:w="843"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r>
      <w:tr>
        <w:trPr/>
        <w:tc>
          <w:tcPr>
            <w:tcW w:w="1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Unpaid Principal 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Loan Count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Aging by Unpaid Principal Balance (1)</w:t>
            </w:r>
          </w:p>
        </w:tc>
        <w:tc>
          <w:tcPr>
            <w:tcW w:w="1301" w:type="dxa"/>
            <w:gridSpan w:val="6"/>
            <w:tcBorders/>
          </w:tcPr>
          <w:p>
            <w:pPr>
              <w:pStyle w:val="TableContents"/>
              <w:bidi w:val="0"/>
              <w:spacing w:before="0" w:after="283"/>
              <w:jc w:val="left"/>
              <w:rPr>
                <w:sz w:val="4"/>
                <w:szCs w:val="4"/>
              </w:rPr>
            </w:pPr>
            <w:r>
              <w:rPr>
                <w:sz w:val="4"/>
                <w:szCs w:val="4"/>
              </w:rPr>
            </w:r>
          </w:p>
        </w:tc>
      </w:tr>
      <w:tr>
        <w:trPr/>
        <w:tc>
          <w:tcPr>
            <w:tcW w:w="16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0"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Current</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30-59 Days</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60-89 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90+ Days (2)</w:t>
            </w:r>
          </w:p>
        </w:tc>
      </w:tr>
      <w:tr>
        <w:trPr/>
        <w:tc>
          <w:tcPr>
            <w:tcW w:w="1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Securitized residential mortgage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Non-Agency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6,397,864 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17,097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6,212,884</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72,785</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76,427</w:t>
            </w:r>
          </w:p>
        </w:tc>
      </w:tr>
      <w:tr>
        <w:trPr/>
        <w:tc>
          <w:tcPr>
            <w:tcW w:w="1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Home Equity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726,148 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9,076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716,679</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3,476</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5,444</w:t>
            </w:r>
          </w:p>
        </w:tc>
      </w:tr>
      <w:tr>
        <w:trPr/>
        <w:tc>
          <w:tcPr>
            <w:tcW w:w="1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 and Non-Performing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148,133 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119,530</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11,218</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13,726</w:t>
            </w:r>
          </w:p>
        </w:tc>
      </w:tr>
      <w:tr>
        <w:trPr/>
        <w:tc>
          <w:tcPr>
            <w:tcW w:w="1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Securitized residential mortgage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7,272,145 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27,192 </w:t>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7,049,093</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87,479</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95,597</w:t>
            </w:r>
          </w:p>
        </w:tc>
      </w:tr>
      <w:tr>
        <w:trPr/>
        <w:tc>
          <w:tcPr>
            <w:tcW w:w="1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Residential mortgage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Agency-Eligible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20,169 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19,716</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453</w:t>
            </w:r>
          </w:p>
        </w:tc>
      </w:tr>
      <w:tr>
        <w:trPr/>
        <w:tc>
          <w:tcPr>
            <w:tcW w:w="1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Home Equity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225,684 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2,377 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225,315</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w:t>
            </w:r>
          </w:p>
        </w:tc>
      </w:tr>
      <w:tr>
        <w:trPr/>
        <w:tc>
          <w:tcPr>
            <w:tcW w:w="1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Non-Agency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7,179 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3,896</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511</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2,772</w:t>
            </w:r>
          </w:p>
        </w:tc>
      </w:tr>
      <w:tr>
        <w:trPr/>
        <w:tc>
          <w:tcPr>
            <w:tcW w:w="1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 and Non-Performing Loans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r>
      <w:tr>
        <w:trPr/>
        <w:tc>
          <w:tcPr>
            <w:tcW w:w="1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Residential mortgage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253,882 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2,425 </w:t>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248,927</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511</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3,594</w:t>
            </w:r>
          </w:p>
        </w:tc>
      </w:tr>
      <w:tr>
        <w:trPr/>
        <w:tc>
          <w:tcPr>
            <w:tcW w:w="1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Total as of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8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7,526,027 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29,617 </w:t>
            </w:r>
          </w:p>
        </w:tc>
        <w:tc>
          <w:tcPr>
            <w:tcW w:w="2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7,298,020</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87,990</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99,191</w:t>
            </w:r>
          </w:p>
        </w:tc>
      </w:tr>
      <w:tr>
        <w:trPr/>
        <w:tc>
          <w:tcPr>
            <w:tcW w:w="1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Percent of Unpaid Principal Balance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97.0 </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Unpaid Principal 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Loan Count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Aging by Unpaid Principal Balance (1)</w:t>
            </w:r>
          </w:p>
        </w:tc>
        <w:tc>
          <w:tcPr>
            <w:tcW w:w="1301" w:type="dxa"/>
            <w:gridSpan w:val="6"/>
            <w:tcBorders/>
          </w:tcPr>
          <w:p>
            <w:pPr>
              <w:pStyle w:val="TableContents"/>
              <w:bidi w:val="0"/>
              <w:spacing w:before="0" w:after="283"/>
              <w:jc w:val="left"/>
              <w:rPr>
                <w:sz w:val="4"/>
                <w:szCs w:val="4"/>
              </w:rPr>
            </w:pPr>
            <w:r>
              <w:rPr>
                <w:sz w:val="4"/>
                <w:szCs w:val="4"/>
              </w:rPr>
            </w:r>
          </w:p>
        </w:tc>
      </w:tr>
      <w:tr>
        <w:trPr/>
        <w:tc>
          <w:tcPr>
            <w:tcW w:w="16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0"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Current</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30-59 Days</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60-89 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90+ Days (2)</w:t>
            </w:r>
          </w:p>
        </w:tc>
      </w:tr>
      <w:tr>
        <w:trPr/>
        <w:tc>
          <w:tcPr>
            <w:tcW w:w="1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Securitized residential mortgage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Non-Agency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7,026,365 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6,833,324</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76,326</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32,323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84,392</w:t>
            </w:r>
          </w:p>
        </w:tc>
      </w:tr>
      <w:tr>
        <w:trPr/>
        <w:tc>
          <w:tcPr>
            <w:tcW w:w="1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Home Equity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874,718 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10,599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869,432</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2,963</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1,834</w:t>
            </w:r>
          </w:p>
        </w:tc>
      </w:tr>
      <w:tr>
        <w:trPr/>
        <w:tc>
          <w:tcPr>
            <w:tcW w:w="1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 and Non-Performing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155,984 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123,901</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14,730</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12,106</w:t>
            </w:r>
          </w:p>
        </w:tc>
      </w:tr>
      <w:tr>
        <w:trPr/>
        <w:tc>
          <w:tcPr>
            <w:tcW w:w="1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Securitized residential mortgage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8,057,067 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30,102 </w:t>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7,826,657</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94,019</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98,332</w:t>
            </w:r>
          </w:p>
        </w:tc>
      </w:tr>
      <w:tr>
        <w:trPr/>
        <w:tc>
          <w:tcPr>
            <w:tcW w:w="1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Residential mortgage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Agency-Eligible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20,524 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19,825</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699</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Home Equity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135,804 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135,773</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w:t>
            </w:r>
          </w:p>
        </w:tc>
      </w:tr>
      <w:tr>
        <w:trPr/>
        <w:tc>
          <w:tcPr>
            <w:tcW w:w="1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Non-Agency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36,578 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16,468</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1,444</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17,554</w:t>
            </w:r>
          </w:p>
        </w:tc>
      </w:tr>
      <w:tr>
        <w:trPr/>
        <w:tc>
          <w:tcPr>
            <w:tcW w:w="1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 and Non-Performing Loans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r>
      <w:tr>
        <w:trPr/>
        <w:tc>
          <w:tcPr>
            <w:tcW w:w="1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Residential mortgage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194,046 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1,459 </w:t>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172,066</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2,143</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17,585</w:t>
            </w:r>
          </w:p>
        </w:tc>
      </w:tr>
      <w:tr>
        <w:trPr/>
        <w:tc>
          <w:tcPr>
            <w:tcW w:w="1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Total as of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8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8,251,113 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31,561 </w:t>
            </w:r>
          </w:p>
        </w:tc>
        <w:tc>
          <w:tcPr>
            <w:tcW w:w="2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7,998,723</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96,162</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115,917</w:t>
            </w:r>
          </w:p>
        </w:tc>
      </w:tr>
      <w:tr>
        <w:trPr/>
        <w:tc>
          <w:tcPr>
            <w:tcW w:w="1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Percent of Unpaid Principal Balance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96.9 </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(1)Loan count and aging data exclude the Re- and Non-Performing Loans subcategory of Residential mortgage loans above as there may be limited data available regarding the underlying collateral of these residual positions. </w:t>
      </w:r>
    </w:p>
    <w:p>
      <w:pPr>
        <w:pStyle w:val="TextBody"/>
        <w:bidi w:val="0"/>
        <w:spacing w:lineRule="auto" w:line="26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(2)Represents loans that either have a delinquency status greater than 90 days or are in the process of foreclosure. As of June 30, 2026, the $99.2 million of unpaid principal balance included securitized residential mortgage loans and residential mortgage loans that were 90+ days delinquent with a fair value of $52.9 million and loans in the process of foreclosure with a fair value of $41.7 million. As of December 31, 2025, the $115.9 million of unpaid principal balance included securitized residential mortgage loans and residential mortgage loans that were 90+ days delinquent with a fair value of $54.0 million and loans in the process of foreclosure with a fair value of $57.1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6.2% and 6.4%, respectively, of the unpaid principal balance of the Company's securitized residential mortgage loans and residential mortgage loans were adjustable rate mortgages.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and 2025, the Company purchased residential mortgage loans, as detailed below (in thousands).</w:t>
      </w:r>
    </w:p>
    <w:tbl>
      <w:tblPr>
        <w:tblW w:w="12085" w:type="dxa"/>
        <w:jc w:val="center"/>
        <w:tblInd w:w="0" w:type="dxa"/>
        <w:tblLayout w:type="fixed"/>
        <w:tblCellMar>
          <w:top w:w="28" w:type="dxa"/>
          <w:left w:w="28" w:type="dxa"/>
          <w:bottom w:w="28" w:type="dxa"/>
          <w:right w:w="28" w:type="dxa"/>
        </w:tblCellMar>
      </w:tblPr>
      <w:tblGrid>
        <w:gridCol w:w="462"/>
        <w:gridCol w:w="406"/>
        <w:gridCol w:w="408"/>
        <w:gridCol w:w="109"/>
        <w:gridCol w:w="109"/>
        <w:gridCol w:w="109"/>
        <w:gridCol w:w="196"/>
        <w:gridCol w:w="646"/>
        <w:gridCol w:w="109"/>
        <w:gridCol w:w="109"/>
        <w:gridCol w:w="109"/>
        <w:gridCol w:w="109"/>
        <w:gridCol w:w="196"/>
        <w:gridCol w:w="64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54"/>
      </w:tblGrid>
      <w:tr>
        <w:trPr/>
        <w:tc>
          <w:tcPr>
            <w:tcW w:w="462"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Unpaid Principal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Unpaid Principal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Unpaid Principal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Unpaid Principal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 (1)</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Agency-Eligible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331,375 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340,587 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692,913 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707,355 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Home Equity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232,589 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67,264 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70,147 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430,894 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444,936 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151,230 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157,016 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915,708 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939,944 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(1)Fair value represents purchase price at acquisition.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51155"/>
                <wp:effectExtent l="0" t="0" r="0" b="0"/>
                <wp:wrapNone/>
                <wp:docPr id="13" name="Frame1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TPG Mortgage Investment Trust,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and six months ended June 30, 2026 and 2025, the Company sold residential mortgage loans as detailed below ($ in thousands). </w:t>
      </w:r>
    </w:p>
    <w:tbl>
      <w:tblPr>
        <w:tblW w:w="10735" w:type="dxa"/>
        <w:jc w:val="center"/>
        <w:tblInd w:w="0" w:type="dxa"/>
        <w:tblLayout w:type="fixed"/>
        <w:tblCellMar>
          <w:top w:w="28" w:type="dxa"/>
          <w:left w:w="28" w:type="dxa"/>
          <w:bottom w:w="28" w:type="dxa"/>
          <w:right w:w="28" w:type="dxa"/>
        </w:tblCellMar>
      </w:tblPr>
      <w:tblGrid>
        <w:gridCol w:w="557"/>
        <w:gridCol w:w="493"/>
        <w:gridCol w:w="256"/>
        <w:gridCol w:w="109"/>
        <w:gridCol w:w="109"/>
        <w:gridCol w:w="109"/>
        <w:gridCol w:w="250"/>
        <w:gridCol w:w="250"/>
        <w:gridCol w:w="251"/>
        <w:gridCol w:w="109"/>
        <w:gridCol w:w="109"/>
        <w:gridCol w:w="109"/>
        <w:gridCol w:w="196"/>
        <w:gridCol w:w="646"/>
        <w:gridCol w:w="109"/>
        <w:gridCol w:w="109"/>
        <w:gridCol w:w="109"/>
        <w:gridCol w:w="109"/>
        <w:gridCol w:w="202"/>
        <w:gridCol w:w="435"/>
        <w:gridCol w:w="114"/>
        <w:gridCol w:w="109"/>
        <w:gridCol w:w="109"/>
        <w:gridCol w:w="109"/>
        <w:gridCol w:w="196"/>
        <w:gridCol w:w="571"/>
        <w:gridCol w:w="109"/>
        <w:gridCol w:w="109"/>
        <w:gridCol w:w="109"/>
        <w:gridCol w:w="109"/>
        <w:gridCol w:w="250"/>
        <w:gridCol w:w="250"/>
        <w:gridCol w:w="251"/>
        <w:gridCol w:w="109"/>
        <w:gridCol w:w="109"/>
        <w:gridCol w:w="109"/>
        <w:gridCol w:w="196"/>
        <w:gridCol w:w="646"/>
        <w:gridCol w:w="109"/>
        <w:gridCol w:w="109"/>
        <w:gridCol w:w="109"/>
        <w:gridCol w:w="109"/>
        <w:gridCol w:w="196"/>
        <w:gridCol w:w="556"/>
        <w:gridCol w:w="109"/>
        <w:gridCol w:w="109"/>
        <w:gridCol w:w="109"/>
        <w:gridCol w:w="109"/>
        <w:gridCol w:w="196"/>
        <w:gridCol w:w="571"/>
        <w:gridCol w:w="154"/>
      </w:tblGrid>
      <w:tr>
        <w:trPr/>
        <w:tc>
          <w:tcPr>
            <w:tcW w:w="557"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Loans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Proceeds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Loans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Proceeds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Realized Losses</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Non-Agency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Home Equity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601 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 and Non-Performing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652 </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75,706 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(1,790)</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Agency-Eligible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Non-Agency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 and Non-Performing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197 </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(2,520)</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residential mortgage loan portfolio consists of mortgage loans on residential real estate located throughout the United States. The following is a summary of the geographic concentration of credit risk as of June 30, 2026 and December 31, 2025 and includes states where the exposure is greater than 5% of the fair value of the Company's residential mortgage loan portfolio.</w:t>
      </w:r>
    </w:p>
    <w:p>
      <w:pPr>
        <w:pStyle w:val="TextBody"/>
        <w:bidi w:val="0"/>
        <w:spacing w:lineRule="auto" w:line="288" w:before="0" w:after="0"/>
        <w:jc w:val="center"/>
        <w:rPr>
          <w:color w:val="000000"/>
        </w:rPr>
      </w:pPr>
      <w:r>
        <w:rPr>
          <w:color w:val="000000"/>
        </w:rPr>
        <w:t> </w:t>
      </w:r>
    </w:p>
    <w:tbl>
      <w:tblPr>
        <w:tblW w:w="6627" w:type="dxa"/>
        <w:jc w:val="center"/>
        <w:tblInd w:w="0" w:type="dxa"/>
        <w:tblLayout w:type="fixed"/>
        <w:tblCellMar>
          <w:top w:w="28" w:type="dxa"/>
          <w:left w:w="28" w:type="dxa"/>
          <w:bottom w:w="28" w:type="dxa"/>
          <w:right w:w="28" w:type="dxa"/>
        </w:tblCellMar>
      </w:tblPr>
      <w:tblGrid>
        <w:gridCol w:w="1288"/>
        <w:gridCol w:w="1132"/>
        <w:gridCol w:w="1135"/>
        <w:gridCol w:w="264"/>
        <w:gridCol w:w="264"/>
        <w:gridCol w:w="627"/>
        <w:gridCol w:w="109"/>
        <w:gridCol w:w="109"/>
        <w:gridCol w:w="109"/>
        <w:gridCol w:w="333"/>
        <w:gridCol w:w="333"/>
        <w:gridCol w:w="924"/>
      </w:tblGrid>
      <w:tr>
        <w:trPr/>
        <w:tc>
          <w:tcPr>
            <w:tcW w:w="1288"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Geographic Concentration of Credit Risk (1)</w:t>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California</w:t>
            </w:r>
          </w:p>
        </w:tc>
        <w:tc>
          <w:tcPr>
            <w:tcW w:w="5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6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9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Florida</w:t>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9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New York</w:t>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6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9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Texas</w:t>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9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6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9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(1)Excludes the Re- and Non-Performing Loans subcategory of Residential mortgage loans above as there may be limited data available regarding the underlying collateral of these residual positions.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Variable interest entities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The Company entered into securitization transactions collateralized by its Non-Agency Loans/Agency-Eligible Loans, Home Equity Loans, and re- and non-performing loans, of which the securitization trusts are considered VIEs. The Company was determined to be the primary beneficiary of the VIEs and, as a result, consolidated the assets and liabilities of the VIEs on its consolidated balance sheets. In a securitization transaction, a pool of loans is transferred to a wholly-owned subsidiary of the Company and the loans are deposited into a newly created securitization trust. The securitization trust issues various classes of mortgage pass-through certificates backed by the cash flows from the underlying residential mortgage loans (the "Certificates"). </w:t>
      </w:r>
      <w:r>
        <w:rPr>
          <w:rFonts w:ascii="Times New Roman;serif" w:hAnsi="Times New Roman;serif"/>
          <w:b w:val="false"/>
          <w:color w:val="000000"/>
          <w:sz w:val="20"/>
          <w:shd w:fill="FFFFFF" w:val="clear"/>
        </w:rPr>
        <w:t>As the sponsor of the securitization, the Company retains certain Certificates issued by the securitization trusts in order to satisfy risk retention rules, which generally require the sponsor to retain at least 5% of the fair value of the Certificates issued in the securitization</w:t>
      </w:r>
      <w:r>
        <w:rPr>
          <w:rFonts w:ascii="Times New Roman;serif" w:hAnsi="Times New Roman;serif"/>
          <w:b w:val="false"/>
          <w:color w:val="000000"/>
          <w:sz w:val="20"/>
        </w:rPr>
        <w:t xml:space="preserve">. The Company's continuing involvement in these securitization trusts represents its retained Certificates and the ability to purchase all of the outstanding Certificates upon the occurrence of certain events through an optional redemption right held by the Company. The Company has also engaged a related party of the Manager and subsidiary of TPG to act as the servicing administrator of certain securitization trusts.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51155"/>
                <wp:effectExtent l="0" t="0" r="0" b="0"/>
                <wp:wrapNone/>
                <wp:docPr id="14" name="Frame1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TPG Mortgage Investment Trust,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details the carrying value related to the assets and liabilities of the Company’s consolidated VIEs as of June 30, 2026 and December 31, 2025 (in thousands).</w:t>
      </w:r>
    </w:p>
    <w:tbl>
      <w:tblPr>
        <w:tblW w:w="12430" w:type="dxa"/>
        <w:jc w:val="center"/>
        <w:tblInd w:w="0" w:type="dxa"/>
        <w:tblLayout w:type="fixed"/>
        <w:tblCellMar>
          <w:top w:w="28" w:type="dxa"/>
          <w:left w:w="28" w:type="dxa"/>
          <w:bottom w:w="28" w:type="dxa"/>
          <w:right w:w="28" w:type="dxa"/>
        </w:tblCellMar>
      </w:tblPr>
      <w:tblGrid>
        <w:gridCol w:w="326"/>
        <w:gridCol w:w="286"/>
        <w:gridCol w:w="289"/>
        <w:gridCol w:w="109"/>
        <w:gridCol w:w="109"/>
        <w:gridCol w:w="109"/>
        <w:gridCol w:w="196"/>
        <w:gridCol w:w="871"/>
        <w:gridCol w:w="109"/>
        <w:gridCol w:w="109"/>
        <w:gridCol w:w="109"/>
        <w:gridCol w:w="109"/>
        <w:gridCol w:w="196"/>
        <w:gridCol w:w="871"/>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871"/>
        <w:gridCol w:w="109"/>
        <w:gridCol w:w="109"/>
        <w:gridCol w:w="109"/>
        <w:gridCol w:w="109"/>
        <w:gridCol w:w="196"/>
        <w:gridCol w:w="871"/>
        <w:gridCol w:w="154"/>
      </w:tblGrid>
      <w:tr>
        <w:trPr/>
        <w:tc>
          <w:tcPr>
            <w:tcW w:w="3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Non-Agency VIEs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Home Equity VIEs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RPL/NPL VIEs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Total VIEs </w:t>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Securitized residential mortgage loans, at fair value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6,212,018 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6,904,872 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780,920 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960,533 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7,119,175 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7,999,619 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6,247,873 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6,942,583 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788,957 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969,716 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131,183 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139,743 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7,168,013 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8,052,042 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Securitized debt, at fair value (1)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5,606,863 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6,265,540 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660,721 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817,889 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6,355,237 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7,177,923 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5,631,045 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6,291,669 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664,418 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822,386 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87,912 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94,768 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6,383,375 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7,208,823 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Equity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616,828 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650,914 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124,539 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147,330 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43,271 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784,638 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843,219 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(1)Securitized residential mortgage loans in Non-Agency VIEs include loans that were considered to be Agency-Eligible prior to the Company's securitization.</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(2)The holders of the securitized debt have no recourse to the general credit of the Company. The Company generally has no obligation to provide any other explicit or implicit support to the VIEs. Refer to Note 12 for commitments related to the undrawn portion of a borrowers’ home equity line of credit for which the Company may be required to fund. </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(3)The Company had outstanding financing arrangements collateralized by the Company's retained interests in its VIEs. Refer to Note 6 for additional information.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51155"/>
                <wp:effectExtent l="0" t="0" r="0" b="0"/>
                <wp:wrapNone/>
                <wp:docPr id="15" name="Frame1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TPG Mortgage Investment Trust,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Legacy WMC Commercial loans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tables below detail information regarding the Company's Legacy WMC Commercial loan portfolio as of June 30, 2026 and December 31, 2025 ($ in thousands). The gross unrealized gains/(losses) in the table below represent inception to date gains/(losses) since acquisition. </w:t>
      </w:r>
    </w:p>
    <w:p>
      <w:pPr>
        <w:pStyle w:val="TextBody"/>
        <w:bidi w:val="0"/>
        <w:spacing w:before="0" w:after="0"/>
        <w:jc w:val="both"/>
        <w:rPr/>
      </w:pPr>
      <w:r>
        <w:rPr/>
      </w:r>
    </w:p>
    <w:tbl>
      <w:tblPr>
        <w:tblW w:w="13492" w:type="dxa"/>
        <w:jc w:val="left"/>
        <w:tblInd w:w="0" w:type="dxa"/>
        <w:tblLayout w:type="fixed"/>
        <w:tblCellMar>
          <w:top w:w="28" w:type="dxa"/>
          <w:left w:w="28" w:type="dxa"/>
          <w:bottom w:w="28" w:type="dxa"/>
          <w:right w:w="28" w:type="dxa"/>
        </w:tblCellMar>
      </w:tblPr>
      <w:tblGrid>
        <w:gridCol w:w="179"/>
        <w:gridCol w:w="158"/>
        <w:gridCol w:w="159"/>
        <w:gridCol w:w="109"/>
        <w:gridCol w:w="109"/>
        <w:gridCol w:w="109"/>
        <w:gridCol w:w="196"/>
        <w:gridCol w:w="646"/>
        <w:gridCol w:w="109"/>
        <w:gridCol w:w="109"/>
        <w:gridCol w:w="109"/>
        <w:gridCol w:w="109"/>
        <w:gridCol w:w="196"/>
        <w:gridCol w:w="571"/>
        <w:gridCol w:w="109"/>
        <w:gridCol w:w="109"/>
        <w:gridCol w:w="109"/>
        <w:gridCol w:w="109"/>
        <w:gridCol w:w="196"/>
        <w:gridCol w:w="646"/>
        <w:gridCol w:w="109"/>
        <w:gridCol w:w="109"/>
        <w:gridCol w:w="109"/>
        <w:gridCol w:w="109"/>
        <w:gridCol w:w="109"/>
        <w:gridCol w:w="109"/>
        <w:gridCol w:w="196"/>
        <w:gridCol w:w="661"/>
        <w:gridCol w:w="109"/>
        <w:gridCol w:w="109"/>
        <w:gridCol w:w="109"/>
        <w:gridCol w:w="109"/>
        <w:gridCol w:w="196"/>
        <w:gridCol w:w="646"/>
        <w:gridCol w:w="109"/>
        <w:gridCol w:w="109"/>
        <w:gridCol w:w="109"/>
        <w:gridCol w:w="109"/>
        <w:gridCol w:w="233"/>
        <w:gridCol w:w="233"/>
        <w:gridCol w:w="356"/>
        <w:gridCol w:w="109"/>
        <w:gridCol w:w="109"/>
        <w:gridCol w:w="109"/>
        <w:gridCol w:w="203"/>
        <w:gridCol w:w="203"/>
        <w:gridCol w:w="253"/>
        <w:gridCol w:w="109"/>
        <w:gridCol w:w="109"/>
        <w:gridCol w:w="109"/>
        <w:gridCol w:w="215"/>
        <w:gridCol w:w="215"/>
        <w:gridCol w:w="216"/>
        <w:gridCol w:w="109"/>
        <w:gridCol w:w="109"/>
        <w:gridCol w:w="109"/>
        <w:gridCol w:w="255"/>
        <w:gridCol w:w="255"/>
        <w:gridCol w:w="256"/>
        <w:gridCol w:w="109"/>
        <w:gridCol w:w="109"/>
        <w:gridCol w:w="109"/>
        <w:gridCol w:w="278"/>
        <w:gridCol w:w="278"/>
        <w:gridCol w:w="241"/>
        <w:gridCol w:w="327"/>
        <w:gridCol w:w="796"/>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77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color w:val="000000"/>
                <w:sz w:val="16"/>
              </w:rPr>
              <w:t>Premium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(Discount)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 Date (4)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LTV (5)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Location</w:t>
            </w:r>
          </w:p>
        </w:tc>
      </w:tr>
      <w:tr>
        <w:trPr/>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Loan (1)(2)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Unpaid Principal 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Coupon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Yield (4)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Life (Years) (4)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 A (6)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7.81 </w:t>
            </w:r>
          </w:p>
        </w:tc>
        <w:tc>
          <w:tcPr>
            <w:tcW w:w="3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61.63 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IL, FL</w:t>
            </w:r>
          </w:p>
        </w:tc>
      </w:tr>
      <w:tr>
        <w:trPr/>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 B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7.81 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75.33 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w:t>
            </w:r>
          </w:p>
        </w:tc>
      </w:tr>
      <w:tr>
        <w:trPr/>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 C (6)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7.81 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77.22 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NY</w:t>
            </w:r>
          </w:p>
        </w:tc>
      </w:tr>
      <w:tr>
        <w:trPr/>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 D (7)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6.99 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CT</w:t>
            </w:r>
          </w:p>
        </w:tc>
      </w:tr>
      <w:tr>
        <w:trPr/>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65,861 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(3,711)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62,150 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(12,896)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7.55 </w:t>
            </w:r>
          </w:p>
        </w:tc>
        <w:tc>
          <w:tcPr>
            <w:tcW w:w="3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64.31 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3442" w:type="dxa"/>
        <w:jc w:val="left"/>
        <w:tblInd w:w="0" w:type="dxa"/>
        <w:tblLayout w:type="fixed"/>
        <w:tblCellMar>
          <w:top w:w="28" w:type="dxa"/>
          <w:left w:w="28" w:type="dxa"/>
          <w:bottom w:w="28" w:type="dxa"/>
          <w:right w:w="28" w:type="dxa"/>
        </w:tblCellMar>
      </w:tblPr>
      <w:tblGrid>
        <w:gridCol w:w="179"/>
        <w:gridCol w:w="158"/>
        <w:gridCol w:w="159"/>
        <w:gridCol w:w="109"/>
        <w:gridCol w:w="109"/>
        <w:gridCol w:w="109"/>
        <w:gridCol w:w="196"/>
        <w:gridCol w:w="646"/>
        <w:gridCol w:w="109"/>
        <w:gridCol w:w="109"/>
        <w:gridCol w:w="109"/>
        <w:gridCol w:w="109"/>
        <w:gridCol w:w="218"/>
        <w:gridCol w:w="486"/>
        <w:gridCol w:w="122"/>
        <w:gridCol w:w="109"/>
        <w:gridCol w:w="109"/>
        <w:gridCol w:w="109"/>
        <w:gridCol w:w="196"/>
        <w:gridCol w:w="646"/>
        <w:gridCol w:w="109"/>
        <w:gridCol w:w="109"/>
        <w:gridCol w:w="109"/>
        <w:gridCol w:w="109"/>
        <w:gridCol w:w="109"/>
        <w:gridCol w:w="109"/>
        <w:gridCol w:w="196"/>
        <w:gridCol w:w="661"/>
        <w:gridCol w:w="109"/>
        <w:gridCol w:w="109"/>
        <w:gridCol w:w="109"/>
        <w:gridCol w:w="109"/>
        <w:gridCol w:w="196"/>
        <w:gridCol w:w="646"/>
        <w:gridCol w:w="109"/>
        <w:gridCol w:w="109"/>
        <w:gridCol w:w="109"/>
        <w:gridCol w:w="109"/>
        <w:gridCol w:w="233"/>
        <w:gridCol w:w="233"/>
        <w:gridCol w:w="356"/>
        <w:gridCol w:w="109"/>
        <w:gridCol w:w="109"/>
        <w:gridCol w:w="109"/>
        <w:gridCol w:w="203"/>
        <w:gridCol w:w="203"/>
        <w:gridCol w:w="253"/>
        <w:gridCol w:w="109"/>
        <w:gridCol w:w="109"/>
        <w:gridCol w:w="109"/>
        <w:gridCol w:w="215"/>
        <w:gridCol w:w="215"/>
        <w:gridCol w:w="216"/>
        <w:gridCol w:w="109"/>
        <w:gridCol w:w="109"/>
        <w:gridCol w:w="109"/>
        <w:gridCol w:w="255"/>
        <w:gridCol w:w="255"/>
        <w:gridCol w:w="256"/>
        <w:gridCol w:w="109"/>
        <w:gridCol w:w="109"/>
        <w:gridCol w:w="109"/>
        <w:gridCol w:w="278"/>
        <w:gridCol w:w="278"/>
        <w:gridCol w:w="241"/>
        <w:gridCol w:w="327"/>
        <w:gridCol w:w="796"/>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77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color w:val="000000"/>
                <w:sz w:val="16"/>
              </w:rPr>
              <w:t>Premium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(Discount)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 Date (4)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LTV (5)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Location</w:t>
            </w:r>
          </w:p>
        </w:tc>
      </w:tr>
      <w:tr>
        <w:trPr/>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Loan (1)(2)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Unpaid Principal 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Coupon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Yield (4)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Life (Years) (4)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 A (6)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7.98 </w:t>
            </w:r>
          </w:p>
        </w:tc>
        <w:tc>
          <w:tcPr>
            <w:tcW w:w="3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61.63 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IL, FL</w:t>
            </w:r>
          </w:p>
        </w:tc>
      </w:tr>
      <w:tr>
        <w:trPr/>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 B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7.98 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75.33 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w:t>
            </w:r>
          </w:p>
        </w:tc>
      </w:tr>
      <w:tr>
        <w:trPr/>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 C (6)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7.98 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77.22 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NY</w:t>
            </w:r>
          </w:p>
        </w:tc>
      </w:tr>
      <w:tr>
        <w:trPr/>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 D (7)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(611)</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7.16 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CT</w:t>
            </w:r>
          </w:p>
        </w:tc>
      </w:tr>
      <w:tr>
        <w:trPr/>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67,204 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(791)</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66,413 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(11,037)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55,376 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7.71 </w:t>
            </w:r>
          </w:p>
        </w:tc>
        <w:tc>
          <w:tcPr>
            <w:tcW w:w="3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65.69 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(1)The Company has the contractual right to receive a balloon payment for each loan.</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(2)Each commercial loan investment is a first mortgage loan.</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(3)The Company is not accruing interest on its Legacy WMC Commercial Loans and placed the loans on cost recovery status. For assets where the cost recovery method is applied, the receipt of principal or coupon interest is recorded as a reduction to the amortized cost until collection of all contractual components are reasonably assured.</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(4)The borrowers for the Company’s Legacy WMC Commercial Loans are in maturity default as of June 30, 2026 and December 31, 2025. See footnotes 5 and 6 for further details related to each loan. In March 2026, the Company extended the maturity of its financing arrangement collateralized by Legacy WMC Commercial Loans to September 19, 2026. All proceeds from asset paydowns or sales will be applied to reduce the outstanding balance, which was $19.9 million as of June 30, 2026.</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(5)Represents the LTV at acquisition of WMC. The total LTV on commercial loans is presented based on fair value.</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(6)Loans A, B, and C have a floating rate coupon equal to 4.20% plus one-month SOFR and are collateralized by hotels. During the second quarter 2025, these loans entered maturity default. Following a period of forbearance, the lender parties and the borrower are pursuing consensual sales of the hotels, which may include transferring title of all or certain of the properties to the lender parties via a deed-in-lieu of foreclosure to facilitate the sales. The Company expects the sales of the underlying hotels which collateralize Loan A to be completed in the second half of 2026. There are no assurances that sales can be completed in the manner or within the time anticipated or at all.</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(7)Loan D has a floating rate coupon equal to 3.38% plus one-month SOFR and is collateralized by a retail property. During the third quarter 2025, the loan entered maturity default. The property is generating positive cash flow and, as of the date of this report, the Company has continued to receive interest payments from the property’s cash flows. The lender parties are actively engaged with a third party commercial sales advisor to sell the property, however there are no assurances that a sale can be completed.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51155"/>
                <wp:effectExtent l="0" t="0" r="0" b="0"/>
                <wp:wrapNone/>
                <wp:docPr id="16" name="Frame1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TPG Mortgage Investment Trust,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4. Real Estate Securities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tables detail the Company’s real estate securities portfolio by collateral type as of June 30, 2026 and December 31, 2025 ($ in thousands). The Company’s real estate securities include its interest in VIEs in which the Company has concluded that it is not the primary beneficiary and, as a result, did not consolidate the VIEs. The gross unrealized gains/(losses) in the tables below represent inception to date unrealized gains/(losses) since acquisition. </w:t>
      </w:r>
    </w:p>
    <w:tbl>
      <w:tblPr>
        <w:tblW w:w="12532" w:type="dxa"/>
        <w:jc w:val="left"/>
        <w:tblInd w:w="0" w:type="dxa"/>
        <w:tblLayout w:type="fixed"/>
        <w:tblCellMar>
          <w:top w:w="28" w:type="dxa"/>
          <w:left w:w="28" w:type="dxa"/>
          <w:bottom w:w="28" w:type="dxa"/>
          <w:right w:w="28" w:type="dxa"/>
        </w:tblCellMar>
      </w:tblPr>
      <w:tblGrid>
        <w:gridCol w:w="622"/>
        <w:gridCol w:w="391"/>
        <w:gridCol w:w="248"/>
        <w:gridCol w:w="109"/>
        <w:gridCol w:w="109"/>
        <w:gridCol w:w="109"/>
        <w:gridCol w:w="196"/>
        <w:gridCol w:w="736"/>
        <w:gridCol w:w="109"/>
        <w:gridCol w:w="109"/>
        <w:gridCol w:w="109"/>
        <w:gridCol w:w="109"/>
        <w:gridCol w:w="196"/>
        <w:gridCol w:w="661"/>
        <w:gridCol w:w="109"/>
        <w:gridCol w:w="109"/>
        <w:gridCol w:w="109"/>
        <w:gridCol w:w="109"/>
        <w:gridCol w:w="196"/>
        <w:gridCol w:w="736"/>
        <w:gridCol w:w="109"/>
        <w:gridCol w:w="109"/>
        <w:gridCol w:w="109"/>
        <w:gridCol w:w="109"/>
        <w:gridCol w:w="196"/>
        <w:gridCol w:w="646"/>
        <w:gridCol w:w="109"/>
        <w:gridCol w:w="109"/>
        <w:gridCol w:w="109"/>
        <w:gridCol w:w="109"/>
        <w:gridCol w:w="196"/>
        <w:gridCol w:w="661"/>
        <w:gridCol w:w="109"/>
        <w:gridCol w:w="109"/>
        <w:gridCol w:w="109"/>
        <w:gridCol w:w="109"/>
        <w:gridCol w:w="196"/>
        <w:gridCol w:w="736"/>
        <w:gridCol w:w="109"/>
        <w:gridCol w:w="109"/>
        <w:gridCol w:w="109"/>
        <w:gridCol w:w="109"/>
        <w:gridCol w:w="233"/>
        <w:gridCol w:w="233"/>
        <w:gridCol w:w="356"/>
        <w:gridCol w:w="109"/>
        <w:gridCol w:w="109"/>
        <w:gridCol w:w="109"/>
        <w:gridCol w:w="278"/>
        <w:gridCol w:w="278"/>
        <w:gridCol w:w="253"/>
        <w:gridCol w:w="109"/>
        <w:gridCol w:w="109"/>
        <w:gridCol w:w="109"/>
        <w:gridCol w:w="202"/>
        <w:gridCol w:w="202"/>
        <w:gridCol w:w="287"/>
      </w:tblGrid>
      <w:tr>
        <w:trPr/>
        <w:tc>
          <w:tcPr>
            <w:tcW w:w="62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Current Face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color w:val="000000"/>
                <w:sz w:val="16"/>
              </w:rPr>
              <w:t>Premium/</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(Discount)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w:t>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Coupon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Yield (4)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Life (Years) (5)</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Non-Agency RMBS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Non-QM Loans (6) (7)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6.97 </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Agency-Eligible Loans (7)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3.64 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7.36 </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6.73</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Home Equity Loans (7)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5.48 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9.48 </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5.66</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Prime Jumbo Loans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8.97 </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17.75</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Non-Agency RMBS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232,656 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(11,229)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244,408 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10,025 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251,845 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3.92 </w:t>
            </w:r>
          </w:p>
        </w:tc>
        <w:tc>
          <w:tcPr>
            <w:tcW w:w="3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8.25 </w:t>
            </w:r>
          </w:p>
        </w:tc>
        <w:tc>
          <w:tcPr>
            <w:tcW w:w="2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4.80</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Legacy WMC CMBS (8)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5.88 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16.22 </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w:t>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Agency RMBS Interest Only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4.89 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7.71 </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5.56</w:t>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Total 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314,729 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(45,435)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307,114 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(13,430)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309,254 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4.38 </w:t>
            </w:r>
          </w:p>
        </w:tc>
        <w:tc>
          <w:tcPr>
            <w:tcW w:w="3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9.47 </w:t>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4.54</w:t>
            </w:r>
          </w:p>
        </w:tc>
      </w:tr>
    </w:tbl>
    <w:tbl>
      <w:tblPr>
        <w:tblW w:w="12750" w:type="dxa"/>
        <w:jc w:val="center"/>
        <w:tblInd w:w="0" w:type="dxa"/>
        <w:tblLayout w:type="fixed"/>
        <w:tblCellMar>
          <w:top w:w="28" w:type="dxa"/>
          <w:left w:w="28" w:type="dxa"/>
          <w:bottom w:w="28" w:type="dxa"/>
          <w:right w:w="28" w:type="dxa"/>
        </w:tblCellMar>
      </w:tblPr>
      <w:tblGrid>
        <w:gridCol w:w="547"/>
        <w:gridCol w:w="445"/>
        <w:gridCol w:w="269"/>
        <w:gridCol w:w="109"/>
        <w:gridCol w:w="109"/>
        <w:gridCol w:w="109"/>
        <w:gridCol w:w="196"/>
        <w:gridCol w:w="736"/>
        <w:gridCol w:w="109"/>
        <w:gridCol w:w="109"/>
        <w:gridCol w:w="109"/>
        <w:gridCol w:w="109"/>
        <w:gridCol w:w="196"/>
        <w:gridCol w:w="661"/>
        <w:gridCol w:w="109"/>
        <w:gridCol w:w="109"/>
        <w:gridCol w:w="109"/>
        <w:gridCol w:w="109"/>
        <w:gridCol w:w="196"/>
        <w:gridCol w:w="736"/>
        <w:gridCol w:w="109"/>
        <w:gridCol w:w="109"/>
        <w:gridCol w:w="109"/>
        <w:gridCol w:w="109"/>
        <w:gridCol w:w="196"/>
        <w:gridCol w:w="646"/>
        <w:gridCol w:w="109"/>
        <w:gridCol w:w="109"/>
        <w:gridCol w:w="109"/>
        <w:gridCol w:w="109"/>
        <w:gridCol w:w="196"/>
        <w:gridCol w:w="661"/>
        <w:gridCol w:w="109"/>
        <w:gridCol w:w="109"/>
        <w:gridCol w:w="109"/>
        <w:gridCol w:w="109"/>
        <w:gridCol w:w="196"/>
        <w:gridCol w:w="736"/>
        <w:gridCol w:w="109"/>
        <w:gridCol w:w="109"/>
        <w:gridCol w:w="109"/>
        <w:gridCol w:w="109"/>
        <w:gridCol w:w="233"/>
        <w:gridCol w:w="233"/>
        <w:gridCol w:w="356"/>
        <w:gridCol w:w="109"/>
        <w:gridCol w:w="109"/>
        <w:gridCol w:w="109"/>
        <w:gridCol w:w="278"/>
        <w:gridCol w:w="278"/>
        <w:gridCol w:w="253"/>
        <w:gridCol w:w="109"/>
        <w:gridCol w:w="109"/>
        <w:gridCol w:w="109"/>
        <w:gridCol w:w="215"/>
        <w:gridCol w:w="215"/>
        <w:gridCol w:w="216"/>
        <w:gridCol w:w="109"/>
        <w:gridCol w:w="154"/>
      </w:tblGrid>
      <w:tr>
        <w:trPr/>
        <w:tc>
          <w:tcPr>
            <w:tcW w:w="547"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Current Face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color w:val="000000"/>
                <w:sz w:val="16"/>
              </w:rPr>
              <w:t>Premium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(Discount)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w:t>
            </w:r>
          </w:p>
        </w:tc>
        <w:tc>
          <w:tcPr>
            <w:tcW w:w="263" w:type="dxa"/>
            <w:gridSpan w:val="2"/>
            <w:tcBorders/>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Coupon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Yield (4)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Life (Years) (5)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Non-Agency RMBS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Non-QM Loans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6.66 </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Agency-Eligible Loans (7)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7.41 </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Home Equity Loans (7)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5.55 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10.47 </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Prime Jumbo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4.49 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8.82 </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Non-Agency RMBS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182,208 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(8,450)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193,222 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10,844 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201,381 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4.09 </w:t>
            </w:r>
          </w:p>
        </w:tc>
        <w:tc>
          <w:tcPr>
            <w:tcW w:w="3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8.82 </w:t>
            </w:r>
          </w:p>
        </w:tc>
        <w:tc>
          <w:tcPr>
            <w:tcW w:w="2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Legacy WMC CMBS (8)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5.95 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15.30 </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Agency RMBS Interest Only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4.57 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7.30 </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Total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265,170 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(45,465)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255,799 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(12,402)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260,304 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4.55 </w:t>
            </w:r>
          </w:p>
        </w:tc>
        <w:tc>
          <w:tcPr>
            <w:tcW w:w="3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9.89 </w:t>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(1)Current Face and Premium/(Discount) exclude Interest Only securities, which have no principal balances and bear interest based on a notional value. The notional value is used solely to determine interest distributions on the interest only classes of securities. As of June 30, 2026, the notional balance of the Non-QM Loans, Agency-Eligible Loans, Home Equity Loans, and Agency RMBS Interest Only line items were $134.7 million, $35.7 million, $273.8 million, and $70.4 million, respectively. As of December 31, 2025, the notional value of the Non-QM Loans, Agency-Eligible Loans, Home Equity Loans, and Agency RMBS Interest Only line items were $66.3 million, $40.4 million, $249.1 million, and $85.0 million, respectively.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(2)The fair value of the securities held in unconsolidated VIEs represents the Company’s maximum loss exposure in unconsolidated VIEs. The Company generally has no obligation to provide any other explicit or implicit support to unconsolidated VIEs. Refer to Note 12 for commitments related to the undrawn portion of a borrowers' home equity line of credit for which the Company may be required to fund.</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(3)Equity residual investments with a zero coupon rate are excluded from this calculation.</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(4)The weighted average yields are calculated based on the amortized cost of the underlying securities.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(5)Actual maturities may be shorter or longer than stated contractual maturities. Maturities are affected by prepayments of principal.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(6)Certain Non-Agency RMBS include securities issued under Gold Creek Asset Trust ("GCAT"), which is the TPG securitization shelf under which the Company or private funds under the management of TPG securitize loans. These securities were retained from rated Non-QM Loan securitizations the Company participated in alongside private funds managed by TPG. The Company’s interest in the retained tranches represents its continuing involvement in these securitization trusts. As of June 30, 2026 and December 31, 2025, the Company’s Non-QM Loans includes $42.6 million and $42.4 million of retained securities from these transactions, respectively.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(7)For certain Non-Agency RMBS, the Company acted as a co-sponsor of rated securitizations alongside private funds managed by TPG or an unrelated third party of rated securitizations. As the co-sponsor, the Company retained an "eligible vertical interest" to comply with risk retention rules which consists of at least 5% of each class of securities issued in the securitizations and represents the Company’s continuing involvement in these securitization trusts. The remaining tranches were sold to third parties and certain private funds managed by TPG or its affiliates, or were retained by the Company. As of June 30, 2026, the Company’s Non-QM Loans includes $38.6 million of retained securities from these transactions. As of June 30, 2026 and December 31, 2025, the Company’s Agency-Eligible Loans includes $39.0 million and $42.2 million of retained securities from these transactions, respectively. As of June 30, 2026 and December 31, 2025, the Company’s Home Equity Loans includes $96.6 million and $78.7 million of retained securities from these transactions, respectively.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(8)As of June 30, 2026 and December 31, 2025, there are Legacy WMC CMBS with an unpaid principal balance of $23.5 million and $23.5 million, respectively, and a fair value of $4.9 million and $6.3 million, respectively, which are on non-accrual or cost recovery status.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51155"/>
                <wp:effectExtent l="0" t="0" r="0" b="0"/>
                <wp:wrapNone/>
                <wp:docPr id="17" name="Frame1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TPG Mortgage Investment Trust,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the Company's real estate securities according to their projected weighted average life classifications as of June 30, 2026 and December 31, 2025 (in thousands).</w:t>
      </w:r>
    </w:p>
    <w:tbl>
      <w:tblPr>
        <w:tblW w:w="13061" w:type="dxa"/>
        <w:jc w:val="left"/>
        <w:tblInd w:w="0" w:type="dxa"/>
        <w:tblLayout w:type="fixed"/>
        <w:tblCellMar>
          <w:top w:w="28" w:type="dxa"/>
          <w:left w:w="28" w:type="dxa"/>
          <w:bottom w:w="28" w:type="dxa"/>
          <w:right w:w="28" w:type="dxa"/>
        </w:tblCellMar>
      </w:tblPr>
      <w:tblGrid>
        <w:gridCol w:w="719"/>
        <w:gridCol w:w="633"/>
        <w:gridCol w:w="644"/>
        <w:gridCol w:w="109"/>
        <w:gridCol w:w="109"/>
        <w:gridCol w:w="10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196"/>
        <w:gridCol w:w="646"/>
        <w:gridCol w:w="109"/>
        <w:gridCol w:w="109"/>
        <w:gridCol w:w="109"/>
        <w:gridCol w:w="109"/>
        <w:gridCol w:w="109"/>
        <w:gridCol w:w="109"/>
        <w:gridCol w:w="109"/>
        <w:gridCol w:w="109"/>
        <w:gridCol w:w="196"/>
        <w:gridCol w:w="646"/>
        <w:gridCol w:w="109"/>
        <w:gridCol w:w="109"/>
        <w:gridCol w:w="109"/>
        <w:gridCol w:w="109"/>
        <w:gridCol w:w="196"/>
        <w:gridCol w:w="646"/>
        <w:gridCol w:w="109"/>
        <w:gridCol w:w="109"/>
        <w:gridCol w:w="109"/>
        <w:gridCol w:w="109"/>
        <w:gridCol w:w="196"/>
        <w:gridCol w:w="736"/>
        <w:gridCol w:w="109"/>
        <w:gridCol w:w="109"/>
        <w:gridCol w:w="109"/>
        <w:gridCol w:w="109"/>
        <w:gridCol w:w="196"/>
        <w:gridCol w:w="736"/>
        <w:gridCol w:w="154"/>
      </w:tblGrid>
      <w:tr>
        <w:trPr/>
        <w:tc>
          <w:tcPr>
            <w:tcW w:w="719"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Non-Agency RMBS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Legacy WMC CMBS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Agency RMBS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Real Estate Securities Total</w:t>
            </w:r>
          </w:p>
        </w:tc>
        <w:tc>
          <w:tcPr>
            <w:tcW w:w="1413" w:type="dxa"/>
            <w:gridSpan w:val="6"/>
            <w:tcBorders/>
          </w:tcPr>
          <w:p>
            <w:pPr>
              <w:pStyle w:val="TableContents"/>
              <w:bidi w:val="0"/>
              <w:spacing w:before="0" w:after="283"/>
              <w:jc w:val="left"/>
              <w:rPr>
                <w:sz w:val="4"/>
                <w:szCs w:val="4"/>
              </w:rPr>
            </w:pPr>
            <w:r>
              <w:rPr>
                <w:sz w:val="4"/>
                <w:szCs w:val="4"/>
              </w:rPr>
            </w:r>
          </w:p>
        </w:tc>
      </w:tr>
      <w:tr>
        <w:trPr/>
        <w:tc>
          <w:tcPr>
            <w:tcW w:w="1996" w:type="dxa"/>
            <w:gridSpan w:val="3"/>
            <w:tcBorders/>
            <w:tcMar>
              <w:top w:w="0" w:type="dxa"/>
              <w:left w:w="0" w:type="dxa"/>
              <w:bottom w:w="0" w:type="dxa"/>
              <w:right w:w="0" w:type="dxa"/>
            </w:tcMar>
            <w:vAlign w:val="center"/>
          </w:tcPr>
          <w:p>
            <w:pPr>
              <w:pStyle w:val="TableContents"/>
              <w:bidi w:val="0"/>
              <w:spacing w:before="30" w:after="283"/>
              <w:jc w:val="left"/>
              <w:rPr/>
            </w:pPr>
            <w:r>
              <w:rPr/>
            </w:r>
          </w:p>
          <w:p>
            <w:pPr>
              <w:pStyle w:val="TableContents"/>
              <w:bidi w:val="0"/>
              <w:spacing w:lineRule="auto" w:line="288" w:before="30" w:after="283"/>
              <w:jc w:val="left"/>
              <w:rPr>
                <w:rFonts w:ascii="Times New Roman;serif" w:hAnsi="Times New Roman;serif"/>
                <w:b/>
                <w:color w:val="000000"/>
                <w:sz w:val="16"/>
              </w:rPr>
            </w:pPr>
            <w:r>
              <w:rPr>
                <w:rFonts w:ascii="Times New Roman;serif" w:hAnsi="Times New Roman;serif"/>
                <w:b/>
                <w:color w:val="000000"/>
                <w:sz w:val="16"/>
              </w:rPr>
              <w:t>Weighted Average Life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r>
      <w:tr>
        <w:trPr/>
        <w:tc>
          <w:tcPr>
            <w:tcW w:w="19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than or equal to one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8,744 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Greater than one year and less than or equal to five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201,490 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Greater than five years and less than or equal to ten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72,662 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Greater than ten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Total 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251,845 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244,408 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42,694 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47,867 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309,254 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307,114 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2625" w:type="dxa"/>
        <w:jc w:val="left"/>
        <w:tblInd w:w="0" w:type="dxa"/>
        <w:tblLayout w:type="fixed"/>
        <w:tblCellMar>
          <w:top w:w="28" w:type="dxa"/>
          <w:left w:w="28" w:type="dxa"/>
          <w:bottom w:w="28" w:type="dxa"/>
          <w:right w:w="28" w:type="dxa"/>
        </w:tblCellMar>
      </w:tblPr>
      <w:tblGrid>
        <w:gridCol w:w="721"/>
        <w:gridCol w:w="636"/>
        <w:gridCol w:w="639"/>
        <w:gridCol w:w="109"/>
        <w:gridCol w:w="109"/>
        <w:gridCol w:w="10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736"/>
        <w:gridCol w:w="109"/>
        <w:gridCol w:w="109"/>
        <w:gridCol w:w="109"/>
        <w:gridCol w:w="109"/>
        <w:gridCol w:w="196"/>
        <w:gridCol w:w="736"/>
        <w:gridCol w:w="154"/>
      </w:tblGrid>
      <w:tr>
        <w:trPr/>
        <w:tc>
          <w:tcPr>
            <w:tcW w:w="721"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Non-Agency RMBS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Legacy WMC CMBS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Agency RMBS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Real Estate Securities Total</w:t>
            </w:r>
          </w:p>
        </w:tc>
      </w:tr>
      <w:tr>
        <w:trPr/>
        <w:tc>
          <w:tcPr>
            <w:tcW w:w="1996" w:type="dxa"/>
            <w:gridSpan w:val="3"/>
            <w:tcBorders/>
            <w:tcMar>
              <w:top w:w="0" w:type="dxa"/>
              <w:left w:w="0" w:type="dxa"/>
              <w:bottom w:w="0" w:type="dxa"/>
              <w:right w:w="0" w:type="dxa"/>
            </w:tcMar>
            <w:vAlign w:val="center"/>
          </w:tcPr>
          <w:p>
            <w:pPr>
              <w:pStyle w:val="TableContents"/>
              <w:bidi w:val="0"/>
              <w:spacing w:before="30" w:after="283"/>
              <w:jc w:val="left"/>
              <w:rPr/>
            </w:pPr>
            <w:r>
              <w:rPr/>
            </w:r>
          </w:p>
          <w:p>
            <w:pPr>
              <w:pStyle w:val="TableContents"/>
              <w:bidi w:val="0"/>
              <w:spacing w:lineRule="auto" w:line="288" w:before="30" w:after="283"/>
              <w:jc w:val="left"/>
              <w:rPr>
                <w:rFonts w:ascii="Times New Roman;serif" w:hAnsi="Times New Roman;serif"/>
                <w:b/>
                <w:color w:val="000000"/>
                <w:sz w:val="16"/>
              </w:rPr>
            </w:pPr>
            <w:r>
              <w:rPr>
                <w:rFonts w:ascii="Times New Roman;serif" w:hAnsi="Times New Roman;serif"/>
                <w:b/>
                <w:color w:val="000000"/>
                <w:sz w:val="16"/>
              </w:rPr>
              <w:t>Weighted Average Life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r>
      <w:tr>
        <w:trPr/>
        <w:tc>
          <w:tcPr>
            <w:tcW w:w="19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than or equal to one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8,589 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Greater than one year and less than or equal to five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98,432 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96,270 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134,228 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Greater than five years and less than or equal to ten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91,408 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Greater than ten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Total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201,381 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193,222 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45,947 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260,304 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255,799 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(1)This is based on projected life. Typically, actual maturities are shorter than stated contractual maturities. Maturities are affected by the contractual lives of the underlying mortgages, periodic payments of principal and prepayments of principal.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sold real estate securities during the three and six months ended June 30, 2026 and 2025, as detailed below ($ in thousands). </w:t>
      </w:r>
    </w:p>
    <w:tbl>
      <w:tblPr>
        <w:tblW w:w="10205" w:type="dxa"/>
        <w:jc w:val="center"/>
        <w:tblInd w:w="0" w:type="dxa"/>
        <w:tblLayout w:type="fixed"/>
        <w:tblCellMar>
          <w:top w:w="28" w:type="dxa"/>
          <w:left w:w="28" w:type="dxa"/>
          <w:bottom w:w="28" w:type="dxa"/>
          <w:right w:w="28" w:type="dxa"/>
        </w:tblCellMar>
      </w:tblPr>
      <w:tblGrid>
        <w:gridCol w:w="458"/>
        <w:gridCol w:w="405"/>
        <w:gridCol w:w="244"/>
        <w:gridCol w:w="306"/>
        <w:gridCol w:w="306"/>
        <w:gridCol w:w="308"/>
        <w:gridCol w:w="109"/>
        <w:gridCol w:w="109"/>
        <w:gridCol w:w="109"/>
        <w:gridCol w:w="196"/>
        <w:gridCol w:w="556"/>
        <w:gridCol w:w="109"/>
        <w:gridCol w:w="109"/>
        <w:gridCol w:w="109"/>
        <w:gridCol w:w="109"/>
        <w:gridCol w:w="219"/>
        <w:gridCol w:w="453"/>
        <w:gridCol w:w="122"/>
        <w:gridCol w:w="109"/>
        <w:gridCol w:w="109"/>
        <w:gridCol w:w="109"/>
        <w:gridCol w:w="207"/>
        <w:gridCol w:w="479"/>
        <w:gridCol w:w="115"/>
        <w:gridCol w:w="109"/>
        <w:gridCol w:w="109"/>
        <w:gridCol w:w="109"/>
        <w:gridCol w:w="306"/>
        <w:gridCol w:w="306"/>
        <w:gridCol w:w="308"/>
        <w:gridCol w:w="109"/>
        <w:gridCol w:w="109"/>
        <w:gridCol w:w="109"/>
        <w:gridCol w:w="196"/>
        <w:gridCol w:w="556"/>
        <w:gridCol w:w="109"/>
        <w:gridCol w:w="109"/>
        <w:gridCol w:w="109"/>
        <w:gridCol w:w="109"/>
        <w:gridCol w:w="214"/>
        <w:gridCol w:w="461"/>
        <w:gridCol w:w="120"/>
        <w:gridCol w:w="109"/>
        <w:gridCol w:w="109"/>
        <w:gridCol w:w="109"/>
        <w:gridCol w:w="206"/>
        <w:gridCol w:w="477"/>
        <w:gridCol w:w="174"/>
      </w:tblGrid>
      <w:tr>
        <w:trPr/>
        <w:tc>
          <w:tcPr>
            <w:tcW w:w="458"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Proceeds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Proceeds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Realized Losses</w:t>
            </w:r>
          </w:p>
        </w:tc>
      </w:tr>
      <w:tr>
        <w:trPr/>
        <w:tc>
          <w:tcPr>
            <w:tcW w:w="1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June 30, 2026</w:t>
            </w:r>
          </w:p>
        </w:tc>
        <w:tc>
          <w:tcPr>
            <w:tcW w:w="9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Agency RMBS</w:t>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r>
      <w:tr>
        <w:trPr/>
        <w:tc>
          <w:tcPr>
            <w:tcW w:w="110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r>
      <w:tr>
        <w:trPr/>
        <w:tc>
          <w:tcPr>
            <w:tcW w:w="110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r>
      <w:tr>
        <w:trPr/>
        <w:tc>
          <w:tcPr>
            <w:tcW w:w="1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June 30, 2025</w:t>
            </w:r>
          </w:p>
        </w:tc>
        <w:tc>
          <w:tcPr>
            <w:tcW w:w="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Agency RMBS</w:t>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Non-Agency RMBS</w:t>
            </w:r>
          </w:p>
        </w:tc>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Legacy WMC CMBS</w:t>
            </w:r>
          </w:p>
        </w:tc>
        <w:tc>
          <w:tcPr>
            <w:tcW w:w="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92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5,189 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w:t>
            </w:r>
          </w:p>
        </w:tc>
        <w:tc>
          <w:tcPr>
            <w:tcW w:w="17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5. Fair value measurements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 of the Company's financial instruments is determined in accordance with the provisions of ASC 820, "Fair Value Measurements and Disclosures." When possible, the Company determines fair value using third-party data sources. ASC 820 establishes a hierarchy that prioritizes the inputs to valuation techniques. Level 1 inputs are observable inputs that reflect quoted prices for identical assets or liabilities in active markets. Level 2 inputs are observable inputs other than quoted prices and may include quoted prices for similar assets and liabilities in active markets. Level 3 inputs are significant unobservable inputs. In situations where quoted prices or observable inputs are unavailable (for example, when there is little or no market activity for an investment at the end of the period), unobservable inputs may be used and reflect the Company’s assumptions about the factors that market participants would use in pricing an asset or liability, and would be based on the best information available. In certain cases, inputs used to measure fair value fall into different levels of the fair value hierarchy. In such cases, the level 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51155"/>
                <wp:effectExtent l="0" t="0" r="0" b="0"/>
                <wp:wrapNone/>
                <wp:docPr id="18" name="Frame1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TPG Mortgage Investment Trust,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which the fair value measurement falls is determined based on the lowest level input that is significant to the fair value measurement.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the Company’s financial instruments measured at fair value on a recurring basis as of June 30, 2026 and December 31, 2025 (in thousands).</w:t>
      </w:r>
    </w:p>
    <w:tbl>
      <w:tblPr>
        <w:tblW w:w="12280" w:type="dxa"/>
        <w:jc w:val="left"/>
        <w:tblInd w:w="0" w:type="dxa"/>
        <w:tblLayout w:type="fixed"/>
        <w:tblCellMar>
          <w:top w:w="28" w:type="dxa"/>
          <w:left w:w="28" w:type="dxa"/>
          <w:bottom w:w="28" w:type="dxa"/>
          <w:right w:w="28" w:type="dxa"/>
        </w:tblCellMar>
      </w:tblPr>
      <w:tblGrid>
        <w:gridCol w:w="475"/>
        <w:gridCol w:w="286"/>
        <w:gridCol w:w="290"/>
        <w:gridCol w:w="109"/>
        <w:gridCol w:w="109"/>
        <w:gridCol w:w="109"/>
        <w:gridCol w:w="196"/>
        <w:gridCol w:w="646"/>
        <w:gridCol w:w="109"/>
        <w:gridCol w:w="109"/>
        <w:gridCol w:w="109"/>
        <w:gridCol w:w="109"/>
        <w:gridCol w:w="196"/>
        <w:gridCol w:w="646"/>
        <w:gridCol w:w="109"/>
        <w:gridCol w:w="109"/>
        <w:gridCol w:w="109"/>
        <w:gridCol w:w="109"/>
        <w:gridCol w:w="196"/>
        <w:gridCol w:w="886"/>
        <w:gridCol w:w="109"/>
        <w:gridCol w:w="109"/>
        <w:gridCol w:w="109"/>
        <w:gridCol w:w="109"/>
        <w:gridCol w:w="196"/>
        <w:gridCol w:w="886"/>
        <w:gridCol w:w="109"/>
        <w:gridCol w:w="109"/>
        <w:gridCol w:w="109"/>
        <w:gridCol w:w="109"/>
        <w:gridCol w:w="196"/>
        <w:gridCol w:w="646"/>
        <w:gridCol w:w="109"/>
        <w:gridCol w:w="109"/>
        <w:gridCol w:w="109"/>
        <w:gridCol w:w="109"/>
        <w:gridCol w:w="196"/>
        <w:gridCol w:w="646"/>
        <w:gridCol w:w="109"/>
        <w:gridCol w:w="109"/>
        <w:gridCol w:w="109"/>
        <w:gridCol w:w="109"/>
        <w:gridCol w:w="196"/>
        <w:gridCol w:w="886"/>
        <w:gridCol w:w="109"/>
        <w:gridCol w:w="109"/>
        <w:gridCol w:w="109"/>
        <w:gridCol w:w="109"/>
        <w:gridCol w:w="196"/>
        <w:gridCol w:w="886"/>
        <w:gridCol w:w="154"/>
      </w:tblGrid>
      <w:tr>
        <w:trPr/>
        <w:tc>
          <w:tcPr>
            <w:tcW w:w="47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Fair Value at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Fair Value at December 31, 2025</w:t>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Securitized residential mortgage loans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7,119,175 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7,119,175 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7,999,619 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7,999,619 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Residential mortgage loans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199,677 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Legacy WMC Commercial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Non-Agency RMBS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201,381 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Legacy WMC CMBS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Agency RMBS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assets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equivalents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AG Arc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 Measured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60,602 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78,166 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7,718,232 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7,857,000 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75,234 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8,495,153 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8,626,366 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Securitized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(6,355,237)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(6,355,237)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(7,177,923)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(7,177,923)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liabilities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Measured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(6,355,237)</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(6,355,382)</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(1,169)</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(7,177,923)</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(7,179,092)</w:t>
            </w:r>
          </w:p>
        </w:tc>
        <w:tc>
          <w:tcPr>
            <w:tcW w:w="15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(1)As of June 30, 2026, the Company applied a reduction in fair value of $9.8 million and $0.1 million to its interest rate swap assets and liabilities, respectively, related to variation margin with a corresponding increase or decrease in restricted cash. As of December 31, 2025, the Company applied a reduction in fair value of $5.3 million and $1.2 million to its interest rate swap assets and liabilities, respectively, related to variation margin with a corresponding increase or decrease in restricted cash. Derivative assets and liabilities are included in the "Other assets" and "Other liabilities" line items on the consolidated balance sheets, respectively. </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(2)The Company classifies highly liquid investments with original maturities of three months or less from the date of purchase as cash equivalents. Cash equivalents may include cash invested in money market funds and are carried at cost, which approximates fair value.</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(3)The table above includes the Company's investment in AG Arc, which is included in its "Investments in debt and equity of affiliates" line item on the consolidated balance sheets, as the Company has elected the fair value option with respect to its investment pursuant to ASC 825.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valuation of certain of the Company’s assets and liabilities, including residential mortgage loans, securitized debt, commercial loans, certain securities, loan purchase commitments and forward purchase commitments, is determined by the Manager using third-party pricing services where available, valuation analyses from third-party pricing service providers, or model-based pricing. Third-party pricing service providers conduct independent valuation analyses based on a review of source documents, available market data, and comparable investments. The analyses provided by valuation service providers are reviewed and considered by the Manager. The evaluation considers the underlying characteristics of each loan, which are observable inputs, including: coupon, maturity date, loan age, reset date, collateral type, periodic and life cap, geography, and historical prepayment speeds. The Company also considers loan servicing data, as available, forward interest rates, general economic conditions, home price index forecasts, and valuations of the underlying properties. The variables considered most significant to the determination of the fair value of these assets and liabilities include market-implied discount rates, projections of default rates, delinquency rates, prepayment rates, loss severity, recovery rates, reperformance rates, timeline to liquidation, and, for forward purchase commitments, pull-through rates. The Company and third-party pricing service providers use loan level data and macro-economic inputs to generate loss adjusted cash flows and other information in determining the fair value. Because of the inherent uncertainty of such valuation, the fair value established for these assets and liabilities held by the Company may differ from the fair value that would have been established if a ready market existed for these mortgage loans.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51155"/>
                <wp:effectExtent l="0" t="0" r="0" b="0"/>
                <wp:wrapNone/>
                <wp:docPr id="19" name="Frame1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TPG Mortgage Investment Trust,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Fair values for the Company’s securities and derivatives may be based upon prices obtained from third-party pricing services or broker quotations. The valuation methodology of the Company’s third-party pricing services incorporates commonly used market pricing methods, including a spread measurement to various indices, which are observable inputs. The evaluation also considers the underlying characteristics of each investment, which are also observable inputs, including: coupon, maturity date, loan age, reset date, collateral type, periodic and life cap, geography, and prepayment speeds. The Company collects and considers current market intelligence on all major markets, including benchmark security evaluations and bid-lists from various sources, when available. As part of the Company’s risk management process, the Company reviews and analyzes all prices obtained by comparing prices to recently completed transactions involving the same or similar investments on or near the reporting date. If, in the opinion of the Manager, one or more prices reported to the Company are not reliable or unavailable, the Manager reviews the fair value based on characteristics of the investment it receives from the issuer and available market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investment in Arc Home is evaluated on a periodic basis using a market approach. In applying the market approach, fair value is determined by multiplying Arc Home's book value by a relevant valuation multiple observed based on a range of comparable public entities or transactions, adjusted by management as appropriate for differences between the investment and the referenced comparables. The evaluation also considers the underlying financial performance of Arc Home, general economic conditions, and relevant trends within the mortgage banking industry.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Changes in the market environment and other events that may occur over the life of these investments may cause the gains or losses ultimately realized to be different than the valuations currently estimated. The significant unobservable inputs used in the fair value measurement of the Company’s loans and securities are yields, prepayment rates, probability of default, and loss severity in the event of default. Significant increases (decreases) in any of those inputs in isolation would result in a significantly lower (higher) fair value measurement. Generally, a change in the assumption used for the probability of default is accompanied by a directionally similar change in the assumption used for the loss severity and a directionally opposite change in the assumption used for prepayment rates. The significant unobservable input used in the fair value measurement of the Company’s investment in Arc Home is the book value multiple. Significant increases (decreases) in the multiple applied would result in a significantly higher (lower) fair value measurement.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did not have any transfers of assets or liabilities between Levels 1 and 2 of the fair value hierarchy during the three and six months ended June 30, 2026 and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did not have any transfers of assets or liabilities between Levels 1 or 2 and Level 3 of the fair value hierarchy during the three and six months ended June 30, 2026 and 2025. Transfers into the Level 3 category of the fair value hierarchy occur due to instruments exhibiting indications of reduced levels of market transparency. Transfers out of the Level 3 category of the fair value hierarchy occur due to instruments exhibiting indications of increased levels of market transparency. Indications of increases or decreases in levels of market transparency include a change in observable transactions or executable quotes involving these instruments or similar instruments. Changes in these indications could impact price transparency, and thereby cause a change in level designations in future periods.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51155"/>
                <wp:effectExtent l="0" t="0" r="0" b="0"/>
                <wp:wrapNone/>
                <wp:docPr id="20" name="Frame2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TPG Mortgage Investment Trust,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additional information about the Company’s assets and liabilities which are measured at fair value on a recurring basis for which the Company has utilized Level 3 inputs to determine fair value (in thousands).</w:t>
      </w:r>
    </w:p>
    <w:tbl>
      <w:tblPr>
        <w:tblW w:w="10205" w:type="dxa"/>
        <w:jc w:val="left"/>
        <w:tblInd w:w="0" w:type="dxa"/>
        <w:tblLayout w:type="fixed"/>
        <w:tblCellMar>
          <w:top w:w="28" w:type="dxa"/>
          <w:left w:w="28" w:type="dxa"/>
          <w:bottom w:w="28" w:type="dxa"/>
          <w:right w:w="28" w:type="dxa"/>
        </w:tblCellMar>
      </w:tblPr>
      <w:tblGrid>
        <w:gridCol w:w="699"/>
        <w:gridCol w:w="556"/>
        <w:gridCol w:w="558"/>
        <w:gridCol w:w="220"/>
        <w:gridCol w:w="933"/>
        <w:gridCol w:w="132"/>
        <w:gridCol w:w="109"/>
        <w:gridCol w:w="109"/>
        <w:gridCol w:w="109"/>
        <w:gridCol w:w="328"/>
        <w:gridCol w:w="1037"/>
        <w:gridCol w:w="199"/>
        <w:gridCol w:w="109"/>
        <w:gridCol w:w="109"/>
        <w:gridCol w:w="109"/>
        <w:gridCol w:w="181"/>
        <w:gridCol w:w="646"/>
        <w:gridCol w:w="109"/>
        <w:gridCol w:w="109"/>
        <w:gridCol w:w="109"/>
        <w:gridCol w:w="109"/>
        <w:gridCol w:w="109"/>
        <w:gridCol w:w="109"/>
        <w:gridCol w:w="109"/>
        <w:gridCol w:w="109"/>
        <w:gridCol w:w="109"/>
        <w:gridCol w:w="109"/>
        <w:gridCol w:w="109"/>
        <w:gridCol w:w="109"/>
        <w:gridCol w:w="181"/>
        <w:gridCol w:w="571"/>
        <w:gridCol w:w="109"/>
        <w:gridCol w:w="109"/>
        <w:gridCol w:w="109"/>
        <w:gridCol w:w="109"/>
        <w:gridCol w:w="181"/>
        <w:gridCol w:w="788"/>
        <w:gridCol w:w="109"/>
        <w:gridCol w:w="109"/>
        <w:gridCol w:w="109"/>
        <w:gridCol w:w="109"/>
        <w:gridCol w:w="161"/>
      </w:tblGrid>
      <w:tr>
        <w:trPr/>
        <w:tc>
          <w:tcPr>
            <w:tcW w:w="69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688" w:type="dxa"/>
            <w:gridSpan w:val="22"/>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5"/>
              </w:rPr>
            </w:pPr>
            <w:r>
              <w:rPr>
                <w:rFonts w:ascii="Times New Roman;serif" w:hAnsi="Times New Roman;serif"/>
                <w:b/>
                <w:color w:val="000000"/>
                <w:sz w:val="15"/>
              </w:rPr>
              <w:t>Three Months Ended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3" w:type="dxa"/>
            <w:gridSpan w:val="14"/>
            <w:tcBorders/>
          </w:tcPr>
          <w:p>
            <w:pPr>
              <w:pStyle w:val="TableContents"/>
              <w:bidi w:val="0"/>
              <w:spacing w:before="0" w:after="283"/>
              <w:jc w:val="left"/>
              <w:rPr>
                <w:sz w:val="4"/>
                <w:szCs w:val="4"/>
              </w:rPr>
            </w:pPr>
            <w:r>
              <w:rPr>
                <w:sz w:val="4"/>
                <w:szCs w:val="4"/>
              </w:rPr>
            </w:r>
          </w:p>
        </w:tc>
      </w:tr>
      <w:tr>
        <w:trPr/>
        <w:tc>
          <w:tcPr>
            <w:tcW w:w="1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 xml:space="preserve">Residential Mortgage </w:t>
              <w:br/>
              <w:t>Loans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Legacy WMC Commercial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Non-Agency</w:t>
              <w:br/>
              <w:t>RMBS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AG Arc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Securitized</w:t>
              <w:br/>
              <w:t>Debt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Beginning balance</w:t>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9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7,766,335 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10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51,504 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211,564 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52,334 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(6,749,708)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813"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813"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813"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Purchases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70,009 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37,737 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813"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Capital distributions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(6,614)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Proceeds from sales or settlements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(26,331)</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Principal repayments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(417,214)</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(1,343)</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(7,464)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388,941 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Principal funding</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5,505 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Included in net income:</w:t>
            </w:r>
          </w:p>
        </w:tc>
        <w:tc>
          <w:tcPr>
            <w:tcW w:w="1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premium and discount amortization (2)</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(2,216)</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(2,526)</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(2,910)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realized gain/(loss)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(1,458)</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unrealized gain/(loss)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(10,547)</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1,619 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Equity in earnings/(loss) from affiliates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Other (3)</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(3,433)</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Ending Balance</w:t>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9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7,380,650 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10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49,254 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241,893 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46,435 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(6,355,237)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70" w:type="dxa"/>
            <w:gridSpan w:val="20"/>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5"/>
              </w:rPr>
            </w:pPr>
            <w:r>
              <w:rPr>
                <w:rFonts w:ascii="Times New Roman;serif" w:hAnsi="Times New Roman;serif"/>
                <w:b w:val="false"/>
                <w:color w:val="000000"/>
                <w:sz w:val="15"/>
              </w:rPr>
              <w:t>Change in unrealized appreciation/(depreciation) for level 3 assets/liabilities still held as of June 30, 2026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3" w:type="dxa"/>
            <w:gridSpan w:val="14"/>
            <w:tcBorders/>
          </w:tcPr>
          <w:p>
            <w:pPr>
              <w:pStyle w:val="TableContents"/>
              <w:bidi w:val="0"/>
              <w:spacing w:before="0" w:after="283"/>
              <w:jc w:val="left"/>
              <w:rPr>
                <w:sz w:val="4"/>
                <w:szCs w:val="4"/>
              </w:rPr>
            </w:pPr>
            <w:r>
              <w:rPr>
                <w:sz w:val="4"/>
                <w:szCs w:val="4"/>
              </w:rPr>
            </w:r>
          </w:p>
        </w:tc>
      </w:tr>
      <w:tr>
        <w:trPr/>
        <w:tc>
          <w:tcPr>
            <w:tcW w:w="1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premium and discount amortization (2)</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9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(2,252)</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10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(2,526)</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(2,910)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unrealized gain/(loss)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(11,945)</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1,619 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Equity in earnings/(loss) from affiliates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472"/>
        <w:gridCol w:w="324"/>
        <w:gridCol w:w="325"/>
        <w:gridCol w:w="191"/>
        <w:gridCol w:w="811"/>
        <w:gridCol w:w="115"/>
        <w:gridCol w:w="109"/>
        <w:gridCol w:w="109"/>
        <w:gridCol w:w="109"/>
        <w:gridCol w:w="222"/>
        <w:gridCol w:w="700"/>
        <w:gridCol w:w="134"/>
        <w:gridCol w:w="109"/>
        <w:gridCol w:w="109"/>
        <w:gridCol w:w="109"/>
        <w:gridCol w:w="181"/>
        <w:gridCol w:w="646"/>
        <w:gridCol w:w="109"/>
        <w:gridCol w:w="109"/>
        <w:gridCol w:w="109"/>
        <w:gridCol w:w="109"/>
        <w:gridCol w:w="109"/>
        <w:gridCol w:w="109"/>
        <w:gridCol w:w="109"/>
        <w:gridCol w:w="109"/>
        <w:gridCol w:w="196"/>
        <w:gridCol w:w="439"/>
        <w:gridCol w:w="118"/>
        <w:gridCol w:w="109"/>
        <w:gridCol w:w="109"/>
        <w:gridCol w:w="109"/>
        <w:gridCol w:w="181"/>
        <w:gridCol w:w="571"/>
        <w:gridCol w:w="109"/>
        <w:gridCol w:w="109"/>
        <w:gridCol w:w="109"/>
        <w:gridCol w:w="109"/>
        <w:gridCol w:w="181"/>
        <w:gridCol w:w="772"/>
        <w:gridCol w:w="109"/>
        <w:gridCol w:w="109"/>
        <w:gridCol w:w="109"/>
        <w:gridCol w:w="109"/>
        <w:gridCol w:w="218"/>
        <w:gridCol w:w="490"/>
        <w:gridCol w:w="193"/>
      </w:tblGrid>
      <w:tr>
        <w:trPr/>
        <w:tc>
          <w:tcPr>
            <w:tcW w:w="47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6400" w:type="dxa"/>
            <w:gridSpan w:val="2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7" w:type="dxa"/>
            <w:gridSpan w:val="12"/>
            <w:tcBorders/>
          </w:tcPr>
          <w:p>
            <w:pPr>
              <w:pStyle w:val="TableContents"/>
              <w:bidi w:val="0"/>
              <w:spacing w:before="0" w:after="283"/>
              <w:jc w:val="left"/>
              <w:rPr>
                <w:sz w:val="4"/>
                <w:szCs w:val="4"/>
              </w:rPr>
            </w:pPr>
            <w:r>
              <w:rPr>
                <w:sz w:val="4"/>
                <w:szCs w:val="4"/>
              </w:rPr>
            </w:r>
          </w:p>
        </w:tc>
      </w:tr>
      <w:tr>
        <w:trPr/>
        <w:tc>
          <w:tcPr>
            <w:tcW w:w="1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 xml:space="preserve">Residential Mortgage </w:t>
              <w:br/>
              <w:t>Loans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Legacy WMC Commercial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Non-Agency</w:t>
              <w:br/>
              <w:t>RMBS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Other Assets (4)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AG Arc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Securitized</w:t>
              <w:br/>
              <w:t>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Other Liabilities (4)</w:t>
            </w:r>
          </w:p>
        </w:tc>
      </w:tr>
      <w:tr>
        <w:trPr/>
        <w:tc>
          <w:tcPr>
            <w:tcW w:w="1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Beginning balance</w:t>
            </w:r>
          </w:p>
        </w:tc>
        <w:tc>
          <w:tcPr>
            <w:tcW w:w="1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6,809,796 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65,504 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141,118 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32,242 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(5,836,691)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1"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1121"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1121"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1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Purchases</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444,852 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Issuances of Securitized Debt</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(314,660)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1"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1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Proceeds from sales or settlements</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(37,333)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Principal repayments</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(234,788)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(2,608)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212,374 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Principal funding</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4,572 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Included in net income:</w:t>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premium and discount amortization (2)</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2,214 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(6,650)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realized gain/(loss)</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(655)</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unrealized gain/(loss)</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(11,460)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(684)</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511 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(51)</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Equity in earnings/(loss) from affiliates</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Other (3)</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(2,199)</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Ending Balance</w:t>
            </w:r>
          </w:p>
        </w:tc>
        <w:tc>
          <w:tcPr>
            <w:tcW w:w="1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6,974,999 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64,883 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137,945 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511 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32,205 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(5,937,637)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(51)</w:t>
            </w:r>
          </w:p>
        </w:tc>
        <w:tc>
          <w:tcPr>
            <w:tcW w:w="1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0" w:type="dxa"/>
            <w:gridSpan w:val="2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Change in unrealized appreciation/(depreciation) for level 3 assets/liabilities still held as of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7" w:type="dxa"/>
            <w:gridSpan w:val="12"/>
            <w:tcBorders/>
          </w:tcPr>
          <w:p>
            <w:pPr>
              <w:pStyle w:val="TableContents"/>
              <w:bidi w:val="0"/>
              <w:spacing w:before="0" w:after="283"/>
              <w:jc w:val="left"/>
              <w:rPr>
                <w:sz w:val="4"/>
                <w:szCs w:val="4"/>
              </w:rPr>
            </w:pPr>
            <w:r>
              <w:rPr>
                <w:sz w:val="4"/>
                <w:szCs w:val="4"/>
              </w:rPr>
            </w:r>
          </w:p>
        </w:tc>
      </w:tr>
      <w:tr>
        <w:trPr/>
        <w:tc>
          <w:tcPr>
            <w:tcW w:w="1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premium and discount amortization (2)</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2,219 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(6,650)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unrealized gain/(loss)</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(11,437)</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(684)</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511 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(51)</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Equity in earnings/(loss) from affiliates</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51155"/>
                <wp:effectExtent l="0" t="0" r="0" b="0"/>
                <wp:wrapNone/>
                <wp:docPr id="21" name="Frame2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TPG Mortgage Investment Trust,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tbl>
      <w:tblPr>
        <w:tblW w:w="10205" w:type="dxa"/>
        <w:jc w:val="left"/>
        <w:tblInd w:w="0" w:type="dxa"/>
        <w:tblLayout w:type="fixed"/>
        <w:tblCellMar>
          <w:top w:w="28" w:type="dxa"/>
          <w:left w:w="28" w:type="dxa"/>
          <w:bottom w:w="28" w:type="dxa"/>
          <w:right w:w="28" w:type="dxa"/>
        </w:tblCellMar>
      </w:tblPr>
      <w:tblGrid>
        <w:gridCol w:w="575"/>
        <w:gridCol w:w="421"/>
        <w:gridCol w:w="423"/>
        <w:gridCol w:w="181"/>
        <w:gridCol w:w="766"/>
        <w:gridCol w:w="109"/>
        <w:gridCol w:w="109"/>
        <w:gridCol w:w="109"/>
        <w:gridCol w:w="109"/>
        <w:gridCol w:w="266"/>
        <w:gridCol w:w="842"/>
        <w:gridCol w:w="161"/>
        <w:gridCol w:w="109"/>
        <w:gridCol w:w="109"/>
        <w:gridCol w:w="109"/>
        <w:gridCol w:w="181"/>
        <w:gridCol w:w="646"/>
        <w:gridCol w:w="109"/>
        <w:gridCol w:w="109"/>
        <w:gridCol w:w="109"/>
        <w:gridCol w:w="109"/>
        <w:gridCol w:w="109"/>
        <w:gridCol w:w="109"/>
        <w:gridCol w:w="109"/>
        <w:gridCol w:w="109"/>
        <w:gridCol w:w="213"/>
        <w:gridCol w:w="478"/>
        <w:gridCol w:w="128"/>
        <w:gridCol w:w="109"/>
        <w:gridCol w:w="109"/>
        <w:gridCol w:w="109"/>
        <w:gridCol w:w="109"/>
        <w:gridCol w:w="109"/>
        <w:gridCol w:w="181"/>
        <w:gridCol w:w="571"/>
        <w:gridCol w:w="109"/>
        <w:gridCol w:w="109"/>
        <w:gridCol w:w="109"/>
        <w:gridCol w:w="109"/>
        <w:gridCol w:w="181"/>
        <w:gridCol w:w="779"/>
        <w:gridCol w:w="109"/>
        <w:gridCol w:w="109"/>
        <w:gridCol w:w="109"/>
        <w:gridCol w:w="109"/>
        <w:gridCol w:w="160"/>
      </w:tblGrid>
      <w:tr>
        <w:trPr/>
        <w:tc>
          <w:tcPr>
            <w:tcW w:w="575"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916" w:type="dxa"/>
            <w:gridSpan w:val="28"/>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5"/>
              </w:rPr>
            </w:pPr>
            <w:r>
              <w:rPr>
                <w:rFonts w:ascii="Times New Roman;serif" w:hAnsi="Times New Roman;serif"/>
                <w:b/>
                <w:color w:val="000000"/>
                <w:sz w:val="15"/>
              </w:rPr>
              <w:t>Six Months Ended June 30, 2026</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883" w:type="dxa"/>
            <w:gridSpan w:val="10"/>
            <w:tcBorders/>
          </w:tcPr>
          <w:p>
            <w:pPr>
              <w:pStyle w:val="TableContents"/>
              <w:bidi w:val="0"/>
              <w:spacing w:before="0" w:after="283"/>
              <w:jc w:val="left"/>
              <w:rPr>
                <w:sz w:val="4"/>
                <w:szCs w:val="4"/>
              </w:rPr>
            </w:pPr>
            <w:r>
              <w:rPr>
                <w:sz w:val="4"/>
                <w:szCs w:val="4"/>
              </w:rPr>
            </w:r>
          </w:p>
        </w:tc>
      </w:tr>
      <w:tr>
        <w:trPr/>
        <w:tc>
          <w:tcPr>
            <w:tcW w:w="1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 xml:space="preserve">Residential </w:t>
              <w:br/>
              <w:t xml:space="preserve">Mortgage </w:t>
              <w:br/>
              <w:t>Loans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Legacy WMC Commercial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Non-Agency</w:t>
              <w:br/>
              <w:t>RMBS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Other Assets (4)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AG Arc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Securitized</w:t>
              <w:br/>
              <w:t>Debt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Beginning balance</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8,198,215 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8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55,376 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191,546 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50,016 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(7,177,923)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41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41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41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Purchases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156,746 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66,388 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41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Capital distributions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(6,614)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Proceeds from sales or settlements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(75,706)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Principal repayments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(804,038)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(1,343)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(13,369)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752,082 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Principal funding</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Included in net income:</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premium and discount amortization (2)</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(4,612)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(2,919)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(6,032)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realized gain/(loss)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unrealized gain/(loss)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(90,228)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(1,860)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76,636 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Equity in earnings/(loss) from affiliates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Other (3)</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(7,777)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Ending Balance</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7,380,650 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8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49,254 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241,893 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46,435 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(6,355,237)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988" w:type="dxa"/>
            <w:gridSpan w:val="24"/>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5"/>
              </w:rPr>
            </w:pPr>
            <w:r>
              <w:rPr>
                <w:rFonts w:ascii="Times New Roman;serif" w:hAnsi="Times New Roman;serif"/>
                <w:b w:val="false"/>
                <w:color w:val="000000"/>
                <w:sz w:val="15"/>
              </w:rPr>
              <w:t>Change in unrealized appreciation/(depreciation) for level 3 assets/liabilities still held as of June 30, 2026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883" w:type="dxa"/>
            <w:gridSpan w:val="10"/>
            <w:tcBorders/>
          </w:tcPr>
          <w:p>
            <w:pPr>
              <w:pStyle w:val="TableContents"/>
              <w:bidi w:val="0"/>
              <w:spacing w:before="0" w:after="283"/>
              <w:jc w:val="left"/>
              <w:rPr>
                <w:sz w:val="4"/>
                <w:szCs w:val="4"/>
              </w:rPr>
            </w:pPr>
            <w:r>
              <w:rPr>
                <w:sz w:val="4"/>
                <w:szCs w:val="4"/>
              </w:rPr>
            </w:r>
          </w:p>
        </w:tc>
      </w:tr>
      <w:tr>
        <w:trPr/>
        <w:tc>
          <w:tcPr>
            <w:tcW w:w="1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premium and discount amortization (2)</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(4,541)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8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(2,919)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(6,032)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unrealized gain/(loss)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(91,977)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(1,860)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76,636 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Equity in earnings/(loss) from affiliates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481"/>
        <w:gridCol w:w="333"/>
        <w:gridCol w:w="334"/>
        <w:gridCol w:w="181"/>
        <w:gridCol w:w="766"/>
        <w:gridCol w:w="109"/>
        <w:gridCol w:w="109"/>
        <w:gridCol w:w="109"/>
        <w:gridCol w:w="109"/>
        <w:gridCol w:w="226"/>
        <w:gridCol w:w="713"/>
        <w:gridCol w:w="137"/>
        <w:gridCol w:w="109"/>
        <w:gridCol w:w="109"/>
        <w:gridCol w:w="109"/>
        <w:gridCol w:w="181"/>
        <w:gridCol w:w="646"/>
        <w:gridCol w:w="109"/>
        <w:gridCol w:w="109"/>
        <w:gridCol w:w="109"/>
        <w:gridCol w:w="109"/>
        <w:gridCol w:w="109"/>
        <w:gridCol w:w="109"/>
        <w:gridCol w:w="109"/>
        <w:gridCol w:w="109"/>
        <w:gridCol w:w="197"/>
        <w:gridCol w:w="443"/>
        <w:gridCol w:w="119"/>
        <w:gridCol w:w="109"/>
        <w:gridCol w:w="109"/>
        <w:gridCol w:w="109"/>
        <w:gridCol w:w="181"/>
        <w:gridCol w:w="571"/>
        <w:gridCol w:w="109"/>
        <w:gridCol w:w="109"/>
        <w:gridCol w:w="109"/>
        <w:gridCol w:w="109"/>
        <w:gridCol w:w="181"/>
        <w:gridCol w:w="772"/>
        <w:gridCol w:w="109"/>
        <w:gridCol w:w="109"/>
        <w:gridCol w:w="109"/>
        <w:gridCol w:w="109"/>
        <w:gridCol w:w="220"/>
        <w:gridCol w:w="495"/>
        <w:gridCol w:w="194"/>
      </w:tblGrid>
      <w:tr>
        <w:trPr/>
        <w:tc>
          <w:tcPr>
            <w:tcW w:w="48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6392" w:type="dxa"/>
            <w:gridSpan w:val="2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Six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12"/>
            <w:tcBorders/>
          </w:tcPr>
          <w:p>
            <w:pPr>
              <w:pStyle w:val="TableContents"/>
              <w:bidi w:val="0"/>
              <w:spacing w:before="0" w:after="283"/>
              <w:jc w:val="left"/>
              <w:rPr>
                <w:sz w:val="4"/>
                <w:szCs w:val="4"/>
              </w:rPr>
            </w:pPr>
            <w:r>
              <w:rPr>
                <w:sz w:val="4"/>
                <w:szCs w:val="4"/>
              </w:rPr>
            </w:r>
          </w:p>
        </w:tc>
      </w:tr>
      <w:tr>
        <w:trPr/>
        <w:tc>
          <w:tcPr>
            <w:tcW w:w="1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 xml:space="preserve">Residential </w:t>
              <w:br/>
              <w:t xml:space="preserve">Mortgage </w:t>
              <w:br/>
              <w:t>Loans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Legacy WMC Commercial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Non-Agency</w:t>
              <w:br/>
              <w:t>RMBS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Other Assets (4)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AG Arc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Securitized</w:t>
              <w:br/>
              <w:t>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Other Liabilities (4)</w:t>
            </w:r>
          </w:p>
        </w:tc>
      </w:tr>
      <w:tr>
        <w:trPr/>
        <w:tc>
          <w:tcPr>
            <w:tcW w:w="1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Beginning balance</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6,416,066 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67,005 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115,533 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204 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30,778 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(5,491,967)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(336)</w:t>
            </w:r>
          </w:p>
        </w:tc>
        <w:tc>
          <w:tcPr>
            <w:tcW w:w="1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8"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1148"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1148"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Purchases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939,621 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25,963 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Issuances of Securitized Debt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(723,330)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8"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Proceeds from sales or settlements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(57,761)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(258)</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298 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Principal repayments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(422,385)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(3,702)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383,149 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Principal funding</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Included in net income:</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premium and discount amortization (2)</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333 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(13,457)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realized gain/(loss)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258 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(298)</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unrealized gain/(loss)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96,383 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(2,455)</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307 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(92,032)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285 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Equity in earnings/(loss) from affiliates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Other (3)</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(6,261)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Ending Balance</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6,974,999 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64,883 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137,945 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511 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32,205 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(5,937,637)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(51)</w:t>
            </w:r>
          </w:p>
        </w:tc>
        <w:tc>
          <w:tcPr>
            <w:tcW w:w="1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4" w:type="dxa"/>
            <w:gridSpan w:val="24"/>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Change in unrealized appreciation/(depreciation) for level 3 assets/liabilities still held as of June 30, 2025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12"/>
            <w:tcBorders/>
          </w:tcPr>
          <w:p>
            <w:pPr>
              <w:pStyle w:val="TableContents"/>
              <w:bidi w:val="0"/>
              <w:spacing w:before="0" w:after="283"/>
              <w:jc w:val="left"/>
              <w:rPr>
                <w:sz w:val="4"/>
                <w:szCs w:val="4"/>
              </w:rPr>
            </w:pPr>
            <w:r>
              <w:rPr>
                <w:sz w:val="4"/>
                <w:szCs w:val="4"/>
              </w:rPr>
            </w:r>
          </w:p>
        </w:tc>
      </w:tr>
      <w:tr>
        <w:trPr/>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premium and discount amortization (2)</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333 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(13,457)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unrealized gain/(loss)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95,526 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(2,455)</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511 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(92,032)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(51)</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Equity in earnings/(loss) from affiliates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5"/>
        </w:rPr>
      </w:pPr>
      <w:r>
        <w:rPr>
          <w:rFonts w:ascii="Times New Roman;serif" w:hAnsi="Times New Roman;serif"/>
          <w:b w:val="false"/>
          <w:color w:val="000000"/>
          <w:sz w:val="15"/>
        </w:rPr>
        <w:t>(1)Includes Securitized residential mortgage loans.</w:t>
      </w:r>
    </w:p>
    <w:p>
      <w:pPr>
        <w:pStyle w:val="TextBody"/>
        <w:bidi w:val="0"/>
        <w:spacing w:lineRule="auto" w:line="288" w:before="0" w:after="0"/>
        <w:ind w:left="0" w:right="0" w:hanging="360"/>
        <w:jc w:val="both"/>
        <w:rPr>
          <w:rFonts w:ascii="Times New Roman;serif" w:hAnsi="Times New Roman;serif"/>
          <w:b w:val="false"/>
          <w:color w:val="000000"/>
          <w:sz w:val="15"/>
        </w:rPr>
      </w:pPr>
      <w:r>
        <w:rPr>
          <w:rFonts w:ascii="Times New Roman;serif" w:hAnsi="Times New Roman;serif"/>
          <w:b w:val="false"/>
          <w:color w:val="000000"/>
          <w:sz w:val="15"/>
        </w:rPr>
        <w:t>(2)Included in the "Interest income" and "Interest expense" line items on the consolidated statement of operations for assets and liabilities, respectively.</w:t>
      </w:r>
    </w:p>
    <w:p>
      <w:pPr>
        <w:pStyle w:val="TextBody"/>
        <w:bidi w:val="0"/>
        <w:spacing w:lineRule="auto" w:line="288" w:before="0" w:after="0"/>
        <w:ind w:left="0" w:right="0" w:hanging="360"/>
        <w:jc w:val="both"/>
        <w:rPr>
          <w:rFonts w:ascii="Times New Roman;serif" w:hAnsi="Times New Roman;serif"/>
          <w:b w:val="false"/>
          <w:color w:val="000000"/>
          <w:sz w:val="15"/>
        </w:rPr>
      </w:pPr>
      <w:r>
        <w:rPr>
          <w:rFonts w:ascii="Times New Roman;serif" w:hAnsi="Times New Roman;serif"/>
          <w:b w:val="false"/>
          <w:color w:val="000000"/>
          <w:sz w:val="15"/>
        </w:rPr>
        <w:t>(3)Includes transfers of residential mortgage loans to real estate owned as well as activity related to advances.</w:t>
      </w:r>
    </w:p>
    <w:p>
      <w:pPr>
        <w:pStyle w:val="TextBody"/>
        <w:bidi w:val="0"/>
        <w:spacing w:lineRule="auto" w:line="288" w:before="0" w:after="0"/>
        <w:ind w:left="0" w:right="0" w:hanging="360"/>
        <w:jc w:val="both"/>
        <w:rPr>
          <w:rFonts w:ascii="Times New Roman;serif" w:hAnsi="Times New Roman;serif"/>
          <w:b w:val="false"/>
          <w:color w:val="000000"/>
          <w:sz w:val="15"/>
        </w:rPr>
      </w:pPr>
      <w:r>
        <w:rPr>
          <w:rFonts w:ascii="Times New Roman;serif" w:hAnsi="Times New Roman;serif"/>
          <w:b w:val="false"/>
          <w:color w:val="000000"/>
          <w:sz w:val="15"/>
        </w:rPr>
        <w:t>(4)Other assets and Other liabilities include derivative forward purchase commitments and loan purchase commitments, if applicable.</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51155"/>
                <wp:effectExtent l="0" t="0" r="0" b="0"/>
                <wp:wrapNone/>
                <wp:docPr id="22" name="Frame2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TPG Mortgage Investment Trust,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a summary of quantitative information about the significant unobservable inputs used in the fair value measurement of investments for which the Company has utilized Level 3 inputs to determine fair value as of June 30, 2026 and December 31, 2025 ($ in thousands). </w:t>
      </w:r>
    </w:p>
    <w:tbl>
      <w:tblPr>
        <w:tblW w:w="10205" w:type="dxa"/>
        <w:jc w:val="center"/>
        <w:tblInd w:w="0" w:type="dxa"/>
        <w:tblLayout w:type="fixed"/>
        <w:tblCellMar>
          <w:top w:w="28" w:type="dxa"/>
          <w:left w:w="28" w:type="dxa"/>
          <w:bottom w:w="28" w:type="dxa"/>
          <w:right w:w="28" w:type="dxa"/>
        </w:tblCellMar>
      </w:tblPr>
      <w:tblGrid>
        <w:gridCol w:w="124"/>
        <w:gridCol w:w="109"/>
        <w:gridCol w:w="404"/>
        <w:gridCol w:w="311"/>
        <w:gridCol w:w="312"/>
        <w:gridCol w:w="319"/>
        <w:gridCol w:w="319"/>
        <w:gridCol w:w="320"/>
        <w:gridCol w:w="416"/>
        <w:gridCol w:w="416"/>
        <w:gridCol w:w="417"/>
        <w:gridCol w:w="109"/>
        <w:gridCol w:w="109"/>
        <w:gridCol w:w="109"/>
        <w:gridCol w:w="196"/>
        <w:gridCol w:w="893"/>
        <w:gridCol w:w="109"/>
        <w:gridCol w:w="322"/>
        <w:gridCol w:w="242"/>
        <w:gridCol w:w="244"/>
        <w:gridCol w:w="334"/>
        <w:gridCol w:w="334"/>
        <w:gridCol w:w="335"/>
        <w:gridCol w:w="109"/>
        <w:gridCol w:w="109"/>
        <w:gridCol w:w="109"/>
        <w:gridCol w:w="196"/>
        <w:gridCol w:w="893"/>
        <w:gridCol w:w="109"/>
        <w:gridCol w:w="325"/>
        <w:gridCol w:w="246"/>
        <w:gridCol w:w="247"/>
        <w:gridCol w:w="307"/>
        <w:gridCol w:w="307"/>
        <w:gridCol w:w="44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Valuation Technique</w:t>
            </w:r>
          </w:p>
        </w:tc>
        <w:tc>
          <w:tcPr>
            <w:tcW w:w="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Unobservable Input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8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Range</w:t>
              <w:br/>
              <w:t>(Weighted Average)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8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Range</w:t>
              <w:br/>
              <w:t>(Weighted Average) (1)</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Securitized Residential Mortgage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Yield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5.47% - 16.51% (5.99%)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5.13% - 18.10% (5.78%)</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7"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Discounted Cash Flow</w:t>
            </w:r>
          </w:p>
        </w:tc>
        <w:tc>
          <w:tcPr>
            <w:tcW w:w="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Projected Collateral Prepayments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7,119,175 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4.29% - 22.00% (10.04%)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7,999,619 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4.92% - 22.00% (10.09%)</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Projected Collateral Losses</w:t>
            </w:r>
          </w:p>
        </w:tc>
        <w:tc>
          <w:tcPr>
            <w:tcW w:w="1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0.00% - 1.72% (0.11%)</w:t>
            </w:r>
          </w:p>
        </w:tc>
        <w:tc>
          <w:tcPr>
            <w:tcW w:w="1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0.00% - 1.77% (0.09%)</w:t>
            </w:r>
          </w:p>
        </w:tc>
        <w:tc>
          <w:tcPr>
            <w:tcW w:w="1059" w:type="dxa"/>
            <w:gridSpan w:val="3"/>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Projected Collateral Severities (2)</w:t>
            </w:r>
          </w:p>
        </w:tc>
        <w:tc>
          <w:tcPr>
            <w:tcW w:w="1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10.00% - 75.00% (23.03%)</w:t>
            </w:r>
          </w:p>
        </w:tc>
        <w:tc>
          <w:tcPr>
            <w:tcW w:w="1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10.00% - 100.00% (28.23%)</w:t>
            </w:r>
          </w:p>
        </w:tc>
        <w:tc>
          <w:tcPr>
            <w:tcW w:w="1059" w:type="dxa"/>
            <w:gridSpan w:val="3"/>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Residential Mortgage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5.69% - 12.00% (7.37%)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5.39% - 11.61% (7.08%)</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Discounted Cash Flow</w:t>
            </w:r>
          </w:p>
        </w:tc>
        <w:tc>
          <w:tcPr>
            <w:tcW w:w="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Projected Collateral Prepayments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261,475 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2.90% - 39.35% (17.24%)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198,596 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1.98% - 33.46% (16.06%)</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vMerge w:val="continue"/>
            <w:tcBorders/>
            <w:tcMar>
              <w:top w:w="0" w:type="dxa"/>
              <w:left w:w="0" w:type="dxa"/>
              <w:bottom w:w="0" w:type="dxa"/>
              <w:right w:w="0" w:type="dxa"/>
            </w:tcMar>
            <w:vAlign w:val="center"/>
          </w:tcPr>
          <w:p>
            <w:pPr>
              <w:pStyle w:val="Normal"/>
              <w:bidi w:val="0"/>
              <w:jc w:val="left"/>
              <w:rPr/>
            </w:pPr>
            <w:r>
              <w:rPr/>
            </w:r>
          </w:p>
        </w:tc>
        <w:tc>
          <w:tcPr>
            <w:tcW w:w="9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Projected Collateral Losses</w:t>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0.00% - 15.78% (1.38%)</w:t>
            </w:r>
          </w:p>
        </w:tc>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0.00% - 18.29% (1.47%)</w:t>
            </w:r>
          </w:p>
        </w:tc>
        <w:tc>
          <w:tcPr>
            <w:tcW w:w="1059" w:type="dxa"/>
            <w:gridSpan w:val="3"/>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Projected Collateral Severities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10.00% - 100.00% (19.07%)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4.43% - 100.00% (17.79%)</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Legacy WMC Commercial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Yield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8.36% - 11.10% (9.26%)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5.95% - 6.95% (6.68%)</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7"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Discounted Cash Flow</w:t>
            </w:r>
          </w:p>
        </w:tc>
        <w:tc>
          <w:tcPr>
            <w:tcW w:w="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Credit Spread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432 bps - 715 bps (516 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231 bps - 325 bps (300 bps)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7"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Recovery Percentage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72.19% - 98.05% (79.07%)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68.33% - 93.29% (86.62%)</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Non-Agency RMBS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5.26% - 16.25% (7.26%)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4.83% - 20.00% (7.56%)</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Discounted Cash Flow</w:t>
            </w:r>
          </w:p>
        </w:tc>
        <w:tc>
          <w:tcPr>
            <w:tcW w:w="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Projected Collateral Prepayments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241,893 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8.16% - 26.15% (11.83%)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191,546 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7.55% - 15.23% (11.23%)</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vMerge w:val="continue"/>
            <w:tcBorders/>
            <w:tcMar>
              <w:top w:w="0" w:type="dxa"/>
              <w:left w:w="0" w:type="dxa"/>
              <w:bottom w:w="0" w:type="dxa"/>
              <w:right w:w="0" w:type="dxa"/>
            </w:tcMar>
            <w:vAlign w:val="center"/>
          </w:tcPr>
          <w:p>
            <w:pPr>
              <w:pStyle w:val="Normal"/>
              <w:bidi w:val="0"/>
              <w:jc w:val="left"/>
              <w:rPr/>
            </w:pPr>
            <w:r>
              <w:rPr/>
            </w:r>
          </w:p>
        </w:tc>
        <w:tc>
          <w:tcPr>
            <w:tcW w:w="9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Projected Collateral Losses</w:t>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0.00% - 0.80% (0.18%)</w:t>
            </w:r>
          </w:p>
        </w:tc>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0.00% - 0.38% (0.06%)</w:t>
            </w:r>
          </w:p>
        </w:tc>
        <w:tc>
          <w:tcPr>
            <w:tcW w:w="1059" w:type="dxa"/>
            <w:gridSpan w:val="3"/>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Projected Collateral Severities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10.00% - 75.00% (29.07%)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10.00% - 100.00% (56.87%)</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1877" w:type="dxa"/>
            <w:gridSpan w:val="6"/>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1877" w:type="dxa"/>
            <w:gridSpan w:val="6"/>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1877" w:type="dxa"/>
            <w:gridSpan w:val="6"/>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1877" w:type="dxa"/>
            <w:gridSpan w:val="6"/>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AG Arc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Comparable Multiple</w:t>
            </w:r>
          </w:p>
        </w:tc>
        <w:tc>
          <w:tcPr>
            <w:tcW w:w="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Book Value Multiple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1.05x - 1.05x (1.05x)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1.025x - 1.025x (1.025x)</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402" w:type="dxa"/>
            <w:gridSpan w:val="12"/>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Securitized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4.84% - 25.00% (5.69%)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4.37% - 30.00% (5.42%)</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Discounted Cash Flow</w:t>
            </w:r>
          </w:p>
        </w:tc>
        <w:tc>
          <w:tcPr>
            <w:tcW w:w="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Projected Collateral Prepayments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(6,355,237)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4.29% - 22.00% (10.02%)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(7,177,923)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4.92% - 22.00% (10.09%)</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7" w:type="dxa"/>
            <w:gridSpan w:val="3"/>
            <w:vMerge w:val="continue"/>
            <w:tcBorders/>
            <w:tcMar>
              <w:top w:w="0" w:type="dxa"/>
              <w:left w:w="0" w:type="dxa"/>
              <w:bottom w:w="0" w:type="dxa"/>
              <w:right w:w="0" w:type="dxa"/>
            </w:tcMar>
            <w:vAlign w:val="center"/>
          </w:tcPr>
          <w:p>
            <w:pPr>
              <w:pStyle w:val="Normal"/>
              <w:bidi w:val="0"/>
              <w:jc w:val="left"/>
              <w:rPr/>
            </w:pPr>
            <w:r>
              <w:rPr/>
            </w:r>
          </w:p>
        </w:tc>
        <w:tc>
          <w:tcPr>
            <w:tcW w:w="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Projected Collateral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0.00% - 0.50% (0.10%)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0.00% - 0.50% (0.08%)</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Projected Collateral Severities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10.00% - 75.00% (23.12%)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10.00% - 100.00% (27.79%)</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1877" w:type="dxa"/>
            <w:gridSpan w:val="6"/>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1877" w:type="dxa"/>
            <w:gridSpan w:val="6"/>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1877" w:type="dxa"/>
            <w:gridSpan w:val="6"/>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(1)Amounts are weighted based on fair value.</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(2)Projected collateral severities excludes assumed recoveries on certain residential mortgage loans.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(3)Represents the proportion of the principal expected to be collected relative to the loan balances as of June 30, 2026 and December 31, 2025. </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51155"/>
                <wp:effectExtent l="0" t="0" r="0" b="0"/>
                <wp:wrapNone/>
                <wp:docPr id="23" name="Frame2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TPG Mortgage Investment Trust,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6. Financing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a summary of the Company's financing as of June 30, 2026 and December 31, 2025 ($ in thousands). </w:t>
      </w:r>
    </w:p>
    <w:tbl>
      <w:tblPr>
        <w:tblW w:w="10267" w:type="dxa"/>
        <w:jc w:val="left"/>
        <w:tblInd w:w="0" w:type="dxa"/>
        <w:tblLayout w:type="fixed"/>
        <w:tblCellMar>
          <w:top w:w="28" w:type="dxa"/>
          <w:left w:w="28" w:type="dxa"/>
          <w:bottom w:w="28" w:type="dxa"/>
          <w:right w:w="28" w:type="dxa"/>
        </w:tblCellMar>
      </w:tblPr>
      <w:tblGrid>
        <w:gridCol w:w="711"/>
        <w:gridCol w:w="282"/>
        <w:gridCol w:w="283"/>
        <w:gridCol w:w="196"/>
        <w:gridCol w:w="871"/>
        <w:gridCol w:w="109"/>
        <w:gridCol w:w="109"/>
        <w:gridCol w:w="109"/>
        <w:gridCol w:w="109"/>
        <w:gridCol w:w="196"/>
        <w:gridCol w:w="871"/>
        <w:gridCol w:w="109"/>
        <w:gridCol w:w="109"/>
        <w:gridCol w:w="109"/>
        <w:gridCol w:w="109"/>
        <w:gridCol w:w="255"/>
        <w:gridCol w:w="255"/>
        <w:gridCol w:w="256"/>
        <w:gridCol w:w="109"/>
        <w:gridCol w:w="109"/>
        <w:gridCol w:w="109"/>
        <w:gridCol w:w="304"/>
        <w:gridCol w:w="252"/>
        <w:gridCol w:w="372"/>
        <w:gridCol w:w="109"/>
        <w:gridCol w:w="109"/>
        <w:gridCol w:w="109"/>
        <w:gridCol w:w="195"/>
        <w:gridCol w:w="195"/>
        <w:gridCol w:w="196"/>
        <w:gridCol w:w="109"/>
        <w:gridCol w:w="109"/>
        <w:gridCol w:w="109"/>
        <w:gridCol w:w="196"/>
        <w:gridCol w:w="871"/>
        <w:gridCol w:w="109"/>
        <w:gridCol w:w="109"/>
        <w:gridCol w:w="109"/>
        <w:gridCol w:w="109"/>
        <w:gridCol w:w="196"/>
        <w:gridCol w:w="871"/>
        <w:gridCol w:w="154"/>
      </w:tblGrid>
      <w:tr>
        <w:trPr/>
        <w:tc>
          <w:tcPr>
            <w:tcW w:w="71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Financing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Collateral Fair Value (1)(2)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Financing</w:t>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Current Face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Stated 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Funding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r>
      <w:tr>
        <w:trPr/>
        <w:tc>
          <w:tcPr>
            <w:tcW w:w="245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Financing Arrangements by Asset Type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Securitized Residential Mortgage Loans (4)</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Non-Agency Loans </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 2026 - Feb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5.05 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610,177 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428,657 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Home Equity Loans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 2026 - Sep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4.51 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67,752 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 and Non-Performing Loans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Aug 2026 - Sep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5.73 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 Mortgage Loans (5)</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Agency-Eligible Loans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Sep 2026 - Mar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5.35 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Home Equity Loans (6)</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 2027 - Jul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5.60 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58,951 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Non-Agency Loans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Legacy WMC Commercial Loans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Sep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6.39 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Non-Agency RMBS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 2026 - Feb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4.46 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137,386 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Legacy WMC CMBS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 2026 - Sep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5.07 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Agency RMBS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 2026 - Sep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Financing Arrangements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891,015 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891,015 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5.03 </w:t>
            </w:r>
          </w:p>
        </w:tc>
        <w:tc>
          <w:tcPr>
            <w:tcW w:w="3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1,314,349 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826,394 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Securitized debt, at fair value (7)(8)</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Non-Agency Loans (9)</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5,828,156 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5,606,863 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5.33 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6,265,540 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Home Equity Loans (9)</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643,739 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660,721 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5.54 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817,889 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 and Non-Performing Loans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94,494 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Securitized Debt</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6,565,056 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6,355,237 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5.33 </w:t>
            </w:r>
          </w:p>
        </w:tc>
        <w:tc>
          <w:tcPr>
            <w:tcW w:w="3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7,177,923 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Senior Unsecured Notes (10)</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February 2029 Senior Unsecured Notes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Feb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10.79 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May 2029 Senior Unsecured Notes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May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10.52 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Senior Unsecured Notes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99,500 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96,858 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10.61 </w:t>
            </w:r>
          </w:p>
        </w:tc>
        <w:tc>
          <w:tcPr>
            <w:tcW w:w="3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96,458 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Financing</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7,555,571 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7,343,110 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5.36 </w:t>
            </w:r>
          </w:p>
        </w:tc>
        <w:tc>
          <w:tcPr>
            <w:tcW w:w="3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1,314,349 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8,100,775 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(1)The Company also had $8.0 million and $7.8 million of cash pledged under repurchase agreements as of June 30, 2026 and December 31, 2025, respectively.</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(2)Under the terms of the Company’s financing agreements, the Company's financing counterparties may, in certain cases, sell or re-hypothecate the pledged collateral.</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(3)Financing arrangements are recorded at amortized cost on the Company's consolidated balance sheets. The fair value of the Company's financing arrangements approximates the carrying value due to their floating interest rates and short-term maturities of generally one year or less. Financing arrangements are classified as Level 2 of the fair value hierarchy.</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(4)Amounts pledged as collateral under Securitized residential mortgage loans include certain of the Company's retained interests in securitizations. Refer to Note 3 for more information on the Non-Agency VIEs, Home Equity VIEs, and RPL/NPL VIEs.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(5)The Company's Residential mortgage loan financing arrangements include a maximum borrowing capacity of $1.6 billion on facilities used to finance Agency-Eligible, Home Equity and Non-Agency Loans of which $50 million is contractually committed.</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(6)The collateral fair value pledged includes $63.5 million of Home Equity Loans in which the Company has no outstanding financing but has $50 million of available financing which is contractually committed.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(7)The holders of the securitized debt have no recourse to the general credit of the Company. The Company generally has no obligation to provide any other explicit or implicit support to the Non-Agency VIEs, Home Equity VIEs, and RPL/NPL VIEs. Refer to Note 12 for commitments related to the undrawn portion of a borrowers' home equity line of credit for which the Company may be required to fund.</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(8)The weighted average funding costs are calculated based on the amortized cost of the underlying securities.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(9)The current face on the Company's Securitized debt in the Company's Non-Agency VIEs and Home Equity VIEs excludes Interest Only classes which have no principal balances and bear interest based on a notional value. The notional value is used solely to determine interest distributions on the interest only classes of securities. As of June 30, 2026, the notional value of interest only classes of Securitized debt in the Non-Agency VIEs and Home Equity VIEs was $3.2 billion and $238.8 million, respectively.</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(10)The Senior Unsecured Notes are recorded at amortized cost in the Company's consolidated balance sheets. As of June 30, 2026, the fair value of the Senior Unsecured Notes was $102.1 million. The fair value of the Senior Unsecured Notes is based upon prices obtained from third-party pricing services or broker quotations and are classified as Level 2 of the fair value hierarchy.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4605" cy="14605"/>
                <wp:effectExtent l="0" t="0" r="0" b="0"/>
                <wp:wrapNone/>
                <wp:docPr id="24" name="Frame24"/>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TPG Mortgage Investment Trust,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Senior Unsecured Notes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Senior Unsecured Notes consist of $34.5 million principal amount 9.500% Senior Notes due February 2029 ("February 2029 Senior Unsecured Notes") and $65.0 million principal amount 9.500% Senior Notes due May 2029 ("May 2029 Senior Unsecured Notes" and together with the February 2029 Senior Unsecured Notes, the "Senior Unsecured Notes"). The February 2029 Senior Unsecured Notes were issued on January 26, 2024 in a public offering for net proceeds of approximately $32.8 million and the May 2029 Senior Unsecured Notes were issued on May 15, 2024 in a public offering for net proceeds of approximately $62.4 million. The below table provides a summary of the Senior Unsecured Notes as of June 30, 2026 ($ in thousands). </w:t>
      </w:r>
    </w:p>
    <w:tbl>
      <w:tblPr>
        <w:tblW w:w="10205" w:type="dxa"/>
        <w:jc w:val="center"/>
        <w:tblInd w:w="0" w:type="dxa"/>
        <w:tblLayout w:type="fixed"/>
        <w:tblCellMar>
          <w:top w:w="28" w:type="dxa"/>
          <w:left w:w="28" w:type="dxa"/>
          <w:bottom w:w="28" w:type="dxa"/>
          <w:right w:w="28" w:type="dxa"/>
        </w:tblCellMar>
      </w:tblPr>
      <w:tblGrid>
        <w:gridCol w:w="779"/>
        <w:gridCol w:w="685"/>
        <w:gridCol w:w="687"/>
        <w:gridCol w:w="109"/>
        <w:gridCol w:w="109"/>
        <w:gridCol w:w="109"/>
        <w:gridCol w:w="295"/>
        <w:gridCol w:w="974"/>
        <w:gridCol w:w="164"/>
        <w:gridCol w:w="109"/>
        <w:gridCol w:w="109"/>
        <w:gridCol w:w="109"/>
        <w:gridCol w:w="240"/>
        <w:gridCol w:w="793"/>
        <w:gridCol w:w="133"/>
        <w:gridCol w:w="109"/>
        <w:gridCol w:w="109"/>
        <w:gridCol w:w="109"/>
        <w:gridCol w:w="109"/>
        <w:gridCol w:w="109"/>
        <w:gridCol w:w="399"/>
        <w:gridCol w:w="399"/>
        <w:gridCol w:w="400"/>
        <w:gridCol w:w="109"/>
        <w:gridCol w:w="109"/>
        <w:gridCol w:w="109"/>
        <w:gridCol w:w="484"/>
        <w:gridCol w:w="484"/>
        <w:gridCol w:w="485"/>
        <w:gridCol w:w="109"/>
        <w:gridCol w:w="109"/>
        <w:gridCol w:w="109"/>
        <w:gridCol w:w="278"/>
        <w:gridCol w:w="278"/>
        <w:gridCol w:w="395"/>
      </w:tblGrid>
      <w:tr>
        <w:trPr/>
        <w:tc>
          <w:tcPr>
            <w:tcW w:w="779"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2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Principal Amount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Maturity Date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Redemption Date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Rate (4)</w:t>
            </w:r>
          </w:p>
        </w:tc>
      </w:tr>
      <w:tr>
        <w:trPr/>
        <w:tc>
          <w:tcPr>
            <w:tcW w:w="21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February 2029 Senior Unsecured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34,500 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33,490 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15,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15,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9.500 </w:t>
            </w:r>
          </w:p>
        </w:tc>
        <w:tc>
          <w:tcPr>
            <w:tcW w:w="3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May 2029 Senior Unsecured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65,000 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63,368 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15,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15,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9.500 </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56"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(1)The Senior Unsecured Notes were issued at 100% of the principal amount.</w:t>
      </w:r>
    </w:p>
    <w:p>
      <w:pPr>
        <w:pStyle w:val="TextBody"/>
        <w:bidi w:val="0"/>
        <w:spacing w:lineRule="auto" w:line="256"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(2)The Company has the option to redeem the Senior Unsecured Notes earlier than the maturity date. </w:t>
      </w:r>
    </w:p>
    <w:p>
      <w:pPr>
        <w:pStyle w:val="TextBody"/>
        <w:bidi w:val="0"/>
        <w:spacing w:lineRule="auto" w:line="256"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(3)The Company may redeem the Senior Unsecured Notes in whole or in part at any time or from time to time at the Company’s option on or after the redemption date, upon not less than 30 days written notice to holders prior to the redemption date, at a redemption price equal to 100% of the outstanding principal amount of the Senior Unsecured Notes to be redeemed plus accrued and unpaid interest to, but excluding, the redemption date.</w:t>
      </w:r>
    </w:p>
    <w:p>
      <w:pPr>
        <w:pStyle w:val="TextBody"/>
        <w:bidi w:val="0"/>
        <w:spacing w:lineRule="auto" w:line="256"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(4)The Senior Unsecured Notes bear interest at a rate equal to 9.500% per year, payable in cash quarterly in arrears on February 15, May 15, August 15 and November 15 of each year, beginning on the applicable first pay date.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below table details the total interest expense incurred on the Senior Unsecured Notes during the three and six months ended June 30, 2026 and 2025 (in thousands).</w:t>
      </w:r>
    </w:p>
    <w:tbl>
      <w:tblPr>
        <w:tblW w:w="8269" w:type="dxa"/>
        <w:jc w:val="center"/>
        <w:tblInd w:w="0" w:type="dxa"/>
        <w:tblLayout w:type="fixed"/>
        <w:tblCellMar>
          <w:top w:w="28" w:type="dxa"/>
          <w:left w:w="28" w:type="dxa"/>
          <w:bottom w:w="28" w:type="dxa"/>
          <w:right w:w="28" w:type="dxa"/>
        </w:tblCellMar>
      </w:tblPr>
      <w:tblGrid>
        <w:gridCol w:w="673"/>
        <w:gridCol w:w="592"/>
        <w:gridCol w:w="595"/>
        <w:gridCol w:w="109"/>
        <w:gridCol w:w="109"/>
        <w:gridCol w:w="109"/>
        <w:gridCol w:w="263"/>
        <w:gridCol w:w="746"/>
        <w:gridCol w:w="146"/>
        <w:gridCol w:w="109"/>
        <w:gridCol w:w="109"/>
        <w:gridCol w:w="109"/>
        <w:gridCol w:w="263"/>
        <w:gridCol w:w="746"/>
        <w:gridCol w:w="146"/>
        <w:gridCol w:w="109"/>
        <w:gridCol w:w="109"/>
        <w:gridCol w:w="109"/>
        <w:gridCol w:w="263"/>
        <w:gridCol w:w="746"/>
        <w:gridCol w:w="146"/>
        <w:gridCol w:w="109"/>
        <w:gridCol w:w="109"/>
        <w:gridCol w:w="109"/>
        <w:gridCol w:w="263"/>
        <w:gridCol w:w="746"/>
        <w:gridCol w:w="146"/>
        <w:gridCol w:w="109"/>
        <w:gridCol w:w="109"/>
        <w:gridCol w:w="109"/>
        <w:gridCol w:w="154"/>
      </w:tblGrid>
      <w:tr>
        <w:trPr/>
        <w:tc>
          <w:tcPr>
            <w:tcW w:w="673"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481" w:type="dxa"/>
            <w:gridSpan w:val="4"/>
            <w:tcBorders/>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Coupon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2,363 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2,363 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4,726 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4,726 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2,566 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2,545 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5,126 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5,085 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51155"/>
                <wp:effectExtent l="0" t="0" r="0" b="0"/>
                <wp:wrapNone/>
                <wp:docPr id="25" name="Frame2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TPG Mortgage Investment Trust,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Contractual maturities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allocates the current face of the Company's borrowings under financing arrangements and the Senior Unsecured Notes as of June 30, 2026 by contractual maturity (in thousands). Securitized debt is excluded from the below table as it does not have a contractual maturity. </w:t>
      </w:r>
    </w:p>
    <w:tbl>
      <w:tblPr>
        <w:tblW w:w="10205" w:type="dxa"/>
        <w:jc w:val="left"/>
        <w:tblInd w:w="0" w:type="dxa"/>
        <w:tblLayout w:type="fixed"/>
        <w:tblCellMar>
          <w:top w:w="28" w:type="dxa"/>
          <w:left w:w="28" w:type="dxa"/>
          <w:bottom w:w="28" w:type="dxa"/>
          <w:right w:w="28" w:type="dxa"/>
        </w:tblCellMar>
      </w:tblPr>
      <w:tblGrid>
        <w:gridCol w:w="792"/>
        <w:gridCol w:w="658"/>
        <w:gridCol w:w="660"/>
        <w:gridCol w:w="109"/>
        <w:gridCol w:w="109"/>
        <w:gridCol w:w="109"/>
        <w:gridCol w:w="217"/>
        <w:gridCol w:w="816"/>
        <w:gridCol w:w="120"/>
        <w:gridCol w:w="109"/>
        <w:gridCol w:w="109"/>
        <w:gridCol w:w="109"/>
        <w:gridCol w:w="282"/>
        <w:gridCol w:w="1062"/>
        <w:gridCol w:w="157"/>
        <w:gridCol w:w="109"/>
        <w:gridCol w:w="109"/>
        <w:gridCol w:w="109"/>
        <w:gridCol w:w="299"/>
        <w:gridCol w:w="1126"/>
        <w:gridCol w:w="166"/>
        <w:gridCol w:w="109"/>
        <w:gridCol w:w="109"/>
        <w:gridCol w:w="109"/>
        <w:gridCol w:w="231"/>
        <w:gridCol w:w="762"/>
        <w:gridCol w:w="128"/>
        <w:gridCol w:w="109"/>
        <w:gridCol w:w="109"/>
        <w:gridCol w:w="109"/>
        <w:gridCol w:w="196"/>
        <w:gridCol w:w="736"/>
        <w:gridCol w:w="162"/>
      </w:tblGrid>
      <w:tr>
        <w:trPr/>
        <w:tc>
          <w:tcPr>
            <w:tcW w:w="792"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Within 30 Days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Over 30 Days to 3 Months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Over 3 Months to 12 Months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Over 12 Months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Financing Arrangements by Asset Type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Securitized Residential Mortgage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Non-Agency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183,425 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191,060 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33,978 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408,463 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Home Equity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23,904 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38,264 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62,168 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 and Non-Performing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26,742 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26,742 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2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Mortgage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Agency-Eligible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15,025 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18,152 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Home Equity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58,207 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83,368 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141,575 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Non-Agency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2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Legacy WMC Commercial Loans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19,875 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19,875 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Non-Agency RMBS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88,294 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87,074 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178,996 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Legacy WMC CMBS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7,334 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11,664 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18,998 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Agency RMBS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9,367 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10,150 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2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Financing Arrangements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303,740 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387,173 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116,734 </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83,368 </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891,015 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2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2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Senior Unsecured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February 2029 Senior Unsecured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34,500 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34,500 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May 2029 Senior Unsecured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65,000 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65,000 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Senior Unsecured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99,500 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99,500 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(1)The borrowers for the Company’s Legacy WMC Commercial Loans are in maturity default as of June 30, 2026. In March 2026, the Company extended the maturity of its financing arrangement collateralized by Legacy WMC Commercial Loans to September 19, 2026. All proceeds from asset paydowns or sales will be applied to reduce the outstanding balance.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Counterparties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had outstanding financing arrangements with six counterparties as of June 30, 2026 and December 31,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as of June 30, 2026 and December 31, 2025 with respect to each counterparty that provides the Company with financing for which the Company had greater than 5% of its stockholders’ equity at risk, excluding stockholders’ equity at risk under financing through affiliated entities ($ in thousands).</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514"/>
        <w:gridCol w:w="451"/>
        <w:gridCol w:w="454"/>
        <w:gridCol w:w="109"/>
        <w:gridCol w:w="109"/>
        <w:gridCol w:w="109"/>
        <w:gridCol w:w="227"/>
        <w:gridCol w:w="857"/>
        <w:gridCol w:w="127"/>
        <w:gridCol w:w="109"/>
        <w:gridCol w:w="109"/>
        <w:gridCol w:w="109"/>
        <w:gridCol w:w="320"/>
        <w:gridCol w:w="320"/>
        <w:gridCol w:w="321"/>
        <w:gridCol w:w="109"/>
        <w:gridCol w:w="109"/>
        <w:gridCol w:w="109"/>
        <w:gridCol w:w="287"/>
        <w:gridCol w:w="287"/>
        <w:gridCol w:w="638"/>
        <w:gridCol w:w="109"/>
        <w:gridCol w:w="109"/>
        <w:gridCol w:w="109"/>
        <w:gridCol w:w="227"/>
        <w:gridCol w:w="857"/>
        <w:gridCol w:w="127"/>
        <w:gridCol w:w="109"/>
        <w:gridCol w:w="109"/>
        <w:gridCol w:w="109"/>
        <w:gridCol w:w="320"/>
        <w:gridCol w:w="320"/>
        <w:gridCol w:w="321"/>
        <w:gridCol w:w="109"/>
        <w:gridCol w:w="109"/>
        <w:gridCol w:w="109"/>
        <w:gridCol w:w="271"/>
        <w:gridCol w:w="271"/>
        <w:gridCol w:w="726"/>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r>
      <w:tr>
        <w:trPr/>
        <w:tc>
          <w:tcPr>
            <w:tcW w:w="1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8" w:type="dxa"/>
            <w:gridSpan w:val="15"/>
            <w:tcBorders/>
            <w:tcMar>
              <w:top w:w="0" w:type="dxa"/>
              <w:left w:w="0" w:type="dxa"/>
              <w:bottom w:w="0" w:type="dxa"/>
              <w:right w:w="0" w:type="dxa"/>
            </w:tcMar>
            <w:vAlign w:val="center"/>
          </w:tcPr>
          <w:p>
            <w:pPr>
              <w:pStyle w:val="TableContents"/>
              <w:bidi w:val="0"/>
              <w:spacing w:lineRule="auto" w:line="256" w:before="0" w:after="0"/>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15"/>
            <w:tcBorders/>
            <w:tcMar>
              <w:top w:w="0" w:type="dxa"/>
              <w:left w:w="0" w:type="dxa"/>
              <w:bottom w:w="0" w:type="dxa"/>
              <w:right w:w="0" w:type="dxa"/>
            </w:tcMar>
            <w:vAlign w:val="center"/>
          </w:tcPr>
          <w:p>
            <w:pPr>
              <w:pStyle w:val="TableContents"/>
              <w:bidi w:val="0"/>
              <w:spacing w:lineRule="auto" w:line="256" w:before="0" w:after="0"/>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4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Counterparty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Stockholders' Equity</w:t>
              <w:br/>
              <w:t>at Risk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w:t>
              <w:br/>
              <w:t>Maturity (days)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w:t>
              <w:br/>
              <w:t>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Stockholders' Equity</w:t>
              <w:br/>
              <w:t>at Risk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w:t>
              <w:br/>
              <w:t>Maturity (days)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w:t>
              <w:br/>
              <w:t>Stockholders' Equity</w:t>
            </w:r>
          </w:p>
        </w:tc>
      </w:tr>
      <w:tr>
        <w:trPr/>
        <w:tc>
          <w:tcPr>
            <w:tcW w:w="14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BofA Securities,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171,549 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31.4 </w:t>
            </w:r>
          </w:p>
        </w:tc>
        <w:tc>
          <w:tcPr>
            <w:tcW w:w="6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150,267 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26.8 </w:t>
            </w:r>
          </w:p>
        </w:tc>
        <w:tc>
          <w:tcPr>
            <w:tcW w:w="7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Goldman Sachs Bank USA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128,990 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23.6 </w:t>
            </w:r>
          </w:p>
        </w:tc>
        <w:tc>
          <w:tcPr>
            <w:tcW w:w="6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153,393 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27.4 </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Barclays Capital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65,131 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11.9 </w:t>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80,721 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14.4 </w:t>
            </w:r>
          </w:p>
        </w:tc>
        <w:tc>
          <w:tcPr>
            <w:tcW w:w="7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JP Morgan Securities,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41,487 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7.6 </w:t>
            </w:r>
          </w:p>
        </w:tc>
        <w:tc>
          <w:tcPr>
            <w:tcW w:w="6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29,992 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Atlas Securitized Products,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29,333 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1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(1)As of December 31, 2025, the Company had less than 5% of its equity at risk under financing arrangements with Atlas Securitized Products, L.P.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Financial Covenants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financing arrangements generally include customary representations, warranties, and covenants, but may also contain more restrictive supplemental terms and conditions. Although specific to each financing arrangement, typical supplemental terms include requirements of minimum equity and liquidity, leverage ratios, and performance triggers.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51155"/>
                <wp:effectExtent l="0" t="0" r="0" b="0"/>
                <wp:wrapNone/>
                <wp:docPr id="26" name="Frame2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TPG Mortgage Investment Trust,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addition, some of the financing arrangements contain cross default features, whereby default under an agreement with one lender simultaneously causes default under agreements with other lenders. To the extent that the Company fails to comply with the covenants contained in these financing arrangements or is otherwise found to be in default under the terms of such agreements, the counterparty has the right to accelerate amounts due under the associated agreement. Financings pursuant to financing arrangements are generally recourse to the Company. As of June 30, 2026, the Company is in compliance with all of its financial covenants.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7. Other assets and liabilities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details certain information related to the Company's "Other assets" and "Other liabilities" line items on its consolidated balance sheets as of June 30, 2026 and December 31, 2025 (in thousands).</w:t>
      </w:r>
    </w:p>
    <w:tbl>
      <w:tblPr>
        <w:tblW w:w="5633" w:type="dxa"/>
        <w:jc w:val="center"/>
        <w:tblInd w:w="0" w:type="dxa"/>
        <w:tblLayout w:type="fixed"/>
        <w:tblCellMar>
          <w:top w:w="28" w:type="dxa"/>
          <w:left w:w="28" w:type="dxa"/>
          <w:bottom w:w="28" w:type="dxa"/>
          <w:right w:w="28" w:type="dxa"/>
        </w:tblCellMar>
      </w:tblPr>
      <w:tblGrid>
        <w:gridCol w:w="811"/>
        <w:gridCol w:w="711"/>
        <w:gridCol w:w="713"/>
        <w:gridCol w:w="109"/>
        <w:gridCol w:w="109"/>
        <w:gridCol w:w="109"/>
        <w:gridCol w:w="238"/>
        <w:gridCol w:w="785"/>
        <w:gridCol w:w="132"/>
        <w:gridCol w:w="109"/>
        <w:gridCol w:w="109"/>
        <w:gridCol w:w="109"/>
        <w:gridCol w:w="313"/>
        <w:gridCol w:w="1031"/>
        <w:gridCol w:w="245"/>
      </w:tblGrid>
      <w:tr>
        <w:trPr/>
        <w:tc>
          <w:tcPr>
            <w:tcW w:w="811"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43,567 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47,868 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 estate owned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11,174 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7,398 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assets,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2,253 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Due from broker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1,232 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58,449 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58,900 </w:t>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Due to affiliates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4,580 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31,657 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34,385 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2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2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1,836 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Due to broker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1,655 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38,837 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42,720 </w:t>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(1)Refer to Note 10 for more information.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Derivatives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information related to the Company's derivatives and other instruments and their balance sheet location as of June 30, 2026 and December 31, 2025 (in thousands). </w:t>
      </w:r>
    </w:p>
    <w:tbl>
      <w:tblPr>
        <w:tblW w:w="10205" w:type="dxa"/>
        <w:jc w:val="left"/>
        <w:tblInd w:w="0" w:type="dxa"/>
        <w:tblLayout w:type="fixed"/>
        <w:tblCellMar>
          <w:top w:w="28" w:type="dxa"/>
          <w:left w:w="28" w:type="dxa"/>
          <w:bottom w:w="28" w:type="dxa"/>
          <w:right w:w="28" w:type="dxa"/>
        </w:tblCellMar>
      </w:tblPr>
      <w:tblGrid>
        <w:gridCol w:w="1238"/>
        <w:gridCol w:w="1089"/>
        <w:gridCol w:w="1091"/>
        <w:gridCol w:w="109"/>
        <w:gridCol w:w="109"/>
        <w:gridCol w:w="109"/>
        <w:gridCol w:w="109"/>
        <w:gridCol w:w="109"/>
        <w:gridCol w:w="405"/>
        <w:gridCol w:w="405"/>
        <w:gridCol w:w="406"/>
        <w:gridCol w:w="109"/>
        <w:gridCol w:w="109"/>
        <w:gridCol w:w="109"/>
        <w:gridCol w:w="196"/>
        <w:gridCol w:w="736"/>
        <w:gridCol w:w="109"/>
        <w:gridCol w:w="109"/>
        <w:gridCol w:w="109"/>
        <w:gridCol w:w="109"/>
        <w:gridCol w:w="214"/>
        <w:gridCol w:w="460"/>
        <w:gridCol w:w="119"/>
        <w:gridCol w:w="109"/>
        <w:gridCol w:w="109"/>
        <w:gridCol w:w="109"/>
        <w:gridCol w:w="196"/>
        <w:gridCol w:w="736"/>
        <w:gridCol w:w="109"/>
        <w:gridCol w:w="109"/>
        <w:gridCol w:w="109"/>
        <w:gridCol w:w="109"/>
        <w:gridCol w:w="213"/>
        <w:gridCol w:w="458"/>
        <w:gridCol w:w="172"/>
      </w:tblGrid>
      <w:tr>
        <w:trPr/>
        <w:tc>
          <w:tcPr>
            <w:tcW w:w="1238"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Balance Sheet </w:t>
              <w:b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4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Derivatives and Other Instruments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341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 Fix/Receive Float Interest Rate Swap Agreements (2)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390,560 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283,500 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 Fix/Receive Float Interest Rate Swap Agreements (2)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3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3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3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3418"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Forward Purchase Commitments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(1)As of June 30, 2026 and December 31, 2025, no derivatives held by the Company were designated as hedges for accounting purposes.</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(2)As of June 30, 2026, the Company applied a reduction in fair value of $9.8 million and $0.1 million to its interest rate swap assets and liabilities, respectively, related to variation margin with a corresponding increase or decrease in restricted cash. As of December 31, 2025, the Company applied a reduction in fair value of $5.3 million and $1.2 million to its interest rate swap assets and liabilities, respectively, related to variation margin with a corresponding increase or decrease in restricted cash.</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(3)As of June 30, 2026, the Company's pay fix/receive float interest rate swaps had a weighted average pay-fixed rate of 3.40%, a weighted average receive-variable rate of 3.68%, and a weighted average years to maturity of 3.96 years. As of December 31, 2025, the Company's pay fix/receive float interest rate swaps had a weighted average pay-fixed rate of 3.30%, a weighted average receive-variable rate of 3.87%, and a weighted average years to maturity of 4.29 years.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Derivative and other instruments eligible for offset are presented gross on the consolidated balance sheets as of June 30, 2026 and December 31, 2025, if applicable. The Company has not offset or netted any derivatives or other instruments with any financial instruments or cash collateral posted or received. </w:t>
      </w:r>
    </w:p>
    <w:p>
      <w:pPr>
        <w:pStyle w:val="TextBody"/>
        <w:bidi w:val="0"/>
        <w:spacing w:lineRule="auto" w:line="288" w:before="0" w:after="0"/>
        <w:jc w:val="both"/>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51155"/>
                <wp:effectExtent l="0" t="0" r="0" b="0"/>
                <wp:wrapNone/>
                <wp:docPr id="27" name="Frame2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TPG Mortgage Investment Trust,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must post cash or securities as collateral on its derivative instruments when their fair value declines. This typically occurs when prevailing market rates change adversely, with the severity of the change also dependent on the term of the derivatives involved. The posting of collateral is generally bilateral, meaning that if the fair value of the Company’s derivatives increases, its counterparty must post collateral. As of June 30, 2026, the Company's restricted cash balance included $11.4 million of collateral related to certain derivatives, of which $1.7 million represents cash collateral posted by the Company and $9.7 million represents amounts related to variation margin. As of December 31, 2025, the Company's restricted cash balance included $9.6 million of collateral related to certain derivatives, of which $5.5 million represents cash collateral posted by the Company and $4.1 million represents amounts related to variation margin.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total income related to derivatives and other instruments for the three and six months ended June 30, 2026 and 2025 (in thousands).</w:t>
      </w:r>
    </w:p>
    <w:tbl>
      <w:tblPr>
        <w:tblW w:w="10205" w:type="dxa"/>
        <w:jc w:val="center"/>
        <w:tblInd w:w="0" w:type="dxa"/>
        <w:tblLayout w:type="fixed"/>
        <w:tblCellMar>
          <w:top w:w="28" w:type="dxa"/>
          <w:left w:w="28" w:type="dxa"/>
          <w:bottom w:w="28" w:type="dxa"/>
          <w:right w:w="28" w:type="dxa"/>
        </w:tblCellMar>
      </w:tblPr>
      <w:tblGrid>
        <w:gridCol w:w="1558"/>
        <w:gridCol w:w="1363"/>
        <w:gridCol w:w="1367"/>
        <w:gridCol w:w="109"/>
        <w:gridCol w:w="109"/>
        <w:gridCol w:w="109"/>
        <w:gridCol w:w="259"/>
        <w:gridCol w:w="736"/>
        <w:gridCol w:w="144"/>
        <w:gridCol w:w="109"/>
        <w:gridCol w:w="109"/>
        <w:gridCol w:w="109"/>
        <w:gridCol w:w="239"/>
        <w:gridCol w:w="768"/>
        <w:gridCol w:w="132"/>
        <w:gridCol w:w="109"/>
        <w:gridCol w:w="109"/>
        <w:gridCol w:w="109"/>
        <w:gridCol w:w="259"/>
        <w:gridCol w:w="736"/>
        <w:gridCol w:w="144"/>
        <w:gridCol w:w="109"/>
        <w:gridCol w:w="109"/>
        <w:gridCol w:w="109"/>
        <w:gridCol w:w="236"/>
        <w:gridCol w:w="762"/>
        <w:gridCol w:w="194"/>
      </w:tblGrid>
      <w:tr>
        <w:trPr/>
        <w:tc>
          <w:tcPr>
            <w:tcW w:w="1558"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4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4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4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Included within Net interest component of 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Included within Net unrealized gain/(loss)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4,259 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(6,730)</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2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Forward Purchase Commitments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2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4,259 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6,117 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(6,562)</w:t>
            </w:r>
          </w:p>
        </w:tc>
        <w:tc>
          <w:tcPr>
            <w:tcW w:w="1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Included within Net realized gain/(loss)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(3,350)</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(2,568)</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 TBAs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2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Forward Purchase Commitments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(2,688)</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(1,946)</w:t>
            </w:r>
          </w:p>
        </w:tc>
        <w:tc>
          <w:tcPr>
            <w:tcW w:w="19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income/(loss)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4,555 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(2,025)</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6,871 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(6,950)</w:t>
            </w:r>
          </w:p>
        </w:tc>
        <w:tc>
          <w:tcPr>
            <w:tcW w:w="1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Derivative Activity </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information about the Company’s derivatives for the three and six months ended June 30, 2026 and 2025 (in thousands). </w:t>
      </w:r>
    </w:p>
    <w:tbl>
      <w:tblPr>
        <w:tblW w:w="10205" w:type="dxa"/>
        <w:jc w:val="center"/>
        <w:tblInd w:w="0" w:type="dxa"/>
        <w:tblLayout w:type="fixed"/>
        <w:tblCellMar>
          <w:top w:w="28" w:type="dxa"/>
          <w:left w:w="28" w:type="dxa"/>
          <w:bottom w:w="28" w:type="dxa"/>
          <w:right w:w="28" w:type="dxa"/>
        </w:tblCellMar>
      </w:tblPr>
      <w:tblGrid>
        <w:gridCol w:w="530"/>
        <w:gridCol w:w="465"/>
        <w:gridCol w:w="470"/>
        <w:gridCol w:w="109"/>
        <w:gridCol w:w="109"/>
        <w:gridCol w:w="109"/>
        <w:gridCol w:w="230"/>
        <w:gridCol w:w="865"/>
        <w:gridCol w:w="128"/>
        <w:gridCol w:w="109"/>
        <w:gridCol w:w="109"/>
        <w:gridCol w:w="109"/>
        <w:gridCol w:w="208"/>
        <w:gridCol w:w="784"/>
        <w:gridCol w:w="116"/>
        <w:gridCol w:w="109"/>
        <w:gridCol w:w="109"/>
        <w:gridCol w:w="109"/>
        <w:gridCol w:w="196"/>
        <w:gridCol w:w="774"/>
        <w:gridCol w:w="109"/>
        <w:gridCol w:w="109"/>
        <w:gridCol w:w="109"/>
        <w:gridCol w:w="109"/>
        <w:gridCol w:w="214"/>
        <w:gridCol w:w="806"/>
        <w:gridCol w:w="119"/>
        <w:gridCol w:w="109"/>
        <w:gridCol w:w="109"/>
        <w:gridCol w:w="109"/>
        <w:gridCol w:w="109"/>
        <w:gridCol w:w="109"/>
        <w:gridCol w:w="109"/>
        <w:gridCol w:w="109"/>
        <w:gridCol w:w="235"/>
        <w:gridCol w:w="505"/>
        <w:gridCol w:w="131"/>
        <w:gridCol w:w="109"/>
        <w:gridCol w:w="109"/>
        <w:gridCol w:w="109"/>
        <w:gridCol w:w="228"/>
        <w:gridCol w:w="508"/>
        <w:gridCol w:w="186"/>
      </w:tblGrid>
      <w:tr>
        <w:trPr/>
        <w:tc>
          <w:tcPr>
            <w:tcW w:w="530"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7190" w:type="dxa"/>
            <w:gridSpan w:val="34"/>
            <w:tcBorders/>
          </w:tcPr>
          <w:p>
            <w:pPr>
              <w:pStyle w:val="TableContents"/>
              <w:bidi w:val="0"/>
              <w:spacing w:before="0" w:after="283"/>
              <w:jc w:val="left"/>
              <w:rPr>
                <w:sz w:val="4"/>
                <w:szCs w:val="4"/>
              </w:rPr>
            </w:pPr>
            <w:r>
              <w:rPr>
                <w:sz w:val="4"/>
                <w:szCs w:val="4"/>
              </w:rPr>
            </w:r>
          </w:p>
        </w:tc>
      </w:tr>
      <w:tr>
        <w:trPr/>
        <w:tc>
          <w:tcPr>
            <w:tcW w:w="1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Beginning Notional</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Buys or Covers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Sales or </w:t>
              <w:br/>
              <w:t>Shorts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Ending Notional</w:t>
              <w:br/>
              <w:t>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Derivative</w:t>
              <w:br/>
              <w:t>Asset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Derivative</w:t>
              <w:br/>
              <w:t>Liability</w:t>
            </w:r>
          </w:p>
        </w:tc>
      </w:tr>
      <w:tr>
        <w:trPr/>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r>
      <w:tr>
        <w:trPr/>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r>
      <w:tr>
        <w:trPr/>
        <w:tc>
          <w:tcPr>
            <w:tcW w:w="1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Rate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404,560 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461,560 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r>
      <w:tr>
        <w:trPr/>
        <w:tc>
          <w:tcPr>
            <w:tcW w:w="1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Three Months Ended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Rate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332,500 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296,500 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345,000 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Short TBAs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300,000 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(495,000)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(195,000)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Six Months Ended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372,560 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122,000 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461,560 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r>
      <w:tr>
        <w:trPr/>
        <w:tc>
          <w:tcPr>
            <w:tcW w:w="1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Six Months Ended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342,550 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399,500 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(397,050)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345,000 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Short TBAs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300,000 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(195,000)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51155"/>
                <wp:effectExtent l="0" t="0" r="0" b="0"/>
                <wp:wrapNone/>
                <wp:docPr id="28" name="Frame2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TPG Mortgage Investment Trust,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8. Earnings per share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a reconciliation of the earnings and shares used in calculating basic and diluted earnings per share for the three and six months ended June 30, 2026 and 2025 (in thousands, except per share data). </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1538"/>
        <w:gridCol w:w="1353"/>
        <w:gridCol w:w="1357"/>
        <w:gridCol w:w="109"/>
        <w:gridCol w:w="109"/>
        <w:gridCol w:w="109"/>
        <w:gridCol w:w="237"/>
        <w:gridCol w:w="782"/>
        <w:gridCol w:w="131"/>
        <w:gridCol w:w="109"/>
        <w:gridCol w:w="109"/>
        <w:gridCol w:w="109"/>
        <w:gridCol w:w="241"/>
        <w:gridCol w:w="775"/>
        <w:gridCol w:w="133"/>
        <w:gridCol w:w="109"/>
        <w:gridCol w:w="109"/>
        <w:gridCol w:w="109"/>
        <w:gridCol w:w="237"/>
        <w:gridCol w:w="782"/>
        <w:gridCol w:w="131"/>
        <w:gridCol w:w="109"/>
        <w:gridCol w:w="109"/>
        <w:gridCol w:w="109"/>
        <w:gridCol w:w="235"/>
        <w:gridCol w:w="775"/>
        <w:gridCol w:w="190"/>
      </w:tblGrid>
      <w:tr>
        <w:trPr/>
        <w:tc>
          <w:tcPr>
            <w:tcW w:w="153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4248"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4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4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14,269 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10,707 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15,422 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on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5,177</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5,321</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10,330</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10,625</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Income/(Loss) Available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9,092 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(1,376)</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4,797 </w:t>
            </w:r>
          </w:p>
        </w:tc>
        <w:tc>
          <w:tcPr>
            <w:tcW w:w="19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Denominator: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weighted average common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31,786 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29,686 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31,762 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29,672 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Dilutive effect of restricted stock units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weighted average common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31,803 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29,686 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31,779 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29,697 </w:t>
            </w:r>
          </w:p>
        </w:tc>
        <w:tc>
          <w:tcPr>
            <w:tcW w:w="1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Earnings/(Loss)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(0.05)</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0.16 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(0.05)</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0.16 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(1)Restricted stock units issued to certain directors of 20 thousand were excluded from the computation of diluted earnings per share because its effect would be anti-dilutive for the three months ended June 30,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Dividends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tables detail the Company's common stock dividends declared during the six months ended June 30, 2026 and 2025.</w:t>
      </w:r>
    </w:p>
    <w:tbl>
      <w:tblPr>
        <w:tblW w:w="10205" w:type="dxa"/>
        <w:jc w:val="left"/>
        <w:tblInd w:w="0" w:type="dxa"/>
        <w:tblLayout w:type="fixed"/>
        <w:tblCellMar>
          <w:top w:w="28" w:type="dxa"/>
          <w:left w:w="28" w:type="dxa"/>
          <w:bottom w:w="28" w:type="dxa"/>
          <w:right w:w="28" w:type="dxa"/>
        </w:tblCellMar>
      </w:tblPr>
      <w:tblGrid>
        <w:gridCol w:w="404"/>
        <w:gridCol w:w="355"/>
        <w:gridCol w:w="357"/>
        <w:gridCol w:w="109"/>
        <w:gridCol w:w="109"/>
        <w:gridCol w:w="109"/>
        <w:gridCol w:w="257"/>
        <w:gridCol w:w="257"/>
        <w:gridCol w:w="258"/>
        <w:gridCol w:w="109"/>
        <w:gridCol w:w="109"/>
        <w:gridCol w:w="109"/>
        <w:gridCol w:w="297"/>
        <w:gridCol w:w="297"/>
        <w:gridCol w:w="298"/>
        <w:gridCol w:w="109"/>
        <w:gridCol w:w="109"/>
        <w:gridCol w:w="109"/>
        <w:gridCol w:w="288"/>
        <w:gridCol w:w="708"/>
        <w:gridCol w:w="161"/>
        <w:gridCol w:w="109"/>
        <w:gridCol w:w="109"/>
        <w:gridCol w:w="109"/>
        <w:gridCol w:w="367"/>
        <w:gridCol w:w="367"/>
        <w:gridCol w:w="368"/>
        <w:gridCol w:w="109"/>
        <w:gridCol w:w="109"/>
        <w:gridCol w:w="109"/>
        <w:gridCol w:w="257"/>
        <w:gridCol w:w="257"/>
        <w:gridCol w:w="258"/>
        <w:gridCol w:w="109"/>
        <w:gridCol w:w="109"/>
        <w:gridCol w:w="109"/>
        <w:gridCol w:w="297"/>
        <w:gridCol w:w="297"/>
        <w:gridCol w:w="298"/>
        <w:gridCol w:w="109"/>
        <w:gridCol w:w="109"/>
        <w:gridCol w:w="109"/>
        <w:gridCol w:w="282"/>
        <w:gridCol w:w="695"/>
        <w:gridCol w:w="236"/>
      </w:tblGrid>
      <w:tr>
        <w:trPr/>
        <w:tc>
          <w:tcPr>
            <w:tcW w:w="40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491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2025</w:t>
            </w:r>
          </w:p>
        </w:tc>
      </w:tr>
      <w:tr>
        <w:trPr/>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Declaration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Record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Payment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Cash Dividend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Declaration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Record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Payment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Cash Dividend Per Share</w:t>
            </w:r>
          </w:p>
        </w:tc>
      </w:tr>
      <w:tr>
        <w:trPr/>
        <w:tc>
          <w:tcPr>
            <w:tcW w:w="11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0.24 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0.20 </w:t>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6/16/2026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6/17/2025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0.21 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1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0.48</w:t>
            </w:r>
            <w:r>
              <w:rPr>
                <w:color w:val="000000"/>
              </w:rPr>
              <w:t>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0.41</w:t>
            </w:r>
            <w:r>
              <w:rPr>
                <w:color w:val="000000"/>
              </w:rPr>
              <w:t> </w:t>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tables detail the Company's preferred stock dividends declared and paid during the six months ended June 30, 2026 and 2025.</w:t>
      </w:r>
    </w:p>
    <w:p>
      <w:pPr>
        <w:pStyle w:val="TextBody"/>
        <w:bidi w:val="0"/>
        <w:spacing w:before="0" w:after="0"/>
        <w:jc w:val="both"/>
        <w:rPr/>
      </w:pPr>
      <w:r>
        <w:rPr/>
      </w:r>
    </w:p>
    <w:tbl>
      <w:tblPr>
        <w:tblW w:w="9501" w:type="dxa"/>
        <w:jc w:val="left"/>
        <w:tblInd w:w="0" w:type="dxa"/>
        <w:tblLayout w:type="fixed"/>
        <w:tblCellMar>
          <w:top w:w="28" w:type="dxa"/>
          <w:left w:w="28" w:type="dxa"/>
          <w:bottom w:w="28" w:type="dxa"/>
          <w:right w:w="28" w:type="dxa"/>
        </w:tblCellMar>
      </w:tblPr>
      <w:tblGrid>
        <w:gridCol w:w="124"/>
        <w:gridCol w:w="109"/>
        <w:gridCol w:w="463"/>
        <w:gridCol w:w="463"/>
        <w:gridCol w:w="469"/>
        <w:gridCol w:w="109"/>
        <w:gridCol w:w="109"/>
        <w:gridCol w:w="109"/>
        <w:gridCol w:w="354"/>
        <w:gridCol w:w="354"/>
        <w:gridCol w:w="356"/>
        <w:gridCol w:w="109"/>
        <w:gridCol w:w="109"/>
        <w:gridCol w:w="109"/>
        <w:gridCol w:w="394"/>
        <w:gridCol w:w="394"/>
        <w:gridCol w:w="396"/>
        <w:gridCol w:w="109"/>
        <w:gridCol w:w="109"/>
        <w:gridCol w:w="109"/>
        <w:gridCol w:w="245"/>
        <w:gridCol w:w="939"/>
        <w:gridCol w:w="136"/>
        <w:gridCol w:w="109"/>
        <w:gridCol w:w="109"/>
        <w:gridCol w:w="109"/>
        <w:gridCol w:w="314"/>
        <w:gridCol w:w="772"/>
        <w:gridCol w:w="174"/>
        <w:gridCol w:w="109"/>
        <w:gridCol w:w="109"/>
        <w:gridCol w:w="109"/>
        <w:gridCol w:w="232"/>
        <w:gridCol w:w="996"/>
        <w:gridCol w:w="18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Cash Dividend Per Share</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Declaration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8.25% Series A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8.00% Series 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8.000% Series C</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0.51563 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0.50 </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0.652391 </w:t>
            </w:r>
          </w:p>
        </w:tc>
        <w:tc>
          <w:tcPr>
            <w:tcW w:w="1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6/17/2026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0.51563 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0.665952 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1.03126</w:t>
            </w:r>
            <w:r>
              <w:rPr>
                <w:color w:val="000000"/>
              </w:rPr>
              <w:t>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1.00</w:t>
            </w:r>
            <w:r>
              <w:rPr>
                <w:color w:val="000000"/>
              </w:rPr>
              <w:t> </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1.318343</w:t>
            </w:r>
            <w:r>
              <w:rPr>
                <w:color w:val="000000"/>
              </w:rPr>
              <w:t> </w:t>
            </w:r>
          </w:p>
        </w:tc>
        <w:tc>
          <w:tcPr>
            <w:tcW w:w="1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Cash Dividend Per Share</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Declaration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8.25% Series A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8.00% Series 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8.000% Series C</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0.51563 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0.50 </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0.693062 </w:t>
            </w:r>
          </w:p>
        </w:tc>
        <w:tc>
          <w:tcPr>
            <w:tcW w:w="1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0.51563 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0.704864</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1.03126</w:t>
            </w:r>
            <w:r>
              <w:rPr>
                <w:color w:val="000000"/>
              </w:rPr>
              <w:t>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1.00</w:t>
            </w:r>
            <w:r>
              <w:rPr>
                <w:color w:val="000000"/>
              </w:rPr>
              <w:t> </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1.397926</w:t>
            </w:r>
            <w:r>
              <w:rPr>
                <w:color w:val="000000"/>
              </w:rPr>
              <w:t> </w:t>
            </w:r>
          </w:p>
        </w:tc>
        <w:tc>
          <w:tcPr>
            <w:tcW w:w="1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51155"/>
                <wp:effectExtent l="0" t="0" r="0" b="0"/>
                <wp:wrapNone/>
                <wp:docPr id="29" name="Frame2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TPG Mortgage Investment Trust,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9. Income taxes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conducts its operations to qualify and be taxed as a REIT. As a REIT, the Company is not subject to federal income tax to the extent that it makes qualifying distributions to its stockholders, and provided it satisfies on a continuing basis, through actual investment and operating results, the REIT requirements including certain asset, income, distribution, and stock ownership tests. The state and local tax jurisdictions for which the Company is subject to tax-filing obligations recognize the Company’s status as a REIT, and therefore, the Company generally does not pay income tax in such jurisdictions. The Company may, however, be subject to certain minimum state and local tax filing fees as well as certain excise, franchise, or business taxes.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Excise Tax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Excise tax represents a non-deductible 4% tax on the required amount of the Company’s ordinary income and net capital gains not distributed during the year. The expense is calculated in accordance with applicable tax regulations. The below table details excise tax expense for the three and six months ended June 30, 2026 and 2025, which is recorded in the “Non-investment related expenses” line item on the consolidated statement of operations (in thousands). </w:t>
      </w:r>
    </w:p>
    <w:tbl>
      <w:tblPr>
        <w:tblW w:w="7680" w:type="dxa"/>
        <w:jc w:val="center"/>
        <w:tblInd w:w="0" w:type="dxa"/>
        <w:tblLayout w:type="fixed"/>
        <w:tblCellMar>
          <w:top w:w="28" w:type="dxa"/>
          <w:left w:w="28" w:type="dxa"/>
          <w:bottom w:w="28" w:type="dxa"/>
          <w:right w:w="28" w:type="dxa"/>
        </w:tblCellMar>
      </w:tblPr>
      <w:tblGrid>
        <w:gridCol w:w="619"/>
        <w:gridCol w:w="544"/>
        <w:gridCol w:w="547"/>
        <w:gridCol w:w="109"/>
        <w:gridCol w:w="109"/>
        <w:gridCol w:w="109"/>
        <w:gridCol w:w="318"/>
        <w:gridCol w:w="660"/>
        <w:gridCol w:w="176"/>
        <w:gridCol w:w="109"/>
        <w:gridCol w:w="109"/>
        <w:gridCol w:w="109"/>
        <w:gridCol w:w="318"/>
        <w:gridCol w:w="660"/>
        <w:gridCol w:w="176"/>
        <w:gridCol w:w="109"/>
        <w:gridCol w:w="109"/>
        <w:gridCol w:w="109"/>
        <w:gridCol w:w="318"/>
        <w:gridCol w:w="660"/>
        <w:gridCol w:w="177"/>
        <w:gridCol w:w="109"/>
        <w:gridCol w:w="109"/>
        <w:gridCol w:w="109"/>
        <w:gridCol w:w="345"/>
        <w:gridCol w:w="583"/>
        <w:gridCol w:w="271"/>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Excise tax expense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(1) During the three and six months ended June 30, 2025, the Company recorded a receivable of $0.1 million related to an excise tax refund in the “Other assets” line item on the consolidated balance sheets.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REIT Net Operating Loss and Net Capital Loss Carryforwards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WMC acquisition, the Company obtained federal net operating loss ("NOL") carryforwards of $321.6 million, of which $223.8 million do not have an expiration date and can be carried forward indefinitely. However, the Company’s use of the NOLs obtained in the WMC acquisition is limited under Section 382 of the Internal Revenue Code. As of June 30, 2026 and December 31, 2025, the remaining NOL carryforwards obtained in the WMC acquisition was $317.3 million.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Company had estimated net capital loss ("NCL") carryforwards of $64.0 million and $63.9 million, respectively. These NCL carryforwards (which exclude NCLs acquired from WMC) can be utilized to offset future net gains from the sale of capital assets. NCL carryforwards of $225.7 million were generated during the year ended December 31, 2020 and any unutilized NCL carryforwards expired on December 31,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WMC acquisition, the Company obtained NCL carryforwards. As of June 30, 2026 and December 31, 2025, these estimated NCL carryforwards were $154.3 million and $153.9 million, respectively. These NCL carryforwards will expire between 2026 and 2030. However, the Company’s use of these NCLs is limited under Sections 382 and 383 of the Internal Revenue Code.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Taxable REIT Subsidiaries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elected to treat certain domestic subsidiaries as taxable REIT subsidiaries ("TRSs"). The Company’s financial results are generally not expected to reflect provisions for current or deferred income taxes, except for any activities conducted through one or more TRSs that are subject to corporate income taxation. Currently, the Company has wholly owned domestic TRSs that are taxable as corporations and subject to U.S. federal, state, and local income tax on net income at the applicable corporate rates. The federal statutory rate for the three and six months ended June 30, 2026 and 2025 was 21%. The Company’s effective tax rate differs from its combined U.S. federal, state, and local corporate statutory tax rate primarily due to income earned at the REIT, which is not subject to tax due to the deduction for qualifying distributions made by the Company, and any change in the valuation allowance as disclosed in further detail below. The tax expense attributable to its TRSs is recorded in the "Income tax expense" line item on the consolidated statement of operations. The below table details the tax expense attributable to its TRSs for the three and six months ended June 30, 2026 and 2025 (in thousands).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51155"/>
                <wp:effectExtent l="0" t="0" r="0" b="0"/>
                <wp:wrapNone/>
                <wp:docPr id="30" name="Frame3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TPG Mortgage Investment Trust,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tbl>
      <w:tblPr>
        <w:tblW w:w="7576" w:type="dxa"/>
        <w:jc w:val="center"/>
        <w:tblInd w:w="0" w:type="dxa"/>
        <w:tblLayout w:type="fixed"/>
        <w:tblCellMar>
          <w:top w:w="28" w:type="dxa"/>
          <w:left w:w="28" w:type="dxa"/>
          <w:bottom w:w="28" w:type="dxa"/>
          <w:right w:w="28" w:type="dxa"/>
        </w:tblCellMar>
      </w:tblPr>
      <w:tblGrid>
        <w:gridCol w:w="582"/>
        <w:gridCol w:w="509"/>
        <w:gridCol w:w="513"/>
        <w:gridCol w:w="109"/>
        <w:gridCol w:w="109"/>
        <w:gridCol w:w="109"/>
        <w:gridCol w:w="312"/>
        <w:gridCol w:w="670"/>
        <w:gridCol w:w="173"/>
        <w:gridCol w:w="109"/>
        <w:gridCol w:w="109"/>
        <w:gridCol w:w="109"/>
        <w:gridCol w:w="318"/>
        <w:gridCol w:w="660"/>
        <w:gridCol w:w="177"/>
        <w:gridCol w:w="109"/>
        <w:gridCol w:w="109"/>
        <w:gridCol w:w="109"/>
        <w:gridCol w:w="312"/>
        <w:gridCol w:w="670"/>
        <w:gridCol w:w="173"/>
        <w:gridCol w:w="109"/>
        <w:gridCol w:w="109"/>
        <w:gridCol w:w="109"/>
        <w:gridCol w:w="311"/>
        <w:gridCol w:w="644"/>
        <w:gridCol w:w="244"/>
      </w:tblGrid>
      <w:tr>
        <w:trPr/>
        <w:tc>
          <w:tcPr>
            <w:tcW w:w="582"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Federal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State and Local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Deferred income taxes reflect the net tax effects of temporary differences between the carrying amount of assets and liabilities for financial reporting and tax reporting purposes at the TRS level. As of June 30, 2026 and December 31, 2025, the Company recorded a deferred tax asset of approximately $28.2 million and $28.5 million, respectively. The NOL carryforwards as of December 31, 2025 can be carried forward indefinitely. In assessing the realizability of deferred tax assets, the Company considers whether it is more likely than not that some portion or all of the deferred tax assets will not be realized. The ultimate realization of deferred tax assets is dependent upon the generation of future taxable income during periods in which temporary differences become deductible. The Company concluded it is more likely than not the deferred tax asset will not be realized and established a valuation allowance of $28.2 million and $28.5 million as of June 30, 2026 and December 31,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Uncertain Income Tax Positions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Based on its analysis of any potential uncertain income tax positions, the Company concluded it did not have any uncertain tax positions that meet the recognition or measurement criteria of ASC 740 as of June 30, 2026 and December 31, 2025. The Company’s and WMC's federal income tax returns for the last three tax years are open to examination by the Internal Revenue Service. There are no ongoing U.S. federal, state or local tax examinations related to the Company. In the event that the Company incurs income tax related interest and penalties, its policy is to classify them as a component of provision for income taxes. The Company did not incur any material interest or penalties during the three and six months ended June 30, 2026 and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10. Related party transactions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Manager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has entered into a management agreement with the Manager, which provided for an initial term and will be deemed renewed automatically each year for an additional one-year period, subject to certain termination rights. The Company is externally managed and advised by the Manager. Pursuant to the terms of the management agreement, which became effective July 6, 2011 (upon the consummation of the Company’s initial public offering (the "IPO")), the Manager provides the Company with its management team, including its officers, along with appropriate support personnel. Each of the Company’s officers is an employee of TPG or its affiliates. The Company does not have any employees. The Manager has delegated to TPG Angelo Gordon, an affiliate of TPG, the overall responsibility of its day-to-day duties and obligations arising under the Company’s management agreement. Below is a description of the fees and reimbursements provided in the management agreement.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Management fee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Manager is entitled to a management fee equal to 1.50% per annum, calculated and paid quarterly, of the Company’s Stockholders’ Equity. For purposes of calculating the management fee, "Stockholders’ Equity" means the sum of the net proceeds from any issuances of equity securities (including preferred securities) since inception (allocated on a pro rata daily basis for such issuances during the fiscal quarter of any such issuance, and excluding any future equity issuance to the Manager), plus the Company’s retained earnings at the end of such quarter (without taking into account any non-cash equity compensation expense or other non-cash items incurred in current or prior periods), less any amount that the Company pays for repurchases of its common stock, excluding any unrealized gains, losses or other non-cash items that have impacted stockholders’ equity as reported in the Company’s financial statements prepared in accordance with GAAP, regardless of whether such items are included in other comprehensive income or loss, or in net income, and excluding one-time events pursuant to changes in GAAP, and certain other non-cash charges after discussions between the Manager and the Company’s independent directors and after approval by a majority of the Company’s independent directors. Stockholders’ Equity, for purposes of calculating the management fee, could be greater or less than the amount of stockholders’ equity shown on the Company’s financial statements.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51155"/>
                <wp:effectExtent l="0" t="0" r="0" b="0"/>
                <wp:wrapNone/>
                <wp:docPr id="31" name="Frame3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TPG Mortgage Investment Trust,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below table details the management fees incurred during the three and six months ended June 30, 2026 and 2025 (in thousands).</w:t>
      </w:r>
    </w:p>
    <w:tbl>
      <w:tblPr>
        <w:tblW w:w="9783" w:type="dxa"/>
        <w:jc w:val="center"/>
        <w:tblInd w:w="0" w:type="dxa"/>
        <w:tblLayout w:type="fixed"/>
        <w:tblCellMar>
          <w:top w:w="28" w:type="dxa"/>
          <w:left w:w="28" w:type="dxa"/>
          <w:bottom w:w="28" w:type="dxa"/>
          <w:right w:w="28" w:type="dxa"/>
        </w:tblCellMar>
      </w:tblPr>
      <w:tblGrid>
        <w:gridCol w:w="1379"/>
        <w:gridCol w:w="1212"/>
        <w:gridCol w:w="1219"/>
        <w:gridCol w:w="109"/>
        <w:gridCol w:w="109"/>
        <w:gridCol w:w="109"/>
        <w:gridCol w:w="263"/>
        <w:gridCol w:w="746"/>
        <w:gridCol w:w="146"/>
        <w:gridCol w:w="109"/>
        <w:gridCol w:w="109"/>
        <w:gridCol w:w="109"/>
        <w:gridCol w:w="263"/>
        <w:gridCol w:w="746"/>
        <w:gridCol w:w="146"/>
        <w:gridCol w:w="109"/>
        <w:gridCol w:w="109"/>
        <w:gridCol w:w="109"/>
        <w:gridCol w:w="263"/>
        <w:gridCol w:w="746"/>
        <w:gridCol w:w="146"/>
        <w:gridCol w:w="109"/>
        <w:gridCol w:w="109"/>
        <w:gridCol w:w="109"/>
        <w:gridCol w:w="259"/>
        <w:gridCol w:w="737"/>
        <w:gridCol w:w="204"/>
      </w:tblGrid>
      <w:tr>
        <w:trPr/>
        <w:tc>
          <w:tcPr>
            <w:tcW w:w="137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Consolidated statements of operations line item: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Management fee to affiliate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2,311 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2,301 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4,630 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4,628 </w:t>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the Company recorded management fees payable of $2.3 million and $2.3 million, respectively. The management fee payable is included within the "Due to affiliates" item within the "Other liabilities" line item on the consolidated balance sheets.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Incentive fee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Manager is entitled to an annual incentive fee with respect to each applicable fiscal year, which will be equal to 15% of the amount by which the Company's cumulative adjusted net income from November 22, 2021 exceeds the cumulative hurdle amount, which represents an 8% return (cumulative, but not compounding) on an equity hurdle base consisting of the sum of (i) $341.5 million and (ii) the gross proceeds of any subsequent public or private common stock offerings by the Company. The annual incentive fee will be payable in cash, or, at the option of the Company's Board of Directors, shares of common stock or a combination of cash and shares.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and 2025, the Company did not incur any incentive fee expense.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Termination fee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Upon the occurrence of (i) the Company’s termination of the management agreement without cause or (ii) the Manager’s termination of the management agreement upon a breach by the Company of any material term of the management agreement, the Manager will be entitled to a termination fee equal to three times the average annual management fee during the 24-month period prior to such termination, calculated as of the end of the most recently completed fiscal quarter. As of June 30, 2026 and December 31, 2025, no event of termination of the management agreement had occurred.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Expense reimbursement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is required to reimburse the Manager or its affiliates for operating expenses which are incurred by the Manager or its affiliates on behalf of the Company, including expenses relating to legal, accounting, due diligence, and other services. The Company’s reimbursement obligation is not subject to any dollar limitation; however, the reimbursement is subject to an annual budget process which combines guidelines from the management agreement with oversight by the Company’s Board of Directors.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reimburses the Manager or its affiliates for the Company’s allocable share of the compensation, including, without limitation, annual base salary, bonus, any related withholding taxes, and employee benefits paid to (i) the Company’s chief financial officer based on the percentage of time spent on Company affairs, (ii) the Company’s general counsel based on the percentage of time spent on the Company’s affairs, and (iii) other corporate finance, tax, accounting, internal audit, legal, risk management, operations, compliance, and other non-investment personnel of the Manager and its affiliates who spend all or a portion of their time managing the Company’s affairs based upon the percentage of time devoted by such personnel to the Company’s affairs. In their capacities as officers or personnel of the Manager or its affiliates, they devote such portion of their time to the Company’s affairs as is necessary to enable the Company to operate its business.</w:t>
      </w:r>
    </w:p>
    <w:p>
      <w:pPr>
        <w:pStyle w:val="TextBody"/>
        <w:bidi w:val="0"/>
        <w:spacing w:lineRule="auto" w:line="288" w:before="0" w:after="0"/>
        <w:jc w:val="both"/>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51155"/>
                <wp:effectExtent l="0" t="0" r="0" b="0"/>
                <wp:wrapNone/>
                <wp:docPr id="32" name="Frame3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TPG Mortgage Investment Trust,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below table details the expense reimbursement incurred during the three and six months ended June 30, 2026 and 2025 (in thousands).</w:t>
      </w:r>
    </w:p>
    <w:tbl>
      <w:tblPr>
        <w:tblW w:w="9783" w:type="dxa"/>
        <w:jc w:val="center"/>
        <w:tblInd w:w="0" w:type="dxa"/>
        <w:tblLayout w:type="fixed"/>
        <w:tblCellMar>
          <w:top w:w="28" w:type="dxa"/>
          <w:left w:w="28" w:type="dxa"/>
          <w:bottom w:w="28" w:type="dxa"/>
          <w:right w:w="28" w:type="dxa"/>
        </w:tblCellMar>
      </w:tblPr>
      <w:tblGrid>
        <w:gridCol w:w="1379"/>
        <w:gridCol w:w="1212"/>
        <w:gridCol w:w="1219"/>
        <w:gridCol w:w="109"/>
        <w:gridCol w:w="109"/>
        <w:gridCol w:w="109"/>
        <w:gridCol w:w="263"/>
        <w:gridCol w:w="746"/>
        <w:gridCol w:w="146"/>
        <w:gridCol w:w="109"/>
        <w:gridCol w:w="109"/>
        <w:gridCol w:w="109"/>
        <w:gridCol w:w="263"/>
        <w:gridCol w:w="746"/>
        <w:gridCol w:w="146"/>
        <w:gridCol w:w="109"/>
        <w:gridCol w:w="109"/>
        <w:gridCol w:w="109"/>
        <w:gridCol w:w="263"/>
        <w:gridCol w:w="746"/>
        <w:gridCol w:w="146"/>
        <w:gridCol w:w="109"/>
        <w:gridCol w:w="109"/>
        <w:gridCol w:w="109"/>
        <w:gridCol w:w="259"/>
        <w:gridCol w:w="737"/>
        <w:gridCol w:w="204"/>
      </w:tblGrid>
      <w:tr>
        <w:trPr/>
        <w:tc>
          <w:tcPr>
            <w:tcW w:w="137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Consolidated statements of operations line item: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Non-investment related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1,183 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1,304 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2,629 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3,143 </w:t>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Investment related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 related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Expense reimbursements to Manager or its affiliates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1,472 </w:t>
            </w:r>
          </w:p>
        </w:tc>
        <w:tc>
          <w:tcPr>
            <w:tcW w:w="1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1,508 </w:t>
            </w:r>
          </w:p>
        </w:tc>
        <w:tc>
          <w:tcPr>
            <w:tcW w:w="1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3,135 </w:t>
            </w:r>
          </w:p>
        </w:tc>
        <w:tc>
          <w:tcPr>
            <w:tcW w:w="1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3,807 </w:t>
            </w:r>
          </w:p>
        </w:tc>
        <w:tc>
          <w:tcPr>
            <w:tcW w:w="20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the Company recorded a reimbursement payable to the Manager or its affiliates of $1.8 million and $2.1 million, respectively. The reimbursement payable to the Manager or its affiliates is included within the "Due to affiliates" line item within the "Other liabilities" line item on the consolidated balance sheets.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Investments in debt and equity of affiliates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invests in credit sensitive residential assets through affiliated entities which hold an ownership interest in the assets. The Company is one investor, amongst other investors managed by affiliates of TPG, in such entities and has applied the equity method of accounting for such investments.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Arc Home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9, 2015, the Company, alongside private funds managed by TPG or its affiliates, through AG Arc LLC ("AG Arc") formed Arc Home. As of June 30, 2026 and December 31, 2025, the Company had an approximate 66.0% interest in AG Arc. Arc Home is a multi-channel licensed mortgage originator and servicer primarily engaged in the business of originating and selling residential mortgage loans while retaining the mortgage servicing rights associated with certain loans that it originates. Arc Home is led by an external management team. The Company elected the fair value option with respect to its investment in AG Arc pursuant to ASC 825. The Company elected to treat its investment in AG Arc as a taxable REIT subsidiary.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1, 2025, the Company purchased an additional 21.4% interest in AG Arc from certain private funds managed by an affiliate of TPG. In connection with the acquisition, the Company issued 2,027,676 restricted shares of the Company’s common stock as consideration. The Company continues to account for its investment in AG Arc using the equity method as it maintains significant influence, however does not have control over major decisions affecting AG Arc’s operations and financial policies.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MATH</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August 29, 2017, the Company, alongside private funds managed by TPG or its affiliates, formed Mortgage Acquisition Holding I LLC ("MATH") to conduct a residential mortgage investment strategy. MATH in turn sponsored the formation of Mortgage Acquisition Trust I LLC ("MATT") to purchase predominantly Non-QM Loans. MATT made an election to be treated as a REIT beginning with the 2018 tax year. The Company has an approximate 47.0% interest in MATH. MATH, through its wholly owned subsidiary MATT, only holds risk-retention tranches from past securitizations which continue to pay down and the Company does not expect MATT to acquire additional investments.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51155"/>
                <wp:effectExtent l="0" t="0" r="0" b="0"/>
                <wp:wrapNone/>
                <wp:docPr id="33" name="Frame3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TPG Mortgage Investment Trust,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Summary of investments in debt and equity of affiliates and related earnings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below table summarizes the components of the "Investments in debt and equity of affiliates" line item on the Company's consolidated balance sheets as of June 30, 2026 and December 31, 2025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014"/>
        <w:gridCol w:w="849"/>
        <w:gridCol w:w="818"/>
        <w:gridCol w:w="109"/>
        <w:gridCol w:w="109"/>
        <w:gridCol w:w="109"/>
        <w:gridCol w:w="196"/>
        <w:gridCol w:w="646"/>
        <w:gridCol w:w="109"/>
        <w:gridCol w:w="109"/>
        <w:gridCol w:w="109"/>
        <w:gridCol w:w="109"/>
        <w:gridCol w:w="235"/>
        <w:gridCol w:w="488"/>
        <w:gridCol w:w="133"/>
        <w:gridCol w:w="109"/>
        <w:gridCol w:w="109"/>
        <w:gridCol w:w="109"/>
        <w:gridCol w:w="196"/>
        <w:gridCol w:w="646"/>
        <w:gridCol w:w="109"/>
        <w:gridCol w:w="109"/>
        <w:gridCol w:w="109"/>
        <w:gridCol w:w="109"/>
        <w:gridCol w:w="196"/>
        <w:gridCol w:w="646"/>
        <w:gridCol w:w="109"/>
        <w:gridCol w:w="109"/>
        <w:gridCol w:w="109"/>
        <w:gridCol w:w="109"/>
        <w:gridCol w:w="235"/>
        <w:gridCol w:w="488"/>
        <w:gridCol w:w="133"/>
        <w:gridCol w:w="109"/>
        <w:gridCol w:w="109"/>
        <w:gridCol w:w="109"/>
        <w:gridCol w:w="196"/>
        <w:gridCol w:w="646"/>
        <w:gridCol w:w="155"/>
      </w:tblGrid>
      <w:tr>
        <w:trPr/>
        <w:tc>
          <w:tcPr>
            <w:tcW w:w="1014"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Liabilities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Liabilities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Equity</w:t>
            </w:r>
          </w:p>
        </w:tc>
      </w:tr>
      <w:tr>
        <w:trPr/>
        <w:tc>
          <w:tcPr>
            <w:tcW w:w="2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Non-QM Securities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9,439 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2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Re/Non-Performing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Residential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10,038 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2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AG Arc, at fair value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50,016 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2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Other assets/(liabilities)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2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debt and equity of affiliates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61,345 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61,333 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Times New Roman;serif" w:hAnsi="Times New Roman;serif"/>
          <w:b w:val="false"/>
          <w:color w:val="000000"/>
          <w:sz w:val="18"/>
          <w:shd w:fill="FFFFFF" w:val="clear"/>
        </w:rPr>
        <w:t>(1)</w:t>
      </w:r>
      <w:r>
        <w:rPr>
          <w:rFonts w:ascii="Times New Roman;serif" w:hAnsi="Times New Roman;serif"/>
          <w:b w:val="false"/>
          <w:color w:val="000000"/>
          <w:sz w:val="18"/>
        </w:rPr>
        <w:t xml:space="preserve">As of June 30, 2026 and December 31, 2025, MATH, through its wholly owned subsidiary MATT, only holds risk-retention tranches from past securitizations which continue to pay down and the Company does not expect MATT to acquire additional investments. </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(2)During the three months ended June 30, 2026, AG Arc distributed $10.0 million to the Company and private funds managed by TPG or its affiliates, of which the Company received $6.6 million representing its interest of approximately 66.0% in AG Arc.</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below table reconciles the net income/(loss) to the "Equity in earnings/(loss) from affiliates" line item on the Company's consolidated statements of operations for the three and six months ended June 30, 2026 and 2025 (in thousands).</w:t>
      </w:r>
    </w:p>
    <w:p>
      <w:pPr>
        <w:pStyle w:val="TextBody"/>
        <w:bidi w:val="0"/>
        <w:spacing w:before="0" w:after="0"/>
        <w:jc w:val="both"/>
        <w:rPr/>
      </w:pPr>
      <w:r>
        <w:rPr/>
      </w:r>
    </w:p>
    <w:tbl>
      <w:tblPr>
        <w:tblW w:w="8867" w:type="dxa"/>
        <w:jc w:val="center"/>
        <w:tblInd w:w="0" w:type="dxa"/>
        <w:tblLayout w:type="fixed"/>
        <w:tblCellMar>
          <w:top w:w="28" w:type="dxa"/>
          <w:left w:w="28" w:type="dxa"/>
          <w:bottom w:w="28" w:type="dxa"/>
          <w:right w:w="28" w:type="dxa"/>
        </w:tblCellMar>
      </w:tblPr>
      <w:tblGrid>
        <w:gridCol w:w="1050"/>
        <w:gridCol w:w="922"/>
        <w:gridCol w:w="923"/>
        <w:gridCol w:w="109"/>
        <w:gridCol w:w="109"/>
        <w:gridCol w:w="109"/>
        <w:gridCol w:w="282"/>
        <w:gridCol w:w="715"/>
        <w:gridCol w:w="157"/>
        <w:gridCol w:w="109"/>
        <w:gridCol w:w="109"/>
        <w:gridCol w:w="109"/>
        <w:gridCol w:w="312"/>
        <w:gridCol w:w="670"/>
        <w:gridCol w:w="173"/>
        <w:gridCol w:w="109"/>
        <w:gridCol w:w="109"/>
        <w:gridCol w:w="109"/>
        <w:gridCol w:w="263"/>
        <w:gridCol w:w="746"/>
        <w:gridCol w:w="146"/>
        <w:gridCol w:w="109"/>
        <w:gridCol w:w="109"/>
        <w:gridCol w:w="109"/>
        <w:gridCol w:w="259"/>
        <w:gridCol w:w="737"/>
        <w:gridCol w:w="204"/>
      </w:tblGrid>
      <w:tr>
        <w:trPr/>
        <w:tc>
          <w:tcPr>
            <w:tcW w:w="1050"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Non-QM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(718)</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197 </w:t>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Re/Non-Performing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AG Arc (1)(2)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1,339 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Equity in earnings/(loss) from affiliates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231 </w:t>
            </w:r>
          </w:p>
        </w:tc>
        <w:tc>
          <w:tcPr>
            <w:tcW w:w="1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2,269 </w:t>
            </w:r>
          </w:p>
        </w:tc>
        <w:tc>
          <w:tcPr>
            <w:tcW w:w="1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1,416 </w:t>
            </w:r>
          </w:p>
        </w:tc>
        <w:tc>
          <w:tcPr>
            <w:tcW w:w="20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(1)Earnings/(loss) recognized by AG Arc do not include the Company's portion of gains or losses recorded by Arc Home in connection with the sale of residential mortgage loans to the Company. Refer to "Transactions with Arc Home" below for more information on this accounting policy. </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(2)As of June 30, 2026 and 2025, the Company had an approximate 66.0% and 44.6% interest in AG Arc,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Transactions with affiliates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Transactions with Red Creek Asset Management LLC</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Company’s investments in residential mortgage loans, the Company engages asset managers to provide advisory, consultation, asset management, and other services. The Company engaged Red Creek Asset Management LLC (the "Asset Manager"), a related party of the Manager and subsidiary of TPG, as the asset manager for certain of its residential mortgage loans. The Company pays the Asset Manager asset management fees which are assessed periodically by a third-party valuation firm. The below details the fees paid by the Company to the Asset Manager during the three and six months ended June 30, 2026 and 2025 (in thousands).</w:t>
      </w:r>
    </w:p>
    <w:tbl>
      <w:tblPr>
        <w:tblW w:w="8072" w:type="dxa"/>
        <w:jc w:val="center"/>
        <w:tblInd w:w="0" w:type="dxa"/>
        <w:tblLayout w:type="fixed"/>
        <w:tblCellMar>
          <w:top w:w="28" w:type="dxa"/>
          <w:left w:w="28" w:type="dxa"/>
          <w:bottom w:w="28" w:type="dxa"/>
          <w:right w:w="28" w:type="dxa"/>
        </w:tblCellMar>
      </w:tblPr>
      <w:tblGrid>
        <w:gridCol w:w="760"/>
        <w:gridCol w:w="668"/>
        <w:gridCol w:w="671"/>
        <w:gridCol w:w="109"/>
        <w:gridCol w:w="109"/>
        <w:gridCol w:w="109"/>
        <w:gridCol w:w="312"/>
        <w:gridCol w:w="670"/>
        <w:gridCol w:w="173"/>
        <w:gridCol w:w="109"/>
        <w:gridCol w:w="109"/>
        <w:gridCol w:w="109"/>
        <w:gridCol w:w="312"/>
        <w:gridCol w:w="670"/>
        <w:gridCol w:w="173"/>
        <w:gridCol w:w="109"/>
        <w:gridCol w:w="109"/>
        <w:gridCol w:w="109"/>
        <w:gridCol w:w="263"/>
        <w:gridCol w:w="746"/>
        <w:gridCol w:w="146"/>
        <w:gridCol w:w="109"/>
        <w:gridCol w:w="109"/>
        <w:gridCol w:w="109"/>
        <w:gridCol w:w="259"/>
        <w:gridCol w:w="737"/>
        <w:gridCol w:w="204"/>
      </w:tblGrid>
      <w:tr>
        <w:trPr/>
        <w:tc>
          <w:tcPr>
            <w:tcW w:w="760"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Fees paid to Asset Manager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1,077 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1,173 </w:t>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the Company recorded asset management fees payable of $0.2 million and $0.2 million, respectively. Asset management fees payable are included within the "Due to affiliates" line item within the "Other liabilities" line item on the consolidated balance sheets.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51155"/>
                <wp:effectExtent l="0" t="0" r="0" b="0"/>
                <wp:wrapNone/>
                <wp:docPr id="34" name="Frame3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TPG Mortgage Investment Trust,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Transactions with Arc Home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Arc Home may sell loans to the Company, third-parties, or affiliates of the Manager. The below table details the unpaid principal balance of residential mortgage loans sold to the Company during the three and six months ended June 30, 2026 and 2025 (in thousands).</w:t>
      </w:r>
    </w:p>
    <w:tbl>
      <w:tblPr>
        <w:tblW w:w="10205" w:type="dxa"/>
        <w:jc w:val="center"/>
        <w:tblInd w:w="0" w:type="dxa"/>
        <w:tblLayout w:type="fixed"/>
        <w:tblCellMar>
          <w:top w:w="28" w:type="dxa"/>
          <w:left w:w="28" w:type="dxa"/>
          <w:bottom w:w="28" w:type="dxa"/>
          <w:right w:w="28" w:type="dxa"/>
        </w:tblCellMar>
      </w:tblPr>
      <w:tblGrid>
        <w:gridCol w:w="1567"/>
        <w:gridCol w:w="1379"/>
        <w:gridCol w:w="1383"/>
        <w:gridCol w:w="109"/>
        <w:gridCol w:w="109"/>
        <w:gridCol w:w="109"/>
        <w:gridCol w:w="310"/>
        <w:gridCol w:w="644"/>
        <w:gridCol w:w="171"/>
        <w:gridCol w:w="109"/>
        <w:gridCol w:w="109"/>
        <w:gridCol w:w="109"/>
        <w:gridCol w:w="310"/>
        <w:gridCol w:w="644"/>
        <w:gridCol w:w="171"/>
        <w:gridCol w:w="109"/>
        <w:gridCol w:w="109"/>
        <w:gridCol w:w="109"/>
        <w:gridCol w:w="304"/>
        <w:gridCol w:w="654"/>
        <w:gridCol w:w="168"/>
        <w:gridCol w:w="109"/>
        <w:gridCol w:w="109"/>
        <w:gridCol w:w="109"/>
        <w:gridCol w:w="233"/>
        <w:gridCol w:w="769"/>
        <w:gridCol w:w="190"/>
      </w:tblGrid>
      <w:tr>
        <w:trPr/>
        <w:tc>
          <w:tcPr>
            <w:tcW w:w="1567"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4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4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4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mortgage loans sold by Arc Home to the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60,957 </w:t>
            </w:r>
          </w:p>
        </w:tc>
        <w:tc>
          <w:tcPr>
            <w:tcW w:w="1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sale of loans from Arc Home to the Company, the Company eliminates any intra-entity profits or losses typically recognized through the "Equity in earnings/(loss) from affiliates" line item on the Company's consolidated statement of operations and adjusts the cost basis of the underlying loans resulting in unrealized gains or losses on the underlying loans. The table below summarizes intra-entity profits eliminated during the three and six months ended June 30, 2026 and 2025 (in thousands).</w:t>
      </w:r>
    </w:p>
    <w:tbl>
      <w:tblPr>
        <w:tblW w:w="8226" w:type="dxa"/>
        <w:jc w:val="center"/>
        <w:tblInd w:w="0" w:type="dxa"/>
        <w:tblLayout w:type="fixed"/>
        <w:tblCellMar>
          <w:top w:w="28" w:type="dxa"/>
          <w:left w:w="28" w:type="dxa"/>
          <w:bottom w:w="28" w:type="dxa"/>
          <w:right w:w="28" w:type="dxa"/>
        </w:tblCellMar>
      </w:tblPr>
      <w:tblGrid>
        <w:gridCol w:w="814"/>
        <w:gridCol w:w="715"/>
        <w:gridCol w:w="720"/>
        <w:gridCol w:w="109"/>
        <w:gridCol w:w="109"/>
        <w:gridCol w:w="109"/>
        <w:gridCol w:w="318"/>
        <w:gridCol w:w="660"/>
        <w:gridCol w:w="176"/>
        <w:gridCol w:w="109"/>
        <w:gridCol w:w="109"/>
        <w:gridCol w:w="109"/>
        <w:gridCol w:w="318"/>
        <w:gridCol w:w="660"/>
        <w:gridCol w:w="176"/>
        <w:gridCol w:w="109"/>
        <w:gridCol w:w="109"/>
        <w:gridCol w:w="109"/>
        <w:gridCol w:w="415"/>
        <w:gridCol w:w="510"/>
        <w:gridCol w:w="230"/>
        <w:gridCol w:w="111"/>
        <w:gridCol w:w="111"/>
        <w:gridCol w:w="111"/>
        <w:gridCol w:w="345"/>
        <w:gridCol w:w="584"/>
        <w:gridCol w:w="271"/>
      </w:tblGrid>
      <w:tr>
        <w:trPr/>
        <w:tc>
          <w:tcPr>
            <w:tcW w:w="814"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Intra-Entity Profits Eliminated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enters into forward purchase commitments with Arc Home whereby the Company commits to purchase residential mortgage loans from Arc Home at a particular price on a best-efforts basis. Actual loan purchases are contingent upon successful loan closings. These commitments to purchase mortgage loans are classified as derivatives. From time to time, the Company may determine that certain loans it has previously committed to purchase will be sold to third parties and, as a result, the derivative will be settled on a net basis with Arc Home. See Note 7 and Note 12, if applicable, for more detail.</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51155"/>
                <wp:effectExtent l="0" t="0" r="0" b="0"/>
                <wp:wrapNone/>
                <wp:docPr id="35" name="Frame3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TPG Mortgage Investment Trust,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Transactions under the Company's Affiliated Transaction Policy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below table details transactions where the Company purchased or sold assets from or to an affiliate of the Manager ($ in millions). The transactions were executed in accordance with the Company's Affiliated Transaction Policy. Refer to the "Transactions with Arc Home" section above for additional information related to transactions with Arc Home, which are excluded from the table below. </w:t>
      </w:r>
    </w:p>
    <w:p>
      <w:pPr>
        <w:pStyle w:val="TextBody"/>
        <w:bidi w:val="0"/>
        <w:spacing w:before="0" w:after="0"/>
        <w:jc w:val="both"/>
        <w:rPr/>
      </w:pPr>
      <w:r>
        <w:rPr/>
      </w:r>
    </w:p>
    <w:tbl>
      <w:tblPr>
        <w:tblW w:w="8959" w:type="dxa"/>
        <w:jc w:val="center"/>
        <w:tblInd w:w="0" w:type="dxa"/>
        <w:tblLayout w:type="fixed"/>
        <w:tblCellMar>
          <w:top w:w="28" w:type="dxa"/>
          <w:left w:w="28" w:type="dxa"/>
          <w:bottom w:w="28" w:type="dxa"/>
          <w:right w:w="28" w:type="dxa"/>
        </w:tblCellMar>
      </w:tblPr>
      <w:tblGrid>
        <w:gridCol w:w="379"/>
        <w:gridCol w:w="334"/>
        <w:gridCol w:w="336"/>
        <w:gridCol w:w="109"/>
        <w:gridCol w:w="109"/>
        <w:gridCol w:w="109"/>
        <w:gridCol w:w="1131"/>
        <w:gridCol w:w="1131"/>
        <w:gridCol w:w="1142"/>
        <w:gridCol w:w="109"/>
        <w:gridCol w:w="109"/>
        <w:gridCol w:w="109"/>
        <w:gridCol w:w="337"/>
        <w:gridCol w:w="646"/>
        <w:gridCol w:w="187"/>
        <w:gridCol w:w="109"/>
        <w:gridCol w:w="109"/>
        <w:gridCol w:w="109"/>
        <w:gridCol w:w="689"/>
        <w:gridCol w:w="689"/>
        <w:gridCol w:w="977"/>
      </w:tblGrid>
      <w:tr>
        <w:trPr/>
        <w:tc>
          <w:tcPr>
            <w:tcW w:w="37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r>
      <w:tr>
        <w:trPr/>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Transaction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Pricing Methodology</w:t>
            </w:r>
          </w:p>
        </w:tc>
      </w:tr>
      <w:tr>
        <w:trPr/>
        <w:tc>
          <w:tcPr>
            <w:tcW w:w="104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Purchase of Re/Non-Performing Securities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Third party pricing vendors (3)</w:t>
            </w:r>
          </w:p>
        </w:tc>
      </w:tr>
      <w:tr>
        <w:trPr/>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August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Purchase of AG Arc (4)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Third party pricing vendors (3)</w:t>
            </w:r>
          </w:p>
        </w:tc>
      </w:tr>
    </w:tbl>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(1)As of the transaction date. </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(2)The Company purchased an additional interest in certain re/non-performing securities which are recorded within the “Investments in debt and equity of affiliates” line item on the consolidated balance sheets.</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(3)Pricing was based on valuations prepared by third-party pricing vendors in accordance with the Company's policy. </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(4)The Company’s Board of Directors, including its independent directors, approved the transaction and obtained a fairness opinion from a third party financial advisor.</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(5)Refer to “Investments in debt and equity of affiliates - Arc Home” above for additional information on this transaction.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i/>
          <w:color w:val="000000"/>
          <w:sz w:val="20"/>
        </w:rPr>
      </w:pPr>
      <w:r>
        <w:rPr>
          <w:rFonts w:ascii="Times New Roman;serif" w:hAnsi="Times New Roman;serif"/>
          <w:b w:val="false"/>
          <w:i/>
          <w:color w:val="000000"/>
          <w:sz w:val="20"/>
        </w:rPr>
        <w:t>Securitization Transactions with TPG Managed Funds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acted as a co-sponsor of rated securitizations alongside private funds managed by TPG. As the co-sponsor, the Company purchased and simultaneously contributed loans into the securitizations. To comply with risk retention rules, the Company retained an "eligible vertical interest," which consists of at least 5% of each class of securities issued in the securitizations and represents the Company’s continuing involvement in these securitization trusts. The remaining tranches were sold to third parties and certain private funds managed by TPG. The below provides detail on these securitizations ($ in millions).</w:t>
      </w:r>
    </w:p>
    <w:p>
      <w:pPr>
        <w:pStyle w:val="TextBody"/>
        <w:bidi w:val="0"/>
        <w:spacing w:before="0" w:after="0"/>
        <w:jc w:val="left"/>
        <w:rPr/>
      </w:pPr>
      <w:r>
        <w:rPr/>
      </w:r>
    </w:p>
    <w:tbl>
      <w:tblPr>
        <w:tblW w:w="8704" w:type="dxa"/>
        <w:jc w:val="center"/>
        <w:tblInd w:w="0" w:type="dxa"/>
        <w:tblLayout w:type="fixed"/>
        <w:tblCellMar>
          <w:top w:w="28" w:type="dxa"/>
          <w:left w:w="28" w:type="dxa"/>
          <w:bottom w:w="28" w:type="dxa"/>
          <w:right w:w="28" w:type="dxa"/>
        </w:tblCellMar>
      </w:tblPr>
      <w:tblGrid>
        <w:gridCol w:w="325"/>
        <w:gridCol w:w="285"/>
        <w:gridCol w:w="290"/>
        <w:gridCol w:w="109"/>
        <w:gridCol w:w="109"/>
        <w:gridCol w:w="109"/>
        <w:gridCol w:w="429"/>
        <w:gridCol w:w="429"/>
        <w:gridCol w:w="431"/>
        <w:gridCol w:w="109"/>
        <w:gridCol w:w="109"/>
        <w:gridCol w:w="109"/>
        <w:gridCol w:w="471"/>
        <w:gridCol w:w="1337"/>
        <w:gridCol w:w="262"/>
        <w:gridCol w:w="109"/>
        <w:gridCol w:w="109"/>
        <w:gridCol w:w="109"/>
        <w:gridCol w:w="829"/>
        <w:gridCol w:w="1977"/>
        <w:gridCol w:w="658"/>
      </w:tblGrid>
      <w:tr>
        <w:trPr/>
        <w:tc>
          <w:tcPr>
            <w:tcW w:w="32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977"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Collateral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Unpaid Principal 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 of Retained Non-Agency RMBS</w:t>
            </w:r>
          </w:p>
        </w:tc>
      </w:tr>
      <w:tr>
        <w:trPr/>
        <w:tc>
          <w:tcPr>
            <w:tcW w:w="90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April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Non-QM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429.6 </w:t>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21.2 </w:t>
            </w:r>
          </w:p>
        </w:tc>
        <w:tc>
          <w:tcPr>
            <w:tcW w:w="6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Non-QM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333.4 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11. Equity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Stock repurchase programs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3, 2022, the Company's Board of Directors authorized a stock repurchase program (the "2022 Repurchase Program") to repurchase up to $15.0 million of the Company’s outstanding common stock. The 2022 Repurchase Program does not have an expiration date and permits the Company to repurchase its shares through various methods, including open market repurchases, privately negotiated block transactions and Rule 10b5-1 plans. The Company may repurchase shares of its common stock from time to time in compliance with SEC regulations and other legal requirements. The extent to which the Company repurchases its shares, and the timing, manner, price, and amount of any such repurchases, will depend upon a variety of factors including market conditions and other corporate considerations as determined by the Company’s management, as well as the limits of the 2022 Repurchase Program and the Company's liquidity and business strategy. The 2022 Repurchase Program does not obligate the Company to acquire any particular amount of shares and may be modified or discontinued at any time. As of June 30, 2026, approximately $1.5 million of common stock remained authorized for future share repurchases under the 2022 Repurchase Program. The Company did not repurchase common stock during the three and six months ended June 30, 2026 and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May 4, 2023, the Company's Board of Directors authorized a stock repurchase program (the "2023 Repurchase Program") to repurchase up to $15.0 million of the Company’s outstanding common stock on substantially the same terms as the 2022 Repurchase Program. As of June 30, 2026, the full $15.0 million authorized amount remains available for repurchase under the 2023 Repurchase Program. This authorization is in addition to the amount remaining under the 2022 Repurchase Program.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51155"/>
                <wp:effectExtent l="0" t="0" r="0" b="0"/>
                <wp:wrapNone/>
                <wp:docPr id="36" name="Frame3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TPG Mortgage Investment Trust,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February 22, 2021, the Company's Board of Directors authorized a stock repurchase program (the "Preferred Repurchase Program") pursuant to which the Company's Board of Directors granted a repurchase authorization to acquire shares of the Company's 8.25% Series A Cumulative Redeemable Preferred Stock ("Series A Preferred Stock"), 8.00% Series B Cumulative Redeemable Preferred Stock ("Series B Preferred Stock"), and 8.000% Series C Fixed-to-Floating Rate Cumulative Redeemable Preferred Stock ("Series C Preferred Stock") having an aggregate value of up to $20.0 million. No share repurchases under the Preferred Repurchase Program have been made since its authorization.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Shares of stock repurchased by the Company under any repurchase program, if any, will be cancelled and, until reissued by the Company, will be deemed to be authorized but unissued shares of its stock as required by Maryland law. The cost of the acquisition by the Company of shares of its own stock in excess of the aggregate par value of the shares first reduces additional paid-in capital, to the extent available, with any residual cost applied against retained earnings.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Restricted stock grants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Equity Incentive Plans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May 5, 2025, following approval by stockholders at the Company’s annual stockholders meeting, the Company’s 2025 Equity Incentive Plan (the “2025 Equity Incentive Plan”) became effective. The maximum number of shares of the Company’s common stock that could be issued under the 2025 Equity Incentive Plan was 800,000 shares of common stock, plus 220,781 shares of common stock (which reflects the number of shares that remained available for issuance under the equity incentive plan approved in 2020 (the “2020 Equity Incentive Plan”) as of May 4, 2025), plus 86,666 shares of common stock that remained subject to outstanding awards under the 2020 Equity Incentive Plan but only to the extent that such shares become forfeited or otherwise lapse. As a result of the adoption of the 2025 Equity Incentive Plan, no additional awards will be granted under the 2020 Equity Incentive Plan (although awards previously made under the 2020 Equity Incentive Plan will remain in effect subject to the terms of the 2020 Equity Incentive Plan and the applicable award agreement).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Since inception of the 2025 Equity Incentive Plan and through June 30, 2026, the Company has granted an aggregate 103,604 shares of restricted common stock and 1,787 dividend equivalent units to its independent directors, all of which have vested. As of June 30, 2026, there were 915,390 remaining shares available to be issued under the 2025 Equity Incentive Plan.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 has 12,981 restricted stock units and 3,836 associated dividend equivalent units outstanding, all of which are fully vested and held by one of the Company’s independent directors. These units will be settled on a one-for-one basis in shares of the Company's common stock upon the director's separation from service with the Company.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Manager Equity Incentive Plans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Following approval of the Company's stockholders at its 2021 annual meeting of stockholders, the AG Mortgage Investment Trust, Inc. 2021 Manager Equity Incentive Plan (the "2021 Manager Plan") became effective on April 7, 2021 and provides for a maximum of 573,425 shares of common stock that may be subject to awards thereunder to the Manager. As of June 30, 2026, there were no shares or awards issued under the 2021 Manager Plan. Following the execution of the Third Amendment to the management agreement in November 2021 related to the incentive fee, the Company's compensation committee no longer expects to continue its historical practice of making periodic equity grants to the Manager pursuant to the 2021 Manager Plan.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Equity distribution agreements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entered into separate equity distribution agreements (the "2024 Equity Distribution Agreements") with each of BTIG, LLC, JonesTrading Institutional Services LLC, Keefe, Bruyette &amp; Woods, Inc. and Piper Sandler &amp; Co. (collectively, the "2024 Sales Agents"), pursuant to which the Company may sell up to $75.0 million aggregate offering price of shares of its common stock from time to time through an "at-the-market" equity offering program under which the 2024 Sales Agents will act as sales agent. The Company did not issue any shares of common stock under its 2024 Equity Distribution Agreements during the three and six months ended June 30, 2026 and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Shelf registration statement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March 26, 2024, the Company filed a new shelf registration statement, registering up to $1.0 billion of its securities, including capital stock (the "2024 Registration Statement"). The 2024 Registration Statement was declared effective on April 9,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51155"/>
                <wp:effectExtent l="0" t="0" r="0" b="0"/>
                <wp:wrapNone/>
                <wp:docPr id="37" name="Frame3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TPG Mortgage Investment Trust,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2024 and will generally remain effective for three years. Upon effectiveness of the 2024 Registration Statement, the Company's previous S-3 registration statement filed in 2021 was terminated.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Acquisition of additional interest in AG Arc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August 1, 2025, in connection with the acquisition of an additional 21.4% interest in AG Arc, the Company issued 2,027,676 restricted shares of the Company’s common stock (the “Holder Shares”) to certain funds managed by an affiliate of TPG (the “Holders”) as consideration. Refer to Note 10 for additional information. Pursuant to the registration rights agreement the Company entered into with the Holders, in August 2025, the Company filed a resale shelf registration statement on Form S-3 registering the resale of all the Holder Shares, which was declared effective by the Securities and Exchange Commission in August 2025. As June 30, 2026, the Holders no longer hold any shares of the Company’s common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Preferred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is authorized to designate and issue up to 50.0 million shares of preferred stock, par value $0.01 per share, in one or more classes or series. As of June 30, 2026 and December 31, 2025, there were 1.7 million, 3.7 million, and 3.7 million of Series A Preferred Stock, Series B Preferred Stock, and Series C Preferred Stock, respectively, issued and outstanding.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includes a summary of preferred stock issued and outstanding as of June 30, 2026 ($ and shares in thousands).</w:t>
      </w:r>
    </w:p>
    <w:tbl>
      <w:tblPr>
        <w:tblW w:w="10205" w:type="dxa"/>
        <w:jc w:val="left"/>
        <w:tblInd w:w="0" w:type="dxa"/>
        <w:tblLayout w:type="fixed"/>
        <w:tblCellMar>
          <w:top w:w="28" w:type="dxa"/>
          <w:left w:w="28" w:type="dxa"/>
          <w:bottom w:w="28" w:type="dxa"/>
          <w:right w:w="28" w:type="dxa"/>
        </w:tblCellMar>
      </w:tblPr>
      <w:tblGrid>
        <w:gridCol w:w="430"/>
        <w:gridCol w:w="379"/>
        <w:gridCol w:w="380"/>
        <w:gridCol w:w="109"/>
        <w:gridCol w:w="109"/>
        <w:gridCol w:w="109"/>
        <w:gridCol w:w="392"/>
        <w:gridCol w:w="342"/>
        <w:gridCol w:w="344"/>
        <w:gridCol w:w="109"/>
        <w:gridCol w:w="109"/>
        <w:gridCol w:w="109"/>
        <w:gridCol w:w="422"/>
        <w:gridCol w:w="422"/>
        <w:gridCol w:w="424"/>
        <w:gridCol w:w="109"/>
        <w:gridCol w:w="109"/>
        <w:gridCol w:w="109"/>
        <w:gridCol w:w="212"/>
        <w:gridCol w:w="798"/>
        <w:gridCol w:w="117"/>
        <w:gridCol w:w="109"/>
        <w:gridCol w:w="109"/>
        <w:gridCol w:w="109"/>
        <w:gridCol w:w="314"/>
        <w:gridCol w:w="1183"/>
        <w:gridCol w:w="174"/>
        <w:gridCol w:w="109"/>
        <w:gridCol w:w="109"/>
        <w:gridCol w:w="109"/>
        <w:gridCol w:w="434"/>
        <w:gridCol w:w="434"/>
        <w:gridCol w:w="435"/>
        <w:gridCol w:w="109"/>
        <w:gridCol w:w="109"/>
        <w:gridCol w:w="109"/>
        <w:gridCol w:w="173"/>
        <w:gridCol w:w="173"/>
        <w:gridCol w:w="261"/>
      </w:tblGrid>
      <w:tr>
        <w:trPr/>
        <w:tc>
          <w:tcPr>
            <w:tcW w:w="430"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r>
      <w:tr>
        <w:trPr/>
        <w:tc>
          <w:tcPr>
            <w:tcW w:w="1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Preferred Stock Series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Issuance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Aggregate Liquidation Preference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Optional Redemption </w:t>
              <w:br/>
              <w:t>Date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Rate (3)</w:t>
            </w:r>
          </w:p>
        </w:tc>
      </w:tr>
      <w:tr>
        <w:trPr/>
        <w:tc>
          <w:tcPr>
            <w:tcW w:w="118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Series A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August 3, 2012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1,663 </w:t>
            </w:r>
          </w:p>
        </w:tc>
        <w:tc>
          <w:tcPr>
            <w:tcW w:w="4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40,110 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41,580 </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August 3, 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8.25%</w:t>
            </w:r>
          </w:p>
        </w:tc>
      </w:tr>
      <w:tr>
        <w:trPr/>
        <w:tc>
          <w:tcPr>
            <w:tcW w:w="1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Series B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September 27, 2012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3,728 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90,187 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93,191 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September 17, 2017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8.00%</w:t>
            </w:r>
          </w:p>
        </w:tc>
      </w:tr>
      <w:tr>
        <w:trPr/>
        <w:tc>
          <w:tcPr>
            <w:tcW w:w="1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Series C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September 17, 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3,729 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90,175 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93,220 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September 17,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w:t>
            </w:r>
          </w:p>
        </w:tc>
      </w:tr>
      <w:tr>
        <w:trPr/>
        <w:tc>
          <w:tcPr>
            <w:tcW w:w="1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9,120 </w:t>
            </w:r>
          </w:p>
        </w:tc>
        <w:tc>
          <w:tcPr>
            <w:tcW w:w="4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220,472 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227,991 </w:t>
            </w:r>
          </w:p>
        </w:tc>
        <w:tc>
          <w:tcPr>
            <w:tcW w:w="17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(1)The Company's Preferred Stock has a liquidation preference of $25.00 per share.</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(2)Shares have no stated maturity and are not subject to any sinking fund or mandatory redemption. Shares of the Company’s Preferred Stock are redeemable at $25.00 per share plus accumulated and unpaid dividends (whether or not declared) exclusively at the Company’s option.</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(3)Dividends are payable quarterly in arrears on the 17th day of each March, June, September, and December and holders are entitled to receive cumulative cash dividends at the respective stated rate per annum before holders of common stock are entitled to receive any cash dividends.</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(4)The initial dividend rate for the Series C Preferred Stock, from and including the date of original issue to, but not including, September 17, 2024, was 8.000% per annum of the $25.00 per share liquidation preference. On and after September 17, 2024, dividends on the Series C Preferred Stock accumulate at a percentage of the $25.00 liquidation preference equal to an annual floating rate of the three-month CME Term SOFR (plus a tenor spread adjustment of 0.26161%) plus a spread of 6.476%. Pursuant to the terms of the Series C Preferred Stock, the Company has appointed a calculation agent to determine the floating rate. The calculation agent may also implement changes to the business day convention, the definition of business day, the dividend determination date, and any method for obtaining the substitute or successor base rate if such rate is unavailable on the relevant business day, in a manner that is consistent with industry accepted practices.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Series A Preferred Stock, Series B Preferred Stock, and Series C Preferred Stock generally do not have any voting rights, subject to an exception in the event the Company fails to pay dividends on such stock for six or more quarterly periods (whether or not consecutive). Under such circumstances, holders of the Company's Series A Preferred Stock, Series B Preferred Stock, and Series C Preferred Stock voting together as a single class with the holders of all other classes or series of its preferred stock upon which like voting rights have been conferred and are exercisable and which are entitled to vote as a class with the Company's Series A Preferred Stock, Series B Preferred Stock, and Series C Preferred Stock will be entitled to vote to elect two additional directors to the Company’s Board of Directors until all unpaid dividends have been paid or declared and set apart for payment. In addition, certain material and adverse changes to the terms of any series of the Company's Series A Preferred Stock, Series B Preferred Stock, and Series C Preferred Stock cannot be made without the affirmative vote of holders of at least two-thirds of the outstanding shares of the series of the Company's Series A Preferred Stock, Series B Preferred Stock, and Series C Preferred Stock whose terms are being changed.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51155"/>
                <wp:effectExtent l="0" t="0" r="0" b="0"/>
                <wp:wrapNone/>
                <wp:docPr id="38" name="Frame3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TPG Mortgage Investment Trust,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12. Commitments and Contingencies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may become involved in various claims and legal actions arising in the ordinary course of business. As of June 30, 2026, the Company was not involved in any material legal proceedings.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below table details the Company's outstanding commitments as of June 30, 2026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649"/>
        <w:gridCol w:w="571"/>
        <w:gridCol w:w="573"/>
        <w:gridCol w:w="109"/>
        <w:gridCol w:w="109"/>
        <w:gridCol w:w="109"/>
        <w:gridCol w:w="572"/>
        <w:gridCol w:w="572"/>
        <w:gridCol w:w="574"/>
        <w:gridCol w:w="109"/>
        <w:gridCol w:w="109"/>
        <w:gridCol w:w="109"/>
        <w:gridCol w:w="295"/>
        <w:gridCol w:w="1111"/>
        <w:gridCol w:w="164"/>
        <w:gridCol w:w="109"/>
        <w:gridCol w:w="109"/>
        <w:gridCol w:w="109"/>
        <w:gridCol w:w="332"/>
        <w:gridCol w:w="1247"/>
        <w:gridCol w:w="184"/>
        <w:gridCol w:w="109"/>
        <w:gridCol w:w="109"/>
        <w:gridCol w:w="109"/>
        <w:gridCol w:w="401"/>
        <w:gridCol w:w="1327"/>
        <w:gridCol w:w="325"/>
      </w:tblGrid>
      <w:tr>
        <w:trPr/>
        <w:tc>
          <w:tcPr>
            <w:tcW w:w="64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17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Commitment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Date of Commitment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Commitment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Funded Commitment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Remaining Commitment</w:t>
            </w:r>
          </w:p>
        </w:tc>
      </w:tr>
      <w:tr>
        <w:trPr/>
        <w:tc>
          <w:tcPr>
            <w:tcW w:w="17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3" w:type="dxa"/>
            <w:gridSpan w:val="3"/>
            <w:tcBorders/>
            <w:vAlign w:val="center"/>
          </w:tcPr>
          <w:p>
            <w:pPr>
              <w:pStyle w:val="TableContents"/>
              <w:bidi w:val="0"/>
              <w:spacing w:before="0" w:after="283"/>
              <w:jc w:val="left"/>
              <w:rPr>
                <w:sz w:val="4"/>
                <w:szCs w:val="4"/>
              </w:rPr>
            </w:pPr>
            <w:r>
              <w:rPr>
                <w:sz w:val="4"/>
                <w:szCs w:val="4"/>
              </w:rPr>
            </w:r>
          </w:p>
        </w:tc>
      </w:tr>
      <w:tr>
        <w:trPr/>
        <w:tc>
          <w:tcPr>
            <w:tcW w:w="179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Home Equity Loans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243,298 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225,684 </w:t>
            </w:r>
          </w:p>
        </w:tc>
        <w:tc>
          <w:tcPr>
            <w:tcW w:w="1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17,614 </w:t>
            </w:r>
          </w:p>
        </w:tc>
        <w:tc>
          <w:tcPr>
            <w:tcW w:w="3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(1)Represents the undrawn portion of a borrowers' home equity line of credit for which the Company may be required to fund including $12.0 million, $4.2 million, and $1.4 million related to "Residential mortgage loans, at fair value," "Real estate securities, at fair value," and "Securitized residential mortgage loans, at fair value,"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13. Segment Reporting</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Company's reportable segments include (i) Loans and Securities and (ii) Arc Home. Segment information for prior periods has been updated to conform to the current year presentation.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structure of the reportable segments is differentiated by the financial information used by the Chief Operating Decision Maker (“CODM”) and the nature of the Company’s business activities, which is consistent with the reporting structure of the Company’s internal organization. The Company’s CODM is its Chief Executive Officer. The CODM uses net income/(loss) reported on the consolidated statements of operations as the primary measure to make resource allocation decisions and evaluate the segment results. The CODM is regularly provided operating expenses as presented on the consolidated statements of operations when evaluating the Company’s net income/(loss).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accounting policies applied to the segments are the same as those described in Note 2 to the "Notes to Consolidated Financial Statements (unaudited)". Activities that are not directly attributable or not allocated to either of the reportable segments are reported within "Other" below as a reconciling item to the Company’s consolidated financial statements. Other activities primarily consist of cash and related interest income, the Senior Unsecured Notes and related interest expense, management fees, non-investment related expenses, and preferred stock dividends.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Loans and Securities Segment</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Loans and Securities segment is primarily focused on acquiring and securitizing newly-originated residential mortgage loans within the non-agency segment of the housing market. The Company finances its acquired loans through various financing lines on a short-term basis and utilizes TPG’s proprietary securitization platform to secure long-term, non-recourse, non-mark-to-market financing as market conditions permit. The Company's Residential Investments, Agency RMBS, and Legacy WMC Commercial Investments are included in the Loans and Securities segment. This segment generates revenue primarily in the form of net interest income, inclusive of the cost or benefit of hedging, which represents the difference between the interest earned on the investments and the costs of financing and economic hedges in place on these investments. In addition, the Company's investments in loans and securities are recorded at fair value with any periodic change in fair value recorded in the "Net unrealized gain/(loss)" line item on the consolidated statement of operations which is included in the "Other Income/(Loss)" line item below.</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Arc Home Segment</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Arc Home segment includes the Company's equity method investment in AG Arc, which owns Arc Home. Effective August 1, 2025, the Company’s ownership interest in AG Arc’s earnings is 66.0%. For all prior periods, the Company’s ownership interest in AG Arc’s earnings was 44.6%. Refer to Note 10 to the to the "Notes to Consolidated Financial Statements (unaudited)" for additional information related to the Company's investment in AG Arc. Arc Home is a multi-channel licensed mortgage originator and servicer led by an external management team. Arc Home generates revenue primarily through originating and selling residential mortgage loans. In addition, Arc Home recognizes net servicing revenue from mortgage servicing rights as well as net interest income and net unrealized gains or losses from originated residential mortgage loans prior to sale. The Company elected the fair value option with respect to its investment in AG Arc. The net income/(loss) recognized within the Arc Home segment is recorded in the "Equity in earnings/(loss) from affiliates" line item on the consolidated statement of operations and includes any periodic changes in the fair value of the investment.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51155"/>
                <wp:effectExtent l="0" t="0" r="0" b="0"/>
                <wp:wrapNone/>
                <wp:docPr id="39" name="Frame3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TPG Mortgage Investment Trust,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Reportable Segments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the reportable operating segments related to the Company’s results of operations for the three and six months ended June 30, 2026 and 2025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573"/>
        <w:gridCol w:w="1367"/>
        <w:gridCol w:w="1376"/>
        <w:gridCol w:w="319"/>
        <w:gridCol w:w="1199"/>
        <w:gridCol w:w="177"/>
        <w:gridCol w:w="109"/>
        <w:gridCol w:w="109"/>
        <w:gridCol w:w="109"/>
        <w:gridCol w:w="238"/>
        <w:gridCol w:w="511"/>
        <w:gridCol w:w="132"/>
        <w:gridCol w:w="109"/>
        <w:gridCol w:w="109"/>
        <w:gridCol w:w="109"/>
        <w:gridCol w:w="109"/>
        <w:gridCol w:w="109"/>
        <w:gridCol w:w="196"/>
        <w:gridCol w:w="719"/>
        <w:gridCol w:w="109"/>
        <w:gridCol w:w="109"/>
        <w:gridCol w:w="109"/>
        <w:gridCol w:w="109"/>
        <w:gridCol w:w="196"/>
        <w:gridCol w:w="736"/>
        <w:gridCol w:w="158"/>
      </w:tblGrid>
      <w:tr>
        <w:trPr/>
        <w:tc>
          <w:tcPr>
            <w:tcW w:w="1573"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2" w:type="dxa"/>
            <w:gridSpan w:val="17"/>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Three Months Ended June 30, 2026</w:t>
            </w:r>
          </w:p>
        </w:tc>
        <w:tc>
          <w:tcPr>
            <w:tcW w:w="1417" w:type="dxa"/>
            <w:gridSpan w:val="6"/>
            <w:tcBorders/>
          </w:tcPr>
          <w:p>
            <w:pPr>
              <w:pStyle w:val="TableContents"/>
              <w:bidi w:val="0"/>
              <w:spacing w:before="0" w:after="283"/>
              <w:jc w:val="left"/>
              <w:rPr>
                <w:sz w:val="4"/>
                <w:szCs w:val="4"/>
              </w:rPr>
            </w:pPr>
            <w:r>
              <w:rPr>
                <w:sz w:val="4"/>
                <w:szCs w:val="4"/>
              </w:rPr>
            </w:r>
          </w:p>
        </w:tc>
      </w:tr>
      <w:tr>
        <w:trPr/>
        <w:tc>
          <w:tcPr>
            <w:tcW w:w="4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Loans and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Arc Home</w:t>
              <w:br/>
              <w:t>(1) (2)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4316"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4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3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123,746 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124,155 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101,346 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103,912 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Interest Income</w:t>
            </w:r>
          </w:p>
        </w:tc>
        <w:tc>
          <w:tcPr>
            <w:tcW w:w="15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22,400 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20,243 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6"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4316"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4316"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4316"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4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Income/(Loss)</w:t>
            </w:r>
          </w:p>
        </w:tc>
        <w:tc>
          <w:tcPr>
            <w:tcW w:w="15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2,874 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2,874 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6"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4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Management fee to affiliate</w:t>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Non-investment related expenses</w:t>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related expenses</w:t>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 related expenses</w:t>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Expenses</w:t>
            </w:r>
          </w:p>
        </w:tc>
        <w:tc>
          <w:tcPr>
            <w:tcW w:w="15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4,315 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8,929 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Income/(loss) before equity in earnings/(loss) from affiliates</w:t>
            </w:r>
          </w:p>
        </w:tc>
        <w:tc>
          <w:tcPr>
            <w:tcW w:w="15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20,959 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(6,771)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14,188 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6"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4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earnings/(loss) from affiliates</w:t>
            </w:r>
          </w:p>
        </w:tc>
        <w:tc>
          <w:tcPr>
            <w:tcW w:w="151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w:t>
            </w:r>
          </w:p>
        </w:tc>
        <w:tc>
          <w:tcPr>
            <w:tcW w:w="1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Income/(loss) before income taxes</w:t>
            </w:r>
          </w:p>
        </w:tc>
        <w:tc>
          <w:tcPr>
            <w:tcW w:w="15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20,513 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(6,771)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14,457 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6"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4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Income/(Loss)</w:t>
            </w:r>
          </w:p>
        </w:tc>
        <w:tc>
          <w:tcPr>
            <w:tcW w:w="15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20,325 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(6,771)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14,269 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6"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4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on preferred stock</w:t>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6"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4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Income/(Loss) Available to Common Stockholders</w:t>
            </w:r>
          </w:p>
        </w:tc>
        <w:tc>
          <w:tcPr>
            <w:tcW w:w="3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20,325 </w:t>
            </w:r>
          </w:p>
        </w:tc>
        <w:tc>
          <w:tcPr>
            <w:tcW w:w="1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715 </w:t>
            </w:r>
          </w:p>
        </w:tc>
        <w:tc>
          <w:tcPr>
            <w:tcW w:w="1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(11,948)</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9,092 </w:t>
            </w:r>
          </w:p>
        </w:tc>
        <w:tc>
          <w:tcPr>
            <w:tcW w:w="1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316"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573"/>
        <w:gridCol w:w="1367"/>
        <w:gridCol w:w="1376"/>
        <w:gridCol w:w="319"/>
        <w:gridCol w:w="1199"/>
        <w:gridCol w:w="177"/>
        <w:gridCol w:w="109"/>
        <w:gridCol w:w="109"/>
        <w:gridCol w:w="109"/>
        <w:gridCol w:w="243"/>
        <w:gridCol w:w="503"/>
        <w:gridCol w:w="134"/>
        <w:gridCol w:w="109"/>
        <w:gridCol w:w="109"/>
        <w:gridCol w:w="109"/>
        <w:gridCol w:w="109"/>
        <w:gridCol w:w="109"/>
        <w:gridCol w:w="196"/>
        <w:gridCol w:w="719"/>
        <w:gridCol w:w="109"/>
        <w:gridCol w:w="109"/>
        <w:gridCol w:w="109"/>
        <w:gridCol w:w="109"/>
        <w:gridCol w:w="196"/>
        <w:gridCol w:w="736"/>
        <w:gridCol w:w="159"/>
      </w:tblGrid>
      <w:tr>
        <w:trPr/>
        <w:tc>
          <w:tcPr>
            <w:tcW w:w="1573"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1" w:type="dxa"/>
            <w:gridSpan w:val="17"/>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Three Months Ended June 30, 2025</w:t>
            </w:r>
          </w:p>
        </w:tc>
        <w:tc>
          <w:tcPr>
            <w:tcW w:w="1418" w:type="dxa"/>
            <w:gridSpan w:val="6"/>
            <w:tcBorders/>
          </w:tcPr>
          <w:p>
            <w:pPr>
              <w:pStyle w:val="TableContents"/>
              <w:bidi w:val="0"/>
              <w:spacing w:before="0" w:after="283"/>
              <w:jc w:val="left"/>
              <w:rPr>
                <w:sz w:val="4"/>
                <w:szCs w:val="4"/>
              </w:rPr>
            </w:pPr>
            <w:r>
              <w:rPr>
                <w:sz w:val="4"/>
                <w:szCs w:val="4"/>
              </w:rPr>
            </w:r>
          </w:p>
        </w:tc>
      </w:tr>
      <w:tr>
        <w:trPr/>
        <w:tc>
          <w:tcPr>
            <w:tcW w:w="4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Loans and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Arc Home</w:t>
              <w:br/>
              <w:t>(1) (2)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4316"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3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109,986 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110,865 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90,568 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93,113 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Interest Income</w:t>
            </w:r>
          </w:p>
        </w:tc>
        <w:tc>
          <w:tcPr>
            <w:tcW w:w="15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19,418 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17,752 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6"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316"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316"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316"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Income/(Loss)</w:t>
            </w:r>
          </w:p>
        </w:tc>
        <w:tc>
          <w:tcPr>
            <w:tcW w:w="15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(2,713)</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(2,713)</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6"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Management fee to affiliate</w:t>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Non-investment related expenses</w:t>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related expenses</w:t>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 related expenses</w:t>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Expenses</w:t>
            </w:r>
          </w:p>
        </w:tc>
        <w:tc>
          <w:tcPr>
            <w:tcW w:w="15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6,491 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11,299 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Income/(loss) before equity in earnings/(loss) from affiliates</w:t>
            </w:r>
          </w:p>
        </w:tc>
        <w:tc>
          <w:tcPr>
            <w:tcW w:w="15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10,214 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3,740 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6"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earnings/(loss) from affiliates</w:t>
            </w:r>
          </w:p>
        </w:tc>
        <w:tc>
          <w:tcPr>
            <w:tcW w:w="151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268 </w:t>
            </w:r>
          </w:p>
        </w:tc>
        <w:tc>
          <w:tcPr>
            <w:tcW w:w="1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1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Income/(loss) before income taxes</w:t>
            </w:r>
          </w:p>
        </w:tc>
        <w:tc>
          <w:tcPr>
            <w:tcW w:w="15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10,482 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3,971 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6"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Income/(Loss)</w:t>
            </w:r>
          </w:p>
        </w:tc>
        <w:tc>
          <w:tcPr>
            <w:tcW w:w="15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10,456 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3,945 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6"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on preferred stock</w:t>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6"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Income/(Loss) Available to Common Stockholders</w:t>
            </w:r>
          </w:p>
        </w:tc>
        <w:tc>
          <w:tcPr>
            <w:tcW w:w="3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10,456 </w:t>
            </w:r>
          </w:p>
        </w:tc>
        <w:tc>
          <w:tcPr>
            <w:tcW w:w="1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1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(11,795)</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(1,376)</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316"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51155"/>
                <wp:effectExtent l="0" t="0" r="0" b="0"/>
                <wp:wrapNone/>
                <wp:docPr id="40" name="Frame4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TPG Mortgage Investment Trust,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tbl>
      <w:tblPr>
        <w:tblW w:w="10205" w:type="dxa"/>
        <w:jc w:val="left"/>
        <w:tblInd w:w="0" w:type="dxa"/>
        <w:tblLayout w:type="fixed"/>
        <w:tblCellMar>
          <w:top w:w="28" w:type="dxa"/>
          <w:left w:w="28" w:type="dxa"/>
          <w:bottom w:w="28" w:type="dxa"/>
          <w:right w:w="28" w:type="dxa"/>
        </w:tblCellMar>
      </w:tblPr>
      <w:tblGrid>
        <w:gridCol w:w="1572"/>
        <w:gridCol w:w="1366"/>
        <w:gridCol w:w="1375"/>
        <w:gridCol w:w="319"/>
        <w:gridCol w:w="1199"/>
        <w:gridCol w:w="177"/>
        <w:gridCol w:w="109"/>
        <w:gridCol w:w="109"/>
        <w:gridCol w:w="109"/>
        <w:gridCol w:w="200"/>
        <w:gridCol w:w="571"/>
        <w:gridCol w:w="111"/>
        <w:gridCol w:w="109"/>
        <w:gridCol w:w="109"/>
        <w:gridCol w:w="109"/>
        <w:gridCol w:w="109"/>
        <w:gridCol w:w="109"/>
        <w:gridCol w:w="196"/>
        <w:gridCol w:w="719"/>
        <w:gridCol w:w="109"/>
        <w:gridCol w:w="109"/>
        <w:gridCol w:w="109"/>
        <w:gridCol w:w="109"/>
        <w:gridCol w:w="196"/>
        <w:gridCol w:w="736"/>
        <w:gridCol w:w="160"/>
      </w:tblGrid>
      <w:tr>
        <w:trPr/>
        <w:tc>
          <w:tcPr>
            <w:tcW w:w="1572"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3" w:type="dxa"/>
            <w:gridSpan w:val="17"/>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Six Months Ended June 30, 2026</w:t>
            </w:r>
          </w:p>
        </w:tc>
        <w:tc>
          <w:tcPr>
            <w:tcW w:w="1419" w:type="dxa"/>
            <w:gridSpan w:val="6"/>
            <w:tcBorders/>
          </w:tcPr>
          <w:p>
            <w:pPr>
              <w:pStyle w:val="TableContents"/>
              <w:bidi w:val="0"/>
              <w:spacing w:before="0" w:after="283"/>
              <w:jc w:val="left"/>
              <w:rPr>
                <w:sz w:val="4"/>
                <w:szCs w:val="4"/>
              </w:rPr>
            </w:pPr>
            <w:r>
              <w:rPr>
                <w:sz w:val="4"/>
                <w:szCs w:val="4"/>
              </w:rPr>
            </w:r>
          </w:p>
        </w:tc>
      </w:tr>
      <w:tr>
        <w:trPr/>
        <w:tc>
          <w:tcPr>
            <w:tcW w:w="4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Loans and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Arc Home</w:t>
              <w:br/>
              <w:t>(1) (2)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4313"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4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3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253,159 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253,963 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207,951 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213,077 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Interest Income</w:t>
            </w:r>
          </w:p>
        </w:tc>
        <w:tc>
          <w:tcPr>
            <w:tcW w:w="15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45,208 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40,886 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3"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4313"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4313"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4313"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4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Income/(Loss)</w:t>
            </w:r>
          </w:p>
        </w:tc>
        <w:tc>
          <w:tcPr>
            <w:tcW w:w="15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(13,302)</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(13,302)</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3"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4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Management fee to affiliate</w:t>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Non-investment related expenses</w:t>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related expenses</w:t>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8,518 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8,518 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 related expenses</w:t>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Expenses</w:t>
            </w:r>
          </w:p>
        </w:tc>
        <w:tc>
          <w:tcPr>
            <w:tcW w:w="15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8,987 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18,776 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Income/(loss) before equity in earnings/(loss) from affiliates</w:t>
            </w:r>
          </w:p>
        </w:tc>
        <w:tc>
          <w:tcPr>
            <w:tcW w:w="15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22,919 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(14,111)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8,808 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3"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4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earnings/(loss) from affiliates</w:t>
            </w:r>
          </w:p>
        </w:tc>
        <w:tc>
          <w:tcPr>
            <w:tcW w:w="151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(758)</w:t>
            </w:r>
          </w:p>
        </w:tc>
        <w:tc>
          <w:tcPr>
            <w:tcW w:w="1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3,027 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2,269 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Income/(loss) before income taxes</w:t>
            </w:r>
          </w:p>
        </w:tc>
        <w:tc>
          <w:tcPr>
            <w:tcW w:w="15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22,161 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3,027 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(14,111)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11,077 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3"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4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Income/(Loss)</w:t>
            </w:r>
          </w:p>
        </w:tc>
        <w:tc>
          <w:tcPr>
            <w:tcW w:w="15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21,791 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3,027 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(14,111)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10,707 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3"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4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on preferred stock</w:t>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10,330 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3"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4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Income/(Loss) Available to Common Stockholders</w:t>
            </w:r>
          </w:p>
        </w:tc>
        <w:tc>
          <w:tcPr>
            <w:tcW w:w="3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21,791 </w:t>
            </w:r>
          </w:p>
        </w:tc>
        <w:tc>
          <w:tcPr>
            <w:tcW w:w="1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3,027 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(24,441)</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377 </w:t>
            </w:r>
          </w:p>
        </w:tc>
        <w:tc>
          <w:tcPr>
            <w:tcW w:w="1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313"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572"/>
        <w:gridCol w:w="1366"/>
        <w:gridCol w:w="1375"/>
        <w:gridCol w:w="319"/>
        <w:gridCol w:w="1199"/>
        <w:gridCol w:w="177"/>
        <w:gridCol w:w="109"/>
        <w:gridCol w:w="109"/>
        <w:gridCol w:w="109"/>
        <w:gridCol w:w="200"/>
        <w:gridCol w:w="571"/>
        <w:gridCol w:w="111"/>
        <w:gridCol w:w="109"/>
        <w:gridCol w:w="109"/>
        <w:gridCol w:w="109"/>
        <w:gridCol w:w="109"/>
        <w:gridCol w:w="109"/>
        <w:gridCol w:w="196"/>
        <w:gridCol w:w="719"/>
        <w:gridCol w:w="109"/>
        <w:gridCol w:w="109"/>
        <w:gridCol w:w="109"/>
        <w:gridCol w:w="109"/>
        <w:gridCol w:w="196"/>
        <w:gridCol w:w="736"/>
        <w:gridCol w:w="160"/>
      </w:tblGrid>
      <w:tr>
        <w:trPr/>
        <w:tc>
          <w:tcPr>
            <w:tcW w:w="1572"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3" w:type="dxa"/>
            <w:gridSpan w:val="17"/>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Six Months Ended June 30, 2025</w:t>
            </w:r>
          </w:p>
        </w:tc>
        <w:tc>
          <w:tcPr>
            <w:tcW w:w="1419" w:type="dxa"/>
            <w:gridSpan w:val="6"/>
            <w:tcBorders/>
          </w:tcPr>
          <w:p>
            <w:pPr>
              <w:pStyle w:val="TableContents"/>
              <w:bidi w:val="0"/>
              <w:spacing w:before="0" w:after="283"/>
              <w:jc w:val="left"/>
              <w:rPr>
                <w:sz w:val="4"/>
                <w:szCs w:val="4"/>
              </w:rPr>
            </w:pPr>
            <w:r>
              <w:rPr>
                <w:sz w:val="4"/>
                <w:szCs w:val="4"/>
              </w:rPr>
            </w:r>
          </w:p>
        </w:tc>
      </w:tr>
      <w:tr>
        <w:trPr/>
        <w:tc>
          <w:tcPr>
            <w:tcW w:w="4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Loans and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Arc Home</w:t>
              <w:br/>
              <w:t>(1) (2)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43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218,038 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219,995 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178,309 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183,394 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Interest Income</w:t>
            </w:r>
          </w:p>
        </w:tc>
        <w:tc>
          <w:tcPr>
            <w:tcW w:w="151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39,729 </w:t>
            </w:r>
          </w:p>
        </w:tc>
        <w:tc>
          <w:tcPr>
            <w:tcW w:w="1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36,601 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3"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4313"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4313"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4313"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4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Income/(Loss)</w:t>
            </w:r>
          </w:p>
        </w:tc>
        <w:tc>
          <w:tcPr>
            <w:tcW w:w="151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(1,164)</w:t>
            </w:r>
          </w:p>
        </w:tc>
        <w:tc>
          <w:tcPr>
            <w:tcW w:w="1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(1,164)</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3"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4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Management fee to affiliate</w:t>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Non-investment related expenses</w:t>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5,787 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related expenses</w:t>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 related expenses</w:t>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Expenses</w:t>
            </w:r>
          </w:p>
        </w:tc>
        <w:tc>
          <w:tcPr>
            <w:tcW w:w="151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10,962 </w:t>
            </w:r>
          </w:p>
        </w:tc>
        <w:tc>
          <w:tcPr>
            <w:tcW w:w="1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10,415 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21,377 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Income/(loss) before equity in earnings/(loss) from affiliates</w:t>
            </w:r>
          </w:p>
        </w:tc>
        <w:tc>
          <w:tcPr>
            <w:tcW w:w="151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27,603 </w:t>
            </w:r>
          </w:p>
        </w:tc>
        <w:tc>
          <w:tcPr>
            <w:tcW w:w="1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(13,543)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14,060 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3"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4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earnings/(loss) from affiliates</w:t>
            </w:r>
          </w:p>
        </w:tc>
        <w:tc>
          <w:tcPr>
            <w:tcW w:w="15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1,339 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1,416 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Income/(loss) before income taxes</w:t>
            </w:r>
          </w:p>
        </w:tc>
        <w:tc>
          <w:tcPr>
            <w:tcW w:w="151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27,680 </w:t>
            </w:r>
          </w:p>
        </w:tc>
        <w:tc>
          <w:tcPr>
            <w:tcW w:w="1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1,339 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(13,543)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15,476 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3"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4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Income/(Loss)</w:t>
            </w:r>
          </w:p>
        </w:tc>
        <w:tc>
          <w:tcPr>
            <w:tcW w:w="151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27,626 </w:t>
            </w:r>
          </w:p>
        </w:tc>
        <w:tc>
          <w:tcPr>
            <w:tcW w:w="1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1,339 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(13,543)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15,422 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3"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4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on preferred stock</w:t>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10,625 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3"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4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Income/(Loss) Available to Common Stockholders</w:t>
            </w:r>
          </w:p>
        </w:tc>
        <w:tc>
          <w:tcPr>
            <w:tcW w:w="3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27,626 </w:t>
            </w:r>
          </w:p>
        </w:tc>
        <w:tc>
          <w:tcPr>
            <w:tcW w:w="1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1,339 </w:t>
            </w:r>
          </w:p>
        </w:tc>
        <w:tc>
          <w:tcPr>
            <w:tcW w:w="1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(24,168)</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4,797 </w:t>
            </w:r>
          </w:p>
        </w:tc>
        <w:tc>
          <w:tcPr>
            <w:tcW w:w="1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313"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(1)Net Income/(loss) recognized by AG Arc does not include the Company's portion of gains or losses recorded by Arc Home in connection with the sale of residential mortgage loans to the Company. Refer to Note 10 for more information on this accounting policy.</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(2)During the three months ended June 30, 2026, the Company recorded an unrealized gain/(loss) on its investment in AG Arc of $(0.3) million. During the three months ended June 30, 2025, the Company did not record any unrealized gain/(loss) during the period. For the six months ended June 30, 2026 and 2025, the Company recorded an unrealized gain/(loss) on its investment in AG Arc of $0.9 million and $1.4 million,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51155"/>
                <wp:effectExtent l="0" t="0" r="0" b="0"/>
                <wp:wrapNone/>
                <wp:docPr id="41" name="Frame4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TPG Mortgage Investment Trust,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Company's assets, liabilities, and stockholders' equity by reportable segment as of June 30, 2026 and December 31, 2025, which reconciles to the total assets, liabilities, and stockholders' equity of the Company on a consolidated basis (in thousands). </w:t>
      </w:r>
    </w:p>
    <w:tbl>
      <w:tblPr>
        <w:tblW w:w="8027" w:type="dxa"/>
        <w:jc w:val="left"/>
        <w:tblInd w:w="0" w:type="dxa"/>
        <w:tblLayout w:type="fixed"/>
        <w:tblCellMar>
          <w:top w:w="28" w:type="dxa"/>
          <w:left w:w="28" w:type="dxa"/>
          <w:bottom w:w="28" w:type="dxa"/>
          <w:right w:w="28" w:type="dxa"/>
        </w:tblCellMar>
      </w:tblPr>
      <w:tblGrid>
        <w:gridCol w:w="720"/>
        <w:gridCol w:w="636"/>
        <w:gridCol w:w="639"/>
        <w:gridCol w:w="285"/>
        <w:gridCol w:w="1267"/>
        <w:gridCol w:w="158"/>
        <w:gridCol w:w="109"/>
        <w:gridCol w:w="109"/>
        <w:gridCol w:w="109"/>
        <w:gridCol w:w="196"/>
        <w:gridCol w:w="646"/>
        <w:gridCol w:w="109"/>
        <w:gridCol w:w="109"/>
        <w:gridCol w:w="109"/>
        <w:gridCol w:w="109"/>
        <w:gridCol w:w="109"/>
        <w:gridCol w:w="109"/>
        <w:gridCol w:w="196"/>
        <w:gridCol w:w="646"/>
        <w:gridCol w:w="109"/>
        <w:gridCol w:w="109"/>
        <w:gridCol w:w="109"/>
        <w:gridCol w:w="109"/>
        <w:gridCol w:w="196"/>
        <w:gridCol w:w="871"/>
        <w:gridCol w:w="154"/>
      </w:tblGrid>
      <w:tr>
        <w:trPr/>
        <w:tc>
          <w:tcPr>
            <w:tcW w:w="720"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Loans and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Arc Home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June 30, 2026</w:t>
            </w:r>
          </w:p>
        </w:tc>
        <w:tc>
          <w:tcPr>
            <w:tcW w:w="17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7,825,705 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7,935,584 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7,278,814 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7,389,580 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1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546,891 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546,004 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December 31, 2025</w:t>
            </w:r>
          </w:p>
        </w:tc>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8,600,220 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8,711,530 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8,039,534 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8,150,796 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1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560,686 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560,734 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14. Subsequent Events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announced that on July 30, 2026, its Board of Directors declared second quarter 2026 preferred stock dividends on its Series A Preferred Stock, Series B Preferred Stock, and Series C Preferred Stock in the amount of $0.51563, $0.50 and $0.664786 per share, respectively. The dividends will be paid on September 17, 2026 to holders of record on August 31,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Proposed Cherry Hill Mortgage Investment Corporation Merger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previously announced, the Company entered into an Agreement and Plan of Merger, dated as of August 9, 2026 (the “Merger Agreement”), with Cherry Hill Mortgage Investment Corporation, a Maryland corporation (“CHMI”), Cherry Hill Operating Partnership, LP, a Delaware limited partnership, MIT Merger Sub II, LLC, a Delaware limited liability company and wholly owned subsidiary of the Company (“Merger Sub”), and, solely for the limited purposes set forth in the Merger Agreement, the Manager. Pursuant to, and subject to the terms and conditions set forth in, the Merger Agreement, CHMI will merge with and into Merger Sub, with Merger Sub surviving (the “Merger”).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Under the terms of the Merger Agreement, at the effective time of the Merger (the “Effective Time”), each outstanding share of CHMI common stock will be converted into the right to receive the following (the “Per Share Merger Consideration”): (1)(a) 0.3063 shares of the Company’s common stock pursuant to a fixed exchange ratio and (b) $0.41 per share in cash, without interest, from the Company; and (2) $0.52 per share in cash from the Manager (acting solely on its own behalf), as additional consideration. In addition, each share of CHMI 8.20% Series A Cumulative Redeemable Preferred Stock outstanding immediately prior to the Effective Time shall be converted into the right to receive one newly issued share of MITT 8.20% Series D Cumulative Redeemable Preferred Stock (“MITT Series D Preferred Stock”). Also, each share of CHMI 8.250% Series B Fixed-to-Floating Rate Cumulative Redeemable Preferred Stock outstanding immediately prior to the Effective Time shall automatically be converted into the right to receive one newly issued share of MITT Series E Floating Rate Cumulative Redeemable Preferred Stock (“MITT Series E Preferred Stock”). The MITT Series D Preferred Stock and MITT Series E Preferred Stock shall have the rights, preferences, privileges and voting powers substantially the same as those of the CHMI Series A Preferred Stock and CHMI Series B Preferred Stock,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the Merger Agreement, the Company has agreed to take all necessary corporate action so that upon and after the Effective Time, the size of the Company’s board of directors is increased by two members, and the members of the CHMI board of directors designated by CHMI to serve on the Company’s board of directors (“CHMI Director Designees”) are appointed to the Company’s board of directors. The Company has further agreed to nominate the CHMI Director Designees to the Company’s board of directors at the next annual meeting following the Effective Time.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Merger is expected to close in the fourth quarter of 2026, subject to the respective approvals by the Company's stockholders and CHMI’s stockholders and other customary closing conditions set forth in the Merger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execution of the Merger Agreement, AG MIT, LLC, a subsidiary of the Company, also entered into a Voting and Support Agreement with CHMI (the “Voting Agreement”). Pursuant to the Voting Agreement, among other things,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51155"/>
                <wp:effectExtent l="0" t="0" r="0" b="0"/>
                <wp:wrapNone/>
                <wp:docPr id="42" name="Frame4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TPG Mortgage Investment Trust,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AG MIT, LLC agreed to vote all shares of CHMI common stock owned of record or beneficially held by AG MIT, LLC, consisting of 734,800 shares, in favor of the approval of the Merger Agreement and the Merger, subject to the terms thereof.</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Contemporaneously with the execution of the Merger Agreement, and in consideration of the Manager’s approximate $20 million cash payment to CHMI stockholders in the Merger, the Company and the Manager entered into an amendment (the “MITT Management Agreement Amendment”) to the existing MITT Management Agreement, as amended on April 6, 2020, September 24, 2020, November 22, 2021, and August 8, 2023 (as amended, the “Existing MITT Management Agreement”). The MITT Management Agreement Amendment will become effective automatically upon the closing of the Merger, and will have no force and effect if the Merger does not close. The MITT Management Agreement Amendment makes certain changes to the Existing MITT Management Agreement, including, (i) updating the calculation of the “Equity Hurdle Base” to be based on the Company’s book value immediately after the Effective Time, (ii) updating the income component of the incentive fee from “Adjusted Net Income” to “Earnings Available for Distribution”, (iii) updating the calculation mechanics of the incentive fee to a rolling four quarter basis, (iv) providing that no incentive fee shall be payable with respect to any calendar quarter unless Earnings Available for Distribution for the twelve most recently completed calendar quarters is greater than zero, (v) that the termination fee will be three times the sum of the average annual base management fee and the average annual incentive fee during the prior 24-month period, and (vi) providing that the incentive fee will be calculated quarterly and payable annually. The incentive fee will continue to be payable in cash, or, at the option of the Company’s board of directors, shares of the Company’s common stock or a combination of cash and shares, provided that no more than 50% of the incentive fee may be paid in shares of the Company’s common stock without the Manager’s consent.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All other terms and conditions of the Existing MITT Management Agreement remain substantially the same.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51155"/>
                <wp:effectExtent l="0" t="0" r="0" b="0"/>
                <wp:wrapNone/>
                <wp:docPr id="43" name="Frame4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In this quarterly report on Form 10-Q, or this "report," we refer to TPG Mortgage Investment Trust, Inc. and its wholly-owned subsidiaries as "we," "us," the "Company," or "our," unless we specifically state otherwise or the context indicates otherwise. We refer to our external manager, AG REIT Management, LLC, as our "Manager," we refer to the direct parent company of our Manager, Angelo, Gordon &amp; Co., L.P., as "TPG Angelo Gordon", and we refer to the parent company of TPG Angelo Gordon, TPG Inc., as “TPG.”</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discussion contains forward looking statements and should be read in conjunction with our consolidated financial statements and the accompanying notes to our consolidated financial statements, which are included in Item 1 of this report, as well as the information contained in our Annual Report on Form 10-K for the year ended December 31, 2025, and any subsequent filings.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51155"/>
                <wp:effectExtent l="0" t="0" r="0" b="0"/>
                <wp:wrapNone/>
                <wp:docPr id="44" name="Frame4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make forward-looking statements within the meaning of Section 27A of the Securities Act of 1933, as amended (the "Securities Act"), and Section 21E of the Securities Exchange Act of 1934, as amended (the "Exchange Act"), in this report that are subject to substantial known and unknown risks and uncertainties. These forward-looking statements include information about possible or assumed future results of our business, financial condition, liquidity, returns, results of operations, plans, yields, objectives, the composition of our portfolio, actions by governmental entities, including the Federal Reserve, and the potential effects of actual and proposed legislation on us, and our views on certain macroeconomic trends. When we use the words "believe," "expect," "anticipate," "estimate," "plan," "continue," "remain," "intend," "should," "could," "will," "may" or similar expressions, we intend to identify forward-looking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These forward-looking statements are based upon information presently available to our management and are inherently subjective, uncertain and subject to change. There can be no assurance that actual results will not differ materially from our expectations. Some, but not all, of the factors that might cause such a difference include, without limitation: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persistence of labor shortages, supply chain imbalances, changes in trade policies and tariffs, conflict involving the U.S. and the Middle East, the Russia-Ukraine conflict, inflation, and the potential for an economic recession and market disruptions;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our business and investment strategy;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predict and control costs;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interest rates and the fair value of our assets, including negative changes resulting in margin calls relating to the financing of our assets;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changes in the yield curve;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changes in prepayment rates on the loans we own or that underlie our investment securities;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regulatory and structural changes in the residential loan market and its impact on non-agency mortgage markets;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increased rates of default or delinquencies and/or decreased recovery rates on our assets;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ability to obtain and maintain financing arrangements on terms favorable to us or at all;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ability to enter into, or refinance, securitization transactions on the terms and pace anticipated or at all;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degree to which our hedging strategies may or may not protect us from interest rate and credit risk volatility;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general economic conditions, in our industry and in the finance and real estate markets, including the impact on the value of our assets;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conditions in the market for residential mortgage investments and Agency RMBS;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conditions in the market for commercial investments, including the Company's ability to successfully realize the commercial investments acquired from Western Asset Mortgage Capital Corporation ("WMC") within the timeframe anticipated or at all;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legislative and regulatory actions by the U.S. Congress, U.S. Department of the Treasury, the Federal Reserve and other agencies and instrumentalities;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make distributions to our stockholders in the future;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ability to maintain our qualification as a REIT for federal tax purposes;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qualify for an exemption from registration under the Investment Company Act of 1940, as amended (the "Investment Company Act");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successfully complete our proposed merger with Cherry Hill Mortgage Investment Corporation and/or realize all of the expected benefits or that such benefits may take longer to realize than expected (including because we incur significant costs associated with such merger).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caution investors not to rely unduly on any forward-looking statements, which speak only as of the date made, and urge you to carefully consider the risks noted above and identified under the captions "Risk Factors," and "Management’s Discussion and Analysis of Financial Condition and Results of Operations" in our Annual Report on Form 10-K for the year ended December 31, 2025 and any subsequent filings. New risks and uncertainties arise from time to time, and it is impossible for us to predict those events or how they may affect us. Except as required by law, we are not obligated to, and do not intend to, update or revise any forward-looking statements, whether as a result of new information, future events or otherwise. All forward-looking statements that we make, or that are attributable to us, are expressly qualified by this cautionary notice.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51155"/>
                <wp:effectExtent l="0" t="0" r="0" b="0"/>
                <wp:wrapNone/>
                <wp:docPr id="45" name="Frame4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Second Quarter 2026 Executive Summary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Financial Highlights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$10.00 Book Value per share;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$0.29 of Net Income/(Loss) Available to Common Stockholders per diluted common share and $0.24 of Earnings Available for Distribution ("EAD") per diluted common share;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Refer to the "Earnings Available for Distribution" section below for further details related to our reconciliation of Net Income/(Loss) Available to Common Stockholders to EAD;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13.4x GAAP Leverage Ratio and 1.8x Economic Leverage Ratio;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$0.24 dividend per common share declared in the second quarter 2026.</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Investment Activity</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table below summarizes the fair value of purchases and proceeds from sales of investments during the quarter ended June 30, 2026 (in thousands).</w:t>
      </w:r>
    </w:p>
    <w:tbl>
      <w:tblPr>
        <w:tblW w:w="4715" w:type="dxa"/>
        <w:jc w:val="center"/>
        <w:tblInd w:w="0" w:type="dxa"/>
        <w:tblLayout w:type="fixed"/>
        <w:tblCellMar>
          <w:top w:w="28" w:type="dxa"/>
          <w:left w:w="28" w:type="dxa"/>
          <w:bottom w:w="28" w:type="dxa"/>
          <w:right w:w="28" w:type="dxa"/>
        </w:tblCellMar>
      </w:tblPr>
      <w:tblGrid>
        <w:gridCol w:w="732"/>
        <w:gridCol w:w="643"/>
        <w:gridCol w:w="649"/>
        <w:gridCol w:w="109"/>
        <w:gridCol w:w="109"/>
        <w:gridCol w:w="109"/>
        <w:gridCol w:w="196"/>
        <w:gridCol w:w="736"/>
        <w:gridCol w:w="109"/>
        <w:gridCol w:w="109"/>
        <w:gridCol w:w="109"/>
        <w:gridCol w:w="109"/>
        <w:gridCol w:w="196"/>
        <w:gridCol w:w="646"/>
        <w:gridCol w:w="154"/>
      </w:tblGrid>
      <w:tr>
        <w:trPr/>
        <w:tc>
          <w:tcPr>
            <w:tcW w:w="732"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Purchases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Sales</w:t>
            </w:r>
          </w:p>
        </w:tc>
      </w:tr>
      <w:tr>
        <w:trPr/>
        <w:tc>
          <w:tcPr>
            <w:tcW w:w="202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Non-Agency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25,585 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Re/Non-Performing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Home Equity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Non-Agency RMBS</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Agency RMBS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107,884 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26,853 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(1)During the quarter, we partnered with private funds managed by TPG to execute two rated securitizations collateralized by $429.6 million and $333.4 million of Non-Agency Loans, respectively. As the co-sponsor, we retained an "eligible vertical interest" to comply with risk retention rules which consists of retaining at least 5% of each class of securities issued in the securitizations. Upon evaluating our retained interest in the securitization trusts, we determined we were not the primary beneficiary and, as a result, did not consolidate the securitization trusts, which resulted in us recording an investment in Non-Agency RMBS.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Financing Activity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Pledged certain Home Equity Loans with a fair value of $63.5 million in which we have no outstanding financing but have $50 million of available financing which is contractually committed as of June 30, 2026;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Amended a financing arrangement to convert financing on our residential mortgage loans with a total borrowing capacity of $300 million from financing with mark-to-market margin calls to financing without mark-to-market margin calls.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Our company</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are a residential mortgage REIT with a focus on investing in a diversified risk-adjusted portfolio of residential mortgage-related assets in the U.S. mortgage market. Our objective is to provide attractive risk-adjusted returns to our stockholders over the long-term, primarily through dividends and capital appreciation.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focus our investment activities primarily on acquiring and securitizing newly-originated residential mortgage loans within the non-agency segment of the housing market. We obtain our assets through Arc Home, LLC ("Arc Home"), our residential mortgage loan originator in which we own an approximate 66.0% interest as of June 30, 2026, and through other third-party origination partners. We finance our acquired loans through various financing lines on a short-term basis and utilize TPG's proprietary securitization platform to secure long-term, non-recourse, non-mark-to-market financing as market conditions permit. Through our ownership in Arc Home, we also have exposure to mortgage banking activities. Arc Home is a multi-channel licensed mortgage originator and servicer primarily engaged in the business of originating and selling residential mortgage loans while retaining the mortgage servicing rights associated with certain loans that it originates.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investment portfolio (which excludes our ownership in Arc Home) primarily includes Residential Investments and Agency RMBS. Currently, our Residential Investments primarily consist of Non-Agency Loans, Agency-Eligible Loans, Home Equity Loans and Non-Agency RMBS collateralized by these loan types, which we refer to as our target assets. In addition, we may also invest in other types of residential mortgage loans and other mortgage related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51155"/>
                <wp:effectExtent l="0" t="0" r="0" b="0"/>
                <wp:wrapNone/>
                <wp:docPr id="46" name="Frame4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2026, our investment portfolio consisted of the following Residential Investments and Agency RMBS: </w:t>
      </w:r>
    </w:p>
    <w:tbl>
      <w:tblPr>
        <w:tblW w:w="10205" w:type="dxa"/>
        <w:jc w:val="left"/>
        <w:tblInd w:w="0" w:type="dxa"/>
        <w:tblLayout w:type="fixed"/>
        <w:tblCellMar>
          <w:top w:w="28" w:type="dxa"/>
          <w:left w:w="28" w:type="dxa"/>
          <w:bottom w:w="28" w:type="dxa"/>
          <w:right w:w="28" w:type="dxa"/>
        </w:tblCellMar>
      </w:tblPr>
      <w:tblGrid>
        <w:gridCol w:w="786"/>
        <w:gridCol w:w="423"/>
        <w:gridCol w:w="430"/>
        <w:gridCol w:w="109"/>
        <w:gridCol w:w="109"/>
        <w:gridCol w:w="109"/>
        <w:gridCol w:w="2402"/>
        <w:gridCol w:w="2402"/>
        <w:gridCol w:w="3435"/>
      </w:tblGrid>
      <w:tr>
        <w:trPr/>
        <w:tc>
          <w:tcPr>
            <w:tcW w:w="78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2" w:type="dxa"/>
            <w:tcBorders/>
            <w:vAlign w:val="center"/>
          </w:tcPr>
          <w:p>
            <w:pPr>
              <w:pStyle w:val="TableContents"/>
              <w:bidi w:val="0"/>
              <w:spacing w:before="0" w:after="283"/>
              <w:jc w:val="left"/>
              <w:rPr>
                <w:sz w:val="4"/>
                <w:szCs w:val="4"/>
              </w:rPr>
            </w:pPr>
            <w:r>
              <w:rPr>
                <w:sz w:val="4"/>
                <w:szCs w:val="4"/>
              </w:rPr>
            </w:r>
          </w:p>
        </w:tc>
        <w:tc>
          <w:tcPr>
            <w:tcW w:w="2402" w:type="dxa"/>
            <w:tcBorders/>
            <w:vAlign w:val="center"/>
          </w:tcPr>
          <w:p>
            <w:pPr>
              <w:pStyle w:val="TableContents"/>
              <w:bidi w:val="0"/>
              <w:spacing w:before="0" w:after="283"/>
              <w:jc w:val="left"/>
              <w:rPr>
                <w:sz w:val="4"/>
                <w:szCs w:val="4"/>
              </w:rPr>
            </w:pPr>
            <w:r>
              <w:rPr>
                <w:sz w:val="4"/>
                <w:szCs w:val="4"/>
              </w:rPr>
            </w:r>
          </w:p>
        </w:tc>
        <w:tc>
          <w:tcPr>
            <w:tcW w:w="3435" w:type="dxa"/>
            <w:tcBorders/>
            <w:vAlign w:val="center"/>
          </w:tcPr>
          <w:p>
            <w:pPr>
              <w:pStyle w:val="TableContents"/>
              <w:bidi w:val="0"/>
              <w:spacing w:before="0" w:after="283"/>
              <w:jc w:val="left"/>
              <w:rPr>
                <w:sz w:val="4"/>
                <w:szCs w:val="4"/>
              </w:rPr>
            </w:pPr>
            <w:r>
              <w:rPr>
                <w:sz w:val="4"/>
                <w:szCs w:val="4"/>
              </w:rPr>
            </w:r>
          </w:p>
        </w:tc>
      </w:tr>
      <w:tr>
        <w:trPr/>
        <w:tc>
          <w:tcPr>
            <w:tcW w:w="1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63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Residential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Non-Agency Loans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9"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hanging="180"/>
              <w:jc w:val="both"/>
              <w:rPr/>
            </w:pPr>
            <w:r>
              <w:rPr>
                <w:color w:val="000000"/>
              </w:rPr>
              <w:t>•</w:t>
            </w:r>
            <w:r>
              <w:rPr>
                <w:rFonts w:ascii="Times New Roman;serif" w:hAnsi="Times New Roman;serif"/>
                <w:b w:val="false"/>
                <w:color w:val="000000"/>
                <w:sz w:val="20"/>
              </w:rPr>
              <w:t>Non-Agency Loans are loans that do not conform to the underwriting guidelines of a government-sponsored enterprise ("GSE"). Non-Agency Loans consist of Qualified mortgage loans ("QM Loans") and Non-Qualified mortgage loans ("Non-QM Loans") which are collateralized by a first lien mortgaged property. QM Loans are residential mortgage loans that comply with the Ability-To-Repay rules and related guidelines of the Consumer Financial Protection Bureau.</w:t>
            </w:r>
          </w:p>
        </w:tc>
      </w:tr>
      <w:tr>
        <w:trPr/>
        <w:tc>
          <w:tcPr>
            <w:tcW w:w="16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Agency-Eligible Loans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both"/>
              <w:rPr/>
            </w:pPr>
            <w:r>
              <w:rPr>
                <w:color w:val="000000"/>
              </w:rPr>
              <w:t>•</w:t>
            </w:r>
            <w:r>
              <w:rPr>
                <w:rFonts w:ascii="Times New Roman;serif" w:hAnsi="Times New Roman;serif"/>
                <w:b w:val="false"/>
                <w:color w:val="000000"/>
                <w:sz w:val="20"/>
              </w:rPr>
              <w:t>Agency-Eligible Loans are loans that are collateralized by a first lien mortgaged property and are primarily secured by investment properties. These loans are underwritten in accordance with GSE guidelines, but are not guaranteed by a GSE. Although these loans are underwritten in accordance with GSE guidelines and can be delivered to Fannie Mae and Freddie Mac, the Company includes these loans within its Non-Agency securitizations.</w:t>
            </w:r>
          </w:p>
        </w:tc>
      </w:tr>
      <w:tr>
        <w:trPr/>
        <w:tc>
          <w:tcPr>
            <w:tcW w:w="16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Home Equity Loans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both"/>
              <w:rPr/>
            </w:pPr>
            <w:r>
              <w:rPr>
                <w:color w:val="000000"/>
              </w:rPr>
              <w:t>•</w:t>
            </w:r>
            <w:r>
              <w:rPr>
                <w:rFonts w:ascii="Times New Roman;serif" w:hAnsi="Times New Roman;serif"/>
                <w:b w:val="false"/>
                <w:color w:val="000000"/>
                <w:sz w:val="20"/>
              </w:rPr>
              <w:t>Home Equity Loans consist of revolving lines of credit and closed-end loans secured primarily by second liens on residential mortgaged properties. These products provide borrowers with access to home equity without requiring the payoff of an existing mortgage. Revolving lines of credit generally feature an initial draw period of 3 to 5 years, after which the balances convert to 15- or 25-year amortizing loans. Closed-end home equity loans are primarily fixed-rate obligations where the full principal amount is funded at origination and repaid through a fully amortizing schedule with original terms to maturity ranging from 10 to 30 years.</w:t>
            </w:r>
          </w:p>
        </w:tc>
      </w:tr>
      <w:tr>
        <w:trPr/>
        <w:tc>
          <w:tcPr>
            <w:tcW w:w="16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 and Non-Performing Loans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both"/>
              <w:rPr/>
            </w:pPr>
            <w:r>
              <w:rPr>
                <w:color w:val="000000"/>
              </w:rPr>
              <w:t>•</w:t>
            </w:r>
            <w:r>
              <w:rPr>
                <w:rFonts w:ascii="Times New Roman;serif" w:hAnsi="Times New Roman;serif"/>
                <w:b w:val="false"/>
                <w:color w:val="000000"/>
                <w:sz w:val="20"/>
              </w:rPr>
              <w:t>Performing, re-performing, and non-performing loans are residential mortgage loans collateralized by a first lien mortgaged property.</w:t>
            </w:r>
          </w:p>
        </w:tc>
      </w:tr>
      <w:tr>
        <w:trPr/>
        <w:tc>
          <w:tcPr>
            <w:tcW w:w="16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Non-Agency RMBS</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both"/>
              <w:rPr/>
            </w:pPr>
            <w:r>
              <w:rPr>
                <w:color w:val="000000"/>
              </w:rPr>
              <w:t>•</w:t>
            </w:r>
            <w:r>
              <w:rPr>
                <w:rFonts w:ascii="Times New Roman;serif" w:hAnsi="Times New Roman;serif"/>
                <w:b w:val="false"/>
                <w:color w:val="000000"/>
                <w:sz w:val="20"/>
              </w:rPr>
              <w:t>Non-Agency Residential Mortgage-Backed Securities ("RMBS") represent fixed- and floating-rate RMBS issued by entities other than U.S. GSEs or agencies of the U.S. government. Non-Agency RMBS are primarily secured by Non-QM, Agency-Eligible, Home Equity, and Prime Jumbo Loans.</w:t>
            </w:r>
          </w:p>
        </w:tc>
      </w:tr>
      <w:tr>
        <w:trPr/>
        <w:tc>
          <w:tcPr>
            <w:tcW w:w="16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Agency RMBS</w:t>
            </w:r>
            <w:r>
              <w:rPr>
                <w:rFonts w:ascii="Times New Roman;serif" w:hAnsi="Times New Roman;serif"/>
                <w:b/>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both"/>
              <w:rPr/>
            </w:pPr>
            <w:r>
              <w:rPr>
                <w:color w:val="000000"/>
              </w:rPr>
              <w:t>•</w:t>
            </w:r>
            <w:r>
              <w:rPr>
                <w:rFonts w:ascii="Times New Roman;serif" w:hAnsi="Times New Roman;serif"/>
                <w:b w:val="false"/>
                <w:color w:val="000000"/>
                <w:sz w:val="20"/>
              </w:rPr>
              <w:t>Agency RMBS represent interests in pools of residential mortgage loans guaranteed by a GSE such as Fannie Mae or Freddie Mac, or an agency of the U.S. Government such as Ginnie Mae.</w:t>
            </w:r>
          </w:p>
        </w:tc>
      </w:tr>
      <w:tr>
        <w:trPr/>
        <w:tc>
          <w:tcPr>
            <w:tcW w:w="1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9" w:type="dxa"/>
            <w:gridSpan w:val="3"/>
            <w:tcBorders/>
            <w:vAlign w:val="center"/>
          </w:tcPr>
          <w:p>
            <w:pPr>
              <w:pStyle w:val="TableContents"/>
              <w:bidi w:val="0"/>
              <w:spacing w:before="0" w:after="283"/>
              <w:jc w:val="left"/>
              <w:rPr>
                <w:sz w:val="4"/>
                <w:szCs w:val="4"/>
              </w:rPr>
            </w:pPr>
            <w:r>
              <w:rPr>
                <w:sz w:val="4"/>
                <w:szCs w:val="4"/>
              </w:rPr>
            </w:r>
          </w:p>
        </w:tc>
      </w:tr>
      <w:tr>
        <w:trPr/>
        <w:tc>
          <w:tcPr>
            <w:tcW w:w="1639" w:type="dxa"/>
            <w:gridSpan w:val="3"/>
            <w:tcBorders/>
            <w:vAlign w:val="center"/>
          </w:tcPr>
          <w:p>
            <w:pPr>
              <w:pStyle w:val="TableContents"/>
              <w:bidi w:val="0"/>
              <w:spacing w:before="0" w:after="283"/>
              <w:jc w:val="left"/>
              <w:rPr>
                <w:sz w:val="4"/>
                <w:szCs w:val="4"/>
              </w:rPr>
            </w:pPr>
            <w:r>
              <w:rPr>
                <w:sz w:val="4"/>
                <w:szCs w:val="4"/>
              </w:rPr>
            </w:r>
          </w:p>
        </w:tc>
        <w:tc>
          <w:tcPr>
            <w:tcW w:w="8566" w:type="dxa"/>
            <w:gridSpan w:val="6"/>
            <w:tcBorders/>
          </w:tcPr>
          <w:p>
            <w:pPr>
              <w:pStyle w:val="TableContents"/>
              <w:bidi w:val="0"/>
              <w:spacing w:before="0" w:after="283"/>
              <w:jc w:val="left"/>
              <w:rPr>
                <w:sz w:val="4"/>
                <w:szCs w:val="4"/>
              </w:rPr>
            </w:pPr>
            <w:r>
              <w:rPr>
                <w:sz w:val="4"/>
                <w:szCs w:val="4"/>
              </w:rPr>
            </w:r>
          </w:p>
        </w:tc>
      </w:tr>
      <w:tr>
        <w:trPr/>
        <w:tc>
          <w:tcPr>
            <w:tcW w:w="1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9" w:type="dxa"/>
            <w:gridSpan w:val="3"/>
            <w:tcBorders/>
            <w:vAlign w:val="center"/>
          </w:tcPr>
          <w:p>
            <w:pPr>
              <w:pStyle w:val="TableContents"/>
              <w:bidi w:val="0"/>
              <w:spacing w:before="0" w:after="283"/>
              <w:jc w:val="left"/>
              <w:rPr>
                <w:sz w:val="4"/>
                <w:szCs w:val="4"/>
              </w:rPr>
            </w:pPr>
            <w:r>
              <w:rPr>
                <w:sz w:val="4"/>
                <w:szCs w:val="4"/>
              </w:rPr>
            </w:r>
          </w:p>
        </w:tc>
      </w:tr>
      <w:tr>
        <w:trPr/>
        <w:tc>
          <w:tcPr>
            <w:tcW w:w="1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(1)These investments are included in the "Securitized residential mortgage loans, at fair value" or "Residential mortgage loans, at fair value" line items on the consolidated balance sheets.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(2)These investments are included in the "Real estate securities, at fair value" line item on the consolidated balance sheets.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our investment portfolio includes commercial loans and commercial-mortgage backed securities ("CMBS") (collectively, the "Legacy WMC Commercial Investments") that were acquired in the WMC acquisition. The Legacy WMC commercial loans primarily include first lien commercial mortgage loan participations and are included in the "Commercial loans, at fair value" line item on the consolidated balance sheets. The Legacy WMC CMBS primarily include fixed-rate and floating-rate CMBS, secured by, or evidencing an ownership interest in, a single commercial mortgage loan or a pool of commercial mortgage loans, and are included in the "Real estate securities, at fair value" line item on the consolidated balance sheets. We expect to either hold the Legacy WMC Commercial Investments until maturity or opportunistically exit these investments.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primary sources of income are net interest income from our investment portfolio, changes in the fair value of our investments or hedge portfolio, and income from our investment in Arc Home. Net interest income consists of the interest income we earn on investments less the interest expense we incur on borrowed funds, inclusive of our cost or benefit of hedging. Income from our investment in Arc Home is generated through its mortgage banking activities which represents the origination and subsequent sale of residential mortgage loans and servicing income sourced from its mortgage servicing rights.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were incorporated in Maryland on March 1, 2011 and commenced operations in July 2011. We conduct our operations to qualify and be taxed as a REIT for U.S. federal income tax purposes. Accordingly, we generally will not be subject to U.S. federal income taxes on our taxable income that we distribute to our stockholders as long as we maintain our intended qualification as a REIT, with the exception of business conducted in our domestic taxable REIT subsidiaries ("TRSs") which are subject to corporate income tax. We also operate our business in a manner that permits us to maintain our exemption from registration under the Investment Company Act.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51155"/>
                <wp:effectExtent l="0" t="0" r="0" b="0"/>
                <wp:wrapNone/>
                <wp:docPr id="47" name="Frame4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Proposed Cherry Hill Mortgage Investment Corporation Merger</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As previously announced, we entered into an Agreement and Plan of Merger, dated as of August 9, 2026 (the “Merger Agreement”), with Cherry Hill Mortgage Investment Corporation, a Maryland corporation (“CHMI”), Cherry Hill Operating Partnership, LP, a Delaware limited partnership, MIT Merger Sub II, LLC, a Delaware limited liability company and our wholly owned subsidiary (“Merger Sub”), and, solely for the limited purposes set forth in the Merger Agreement, our Manager. Pursuant to, and subject to the terms and conditions set forth in, the Merger Agreement, CHMI will merge with and into Merger Sub, with Merger Sub surviving (the “Merger”).</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Under the terms of the Merger Agreement, at the effective time of the Merger (the “Effective Time”), each outstanding share of CHMI common stock will be converted into the right to receive the following (the “Per Share Merger Consideration”): (1)(a) 0.3063 shares of our common stock pursuant to a fixed exchange ratio and (b) $0.41 per share in cash, without interest, from us; and (2) $0.52 per share in cash from our Manager (acting solely on its own behalf), as additional consideration. In addition, each share of CHMI 8.20% Series A Cumulative Redeemable Preferred Stock outstanding immediately prior to the Effective Time shall be converted into the right to receive one newly issued share of MITT 8.20% Series D Cumulative Redeemable Preferred Stock (“MITT Series D Preferred Stock”). Also, each share of CHMI 8.250% Series B Fixed-to-Floating Rate Cumulative Redeemable Preferred Stock outstanding immediately prior to the Effective Time shall automatically be converted into the right to receive one newly issued share of MITT Series E Floating Rate Cumulative Redeemable Preferred Stock (“MITT Series E Preferred Stock”). The MITT Series D Preferred Stock and MITT Series E Preferred Stock shall have the rights, preferences, privileges and voting powers substantially the same as those of the CHMI Series A Preferred Stock and CHMI Series B Preferred Stock, respectively.</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the Merger Agreement, we have agreed to take all necessary corporate action so that upon and after the Effective Time, the size of our board of directors is increased by two members, and the members of the CHMI board of directors designated by CHMI to serve on our board of directors (“CHMI Director Designees”) are appointed to our board of directors. We have further agreed to nominate the CHMI Director Designees to the Company’s board of directors at the next annual meeting following the Effective Time.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Merger is expected to close in the fourth quarter of 2026, subject to the respective approvals by our stockholders and CHMI’s stockholders and other customary closing conditions set forth in the Merger Agreement.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execution of the Merger Agreement, AG MIT, LLC, one of our subsidiaries, also entered into a Voting and Support Agreement with CHMI (the “Voting Agreement”). Pursuant to the Voting Agreement, among other things, AG MIT, LLC agreed to vote all shares of CHMI common stock owned of record or beneficially held by AG MIT, LLC, consisting of 734,800 shares, in favor of the approval of the Merger Agreement and the Merger, subject to the terms thereof.</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Our Manager and TPG Angelo Gordon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externally managed by our Manager, AG REIT Management, LLC, an indirect subsidiary of TPG (NASDAQ: TPG), a leading global alternative asset management firm.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terms of our management agreement, our Manager provides us with our management team, including our officers, along with appropriate support personnel. All of our officers are employees of TPG or its affiliates. We do not have any employees. Our Manager is at all times subject to the supervision and oversight of our Board of Directors and has only such functions and authority as our Board of Directors delegates to it. Our Manager has delegated to TPG Angelo Gordon, an affiliate of TPG, the overall responsibility of its day-to-day duties and obligations arising under our management agreement. TPG Angelo Gordon is the direct parent company of our Manager and is a registered investment adviser under the Investment Advisers Act of 1940, as amended.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Through our relationship with our Manager, we benefit from the expertise and relationships that TPG's Credit platform has established which provides us with resources to generate attractive risk-adjusted returns for our stockholders. Our management has significant experience in the mortgage industry and expertise in structured credit investments. We are able to leverage our Manager, along with our ownership interest in Arc Home, a vertically integrated origination platform, to access investment opportunities in the non-agency residential mortgage loan market. This strategic advantage has enabled us to grow our investment portfolio and remain active in the securitization markets, utilizing the TPG Credit platform's proprietary securitization platform to deliver non-agency investments to a diverse mix of investors.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51155"/>
                <wp:effectExtent l="0" t="0" r="0" b="0"/>
                <wp:wrapNone/>
                <wp:docPr id="48" name="Frame4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Market Conditions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second quarter of 2026, the Federal Reserve underwent a significant shift in leadership. On May 22, 2026, Kevin Warsh became the new Chairman of the Federal Reserve, succeeding Jerome Powell. Chairman Warsh has adopted an anti-inflationary posture, signaling a heightened commitment to returning inflation to the Federal Reserve’s 2% target after years of elevated levels. At the June 2026 Federal Open Market Committee meeting, the Committee held the federal funds target range steady at 3.50% to 3.75%, however transitioned from its previous patient approach in favor of a more hawkish outlook. Throughout the quarter, the labor market proved resilient as the unemployment rate fell to 4.2% in June, further complicating the disinflation narrative even as headline CPI slowed to 3.5%. Persistent geopolitical volatility added to inflation uncertainty as the war between the United States, Israel, and Iran failed to reach a lasting resolution.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By quarter end, market expectations for the Fed Funds rate experienced a significant repricing, shifting from anticipating rate cuts to implying nearly two hikes by year-end. The Treasury market responded with a move to higher nominal rates and a flatter yield curve. The yield on the 2-year U.S. Treasury note rose to 4.20% from 3.81% at the start of the quarter, while the 10-year Treasury yield increased to 4.47% from 4.32%. As a result, the spread between the 2-year and 10-year U.S. Treasuries compressed to approximately 27 basis points, down from 51 basis points at the end of the first quarter. Reflecting the rise in benchmark yields, the 30-year fixed mortgage rate continued to face upward pressure, ending the quarter at approximately 6.5%, further dampening mortgage application volumes and refinancing activity.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RMBS spreads tightened during the second quarter, bringing spreads overall tighter year-to-date. Non-QM spreads for AAA tranches were approximately 10 basis points tighter while the remaining rated tranches were between 20 to 60 basis points tighter during the quarter. Senior prime jumbo spreads were approximately 10 basis points tighter and other investment grade prime jumbo tranches tightened roughly 10 to 20 basis points. Investment grade closed-end second lien spreads were 15 to 25 basis points tighter throughout the capital structure.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Primary RMBS market activity slightly declined in the second quarter to $60 billion, a 5% quarterly decline however, a robust 16% annual increase. The run rate based on the pace of issuance during the first half of the year would bring annual issuance to approximately $250 billion which would exceed $210 billion in 2025. Issuance during the first six months of the year has already exceeded annual issuance in 2020 and is closing in on 2022, with the prior most active post-GFC issuance vintage being 2021 which totaled $219 billion. For the second quarter, the most active sector continues to be Non-QM at $28 billion, followed by Prime/Agency-Eligible at $14 billion and Home Equity at $8 billion. This quarter’s annual growth was largely driven by Non-QM, an increase of approximately $10 billion, and Home Equity, an increase of approximately $3.5 billion. Non-QM comprised the bulk of the second quarter’s activity at 47% with Prime/Agency-Eligible and Home Equity following at 24% and 13%, respectively. Securitizations of Re-performing loans and Non-performing loans were each 4% of the second quarter’s issuance and other sectors such as residential transition loans, also known as fix-and-flip loans, and single-family rental comprised the balance.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S&amp;P Cotality Case-Shiller U.S. National Home Price Index was 0.8% higher year-over-year in April 2026, the latest data available. The Index established a new peak that just eclipsed the previous set in June 2025. Regional price variations continued to exist, and on an annual basis, metros in the Northeast and Midwest continued to lead gains while regions in the Southeast, Texas and the Mountain West have been weaker. Chicago area home prices led annual gains at 5.8%. New York City followed at 5% with Cleveland and Detroit each higher by 4.1% and Boston rising 2.9%. On the other hand, regions in California were mixed, with Los Angeles and San Francisco increasing annually by 10 basis points and 30 basis points, respectively, and San Diego declining 60 basis points compared to April 2025. Denver and Dallas fell by 1.3% and 1.5%, respectively. In the Southeast, Atlanta fell 10 basis points while Miami and Tampa were 1.1% and 4.2% lower, respectively, compared to year-ago readings. Home price growth and available for-sale inventory have had a relatively strong inverse relationship as regions with inventory growth since baseline 2019 have had weaker home price gains, and vice versa.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According to the Freddie Mac Primary Mortgage Market Survey, prevailing mortgage rates increased from the low-to-mid 6% range in April to 6.5% by quarter end, and continued to trend upward through July 2026, reaching 6.6%. Conforming and jumbo loan interest rate locks have mirrored Freddie Mac’s survey rate, though jumbo locks have held higher than conforming and were as high as 6.8% in mid-July 2026. The increase in the rate on outstanding mortgage debt continued to stabilize, rising just another 4 basis points to 4.28% as of the first quarter of 2026, the latest data available, roughly 225 to 235 basis points lower than prevailing rates. This rate is almost 100 basis points higher than the low of 3.31% in the first quarter of 2022. While this suggests some thawing of the mortgage lock-in effect, or disincentive for existing homeowners to sell their homes because their current mortgage rate is well below current market rates, this rate has increased only 25 basis points from the start of the 2025, showing the stickiness of low-rate borrowers staying in place and reduced housing activity.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51155"/>
                <wp:effectExtent l="0" t="0" r="0" b="0"/>
                <wp:wrapNone/>
                <wp:docPr id="49" name="Frame4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Total existing home inventory was relatively steady in the second quarter, seasonally rising from 1.5 million in April to 1.56 million in June, the latest data available, roughly in-line with year-ago levels. Existing home inventory in 2026 has been slightly higher than 2025. While running at the highest levels since 2020, averaging 1.3 to 1.6 million for most of this year and last year, these levels hardly breach the typical inventory levels of 1.5 to 2 million units from 2016 to 2019 and well below the range of 1.7 to 2.5 million units from 2000 to 2004, periods with a smaller count of U.S. households. When evaluating new listings, which are a timelier barometer of home sale activity, only 2.3 million new listings came to market in the first half of 2026, in line with the second half of 2024 and 2025. By comparison, new listings in the first half averaged nearly 3 million units during 2015 through 2022. Over the previous three years, this reduced level of activity produced an annual shortage of over 1 million new listings compared to annual activity in 2015 through 2019 as well as the pandemic-affected periods of 2020 through 2022, underscoring the limited supply theme.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Book value per share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below table details book value per common share (in thousands, except per share data). Per share amounts for book value are calculated using all outstanding common shares in accordance with GAAP as of period end. </w:t>
      </w:r>
    </w:p>
    <w:p>
      <w:pPr>
        <w:pStyle w:val="TextBody"/>
        <w:bidi w:val="0"/>
        <w:spacing w:before="0" w:after="0"/>
        <w:jc w:val="both"/>
        <w:rPr/>
      </w:pPr>
      <w:r>
        <w:rPr/>
      </w:r>
    </w:p>
    <w:tbl>
      <w:tblPr>
        <w:tblW w:w="6507" w:type="dxa"/>
        <w:jc w:val="center"/>
        <w:tblInd w:w="0" w:type="dxa"/>
        <w:tblLayout w:type="fixed"/>
        <w:tblCellMar>
          <w:top w:w="28" w:type="dxa"/>
          <w:left w:w="28" w:type="dxa"/>
          <w:bottom w:w="28" w:type="dxa"/>
          <w:right w:w="28" w:type="dxa"/>
        </w:tblCellMar>
      </w:tblPr>
      <w:tblGrid>
        <w:gridCol w:w="1243"/>
        <w:gridCol w:w="1095"/>
        <w:gridCol w:w="1097"/>
        <w:gridCol w:w="217"/>
        <w:gridCol w:w="817"/>
        <w:gridCol w:w="121"/>
        <w:gridCol w:w="109"/>
        <w:gridCol w:w="109"/>
        <w:gridCol w:w="109"/>
        <w:gridCol w:w="287"/>
        <w:gridCol w:w="1078"/>
        <w:gridCol w:w="225"/>
      </w:tblGrid>
      <w:tr>
        <w:trPr/>
        <w:tc>
          <w:tcPr>
            <w:tcW w:w="1243"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546,004 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560,734 </w:t>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Liquidation preference of preferred stock</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(227,991)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(227,991)</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Book Value</w:t>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318,013 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332,743 </w:t>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shares outstanding</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31,803 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31,744 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Book value per common share</w:t>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10.48 </w:t>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operating results can be affected by a number of factors and primarily depend on the size and composition of our investment portfolio, the level of our net interest income, the fair value of our assets and the supply of, and demand for, our investments in residential mortgage loans in the marketplace, among other things, which can be impacted by unanticipated credit events experienced by borrowers whose residential mortgage loans are included in our investment portfolio, such as defaults, liquidations or delinquencies, and other unanticipated events in our markets. Our primary source of net income or loss available to common stockholders is our net interest income, inclusive of our cost or benefit of hedging, which represents the difference between the interest earned on our investment portfolio and the costs of financing and economic hedges in place on our investment portfolio, as well as any income or losses from our equity investments in affiliates which includes operating income/(loss) from Arc Home. </w:t>
      </w:r>
    </w:p>
    <w:p>
      <w:pPr>
        <w:pStyle w:val="TextBody"/>
        <w:bidi w:val="0"/>
        <w:spacing w:lineRule="auto" w:line="288" w:before="0" w:after="0"/>
        <w:jc w:val="both"/>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51155"/>
                <wp:effectExtent l="0" t="0" r="0" b="0"/>
                <wp:wrapNone/>
                <wp:docPr id="50" name="Frame5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Three Months Ended June 30, 2026 compared to the Three Months Ended June 30,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table below presents certain information from our consolidated statements of operations for the three months ended June 30, 2026 and 2025 (in thousands).</w:t>
      </w:r>
    </w:p>
    <w:tbl>
      <w:tblPr>
        <w:tblW w:w="8885" w:type="dxa"/>
        <w:jc w:val="left"/>
        <w:tblInd w:w="0" w:type="dxa"/>
        <w:tblLayout w:type="fixed"/>
        <w:tblCellMar>
          <w:top w:w="28" w:type="dxa"/>
          <w:left w:w="28" w:type="dxa"/>
          <w:bottom w:w="28" w:type="dxa"/>
          <w:right w:w="28" w:type="dxa"/>
        </w:tblCellMar>
      </w:tblPr>
      <w:tblGrid>
        <w:gridCol w:w="1585"/>
        <w:gridCol w:w="1395"/>
        <w:gridCol w:w="1400"/>
        <w:gridCol w:w="109"/>
        <w:gridCol w:w="109"/>
        <w:gridCol w:w="109"/>
        <w:gridCol w:w="217"/>
        <w:gridCol w:w="817"/>
        <w:gridCol w:w="121"/>
        <w:gridCol w:w="109"/>
        <w:gridCol w:w="109"/>
        <w:gridCol w:w="109"/>
        <w:gridCol w:w="217"/>
        <w:gridCol w:w="817"/>
        <w:gridCol w:w="121"/>
        <w:gridCol w:w="109"/>
        <w:gridCol w:w="109"/>
        <w:gridCol w:w="109"/>
        <w:gridCol w:w="196"/>
        <w:gridCol w:w="646"/>
        <w:gridCol w:w="109"/>
        <w:gridCol w:w="109"/>
        <w:gridCol w:w="154"/>
      </w:tblGrid>
      <w:tr>
        <w:trPr/>
        <w:tc>
          <w:tcPr>
            <w:tcW w:w="1585"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Statement of Operations Data: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124,155 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110,865 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103,912 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93,113 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20,243 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17,752 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Income/(Loss)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interest component of interest rate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realized gain/(loss)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unrealized gain/(loss)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Income/(Loss)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2,874 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(2,713)</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Management fee to affiliate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Non-investment related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related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 related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8,929 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11,299 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Income/(loss) before equity in earnings/(loss) from affiliates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14,188 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3,740 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10,448 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earnings/(loss) from affiliates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14,457 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3,971 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14,269 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3,945 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on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Income/(Loss) Available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9,092 </w:t>
            </w:r>
          </w:p>
        </w:tc>
        <w:tc>
          <w:tcPr>
            <w:tcW w:w="1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(1,376)</w:t>
            </w:r>
          </w:p>
        </w:tc>
        <w:tc>
          <w:tcPr>
            <w:tcW w:w="1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10,468 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Interest income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Interest income is calculated using the effective interest method for our investment portfolio.</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Interest income increased from the three months ended June 30, 2025 to the three months ended June 30, 2026 primarily due to a higher weighted average amortized cost of our investment portfolio as a result of purchases of residential mortgage loans and Non-Agency RMBS. The following table presents a summary of the weighted average amortized cost of and the weighted average yield on our investment portfolio ($ in millions).</w:t>
      </w:r>
    </w:p>
    <w:tbl>
      <w:tblPr>
        <w:tblW w:w="8820" w:type="dxa"/>
        <w:jc w:val="center"/>
        <w:tblInd w:w="0" w:type="dxa"/>
        <w:tblLayout w:type="fixed"/>
        <w:tblCellMar>
          <w:top w:w="28" w:type="dxa"/>
          <w:left w:w="28" w:type="dxa"/>
          <w:bottom w:w="28" w:type="dxa"/>
          <w:right w:w="28" w:type="dxa"/>
        </w:tblCellMar>
      </w:tblPr>
      <w:tblGrid>
        <w:gridCol w:w="1592"/>
        <w:gridCol w:w="1399"/>
        <w:gridCol w:w="1404"/>
        <w:gridCol w:w="109"/>
        <w:gridCol w:w="109"/>
        <w:gridCol w:w="109"/>
        <w:gridCol w:w="224"/>
        <w:gridCol w:w="637"/>
        <w:gridCol w:w="293"/>
        <w:gridCol w:w="109"/>
        <w:gridCol w:w="109"/>
        <w:gridCol w:w="109"/>
        <w:gridCol w:w="224"/>
        <w:gridCol w:w="637"/>
        <w:gridCol w:w="293"/>
        <w:gridCol w:w="109"/>
        <w:gridCol w:w="109"/>
        <w:gridCol w:w="109"/>
        <w:gridCol w:w="196"/>
        <w:gridCol w:w="421"/>
        <w:gridCol w:w="256"/>
        <w:gridCol w:w="109"/>
        <w:gridCol w:w="154"/>
      </w:tblGrid>
      <w:tr>
        <w:trPr/>
        <w:tc>
          <w:tcPr>
            <w:tcW w:w="1592"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Weighted average amortized cost of our investment portfolio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8,201 </w:t>
            </w:r>
          </w:p>
        </w:tc>
        <w:tc>
          <w:tcPr>
            <w:tcW w:w="2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7,365 </w:t>
            </w:r>
          </w:p>
        </w:tc>
        <w:tc>
          <w:tcPr>
            <w:tcW w:w="2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836 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Weighted average yield on our investment portfolio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6.06 </w:t>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6.02 </w:t>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51155"/>
                <wp:effectExtent l="0" t="0" r="0" b="0"/>
                <wp:wrapNone/>
                <wp:docPr id="51" name="Frame5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Interest expense is inclusive of our financing cost related to our financing arrangements on our investment portfolio, securitized debt, and Senior Unsecured Notes.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Interest expense increased from the three months ended June 30, 2025 to the three months ended June 30, 2026 due to a higher weighted average financing balance outstanding resulting primarily from the issuance of securitized debt during the period. The following table presents a summary of the weighted average financing balance and the weighted average financing rate on our investment portfolio ($ in millions).</w:t>
      </w:r>
    </w:p>
    <w:tbl>
      <w:tblPr>
        <w:tblW w:w="8790" w:type="dxa"/>
        <w:jc w:val="center"/>
        <w:tblInd w:w="0" w:type="dxa"/>
        <w:tblLayout w:type="fixed"/>
        <w:tblCellMar>
          <w:top w:w="28" w:type="dxa"/>
          <w:left w:w="28" w:type="dxa"/>
          <w:bottom w:w="28" w:type="dxa"/>
          <w:right w:w="28" w:type="dxa"/>
        </w:tblCellMar>
      </w:tblPr>
      <w:tblGrid>
        <w:gridCol w:w="1579"/>
        <w:gridCol w:w="1388"/>
        <w:gridCol w:w="1398"/>
        <w:gridCol w:w="109"/>
        <w:gridCol w:w="109"/>
        <w:gridCol w:w="109"/>
        <w:gridCol w:w="224"/>
        <w:gridCol w:w="637"/>
        <w:gridCol w:w="293"/>
        <w:gridCol w:w="109"/>
        <w:gridCol w:w="109"/>
        <w:gridCol w:w="109"/>
        <w:gridCol w:w="224"/>
        <w:gridCol w:w="637"/>
        <w:gridCol w:w="293"/>
        <w:gridCol w:w="109"/>
        <w:gridCol w:w="109"/>
        <w:gridCol w:w="109"/>
        <w:gridCol w:w="196"/>
        <w:gridCol w:w="421"/>
        <w:gridCol w:w="256"/>
        <w:gridCol w:w="109"/>
        <w:gridCol w:w="154"/>
      </w:tblGrid>
      <w:tr>
        <w:trPr/>
        <w:tc>
          <w:tcPr>
            <w:tcW w:w="1579"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Weighted average financing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7,728 </w:t>
            </w:r>
          </w:p>
        </w:tc>
        <w:tc>
          <w:tcPr>
            <w:tcW w:w="2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6,909 </w:t>
            </w:r>
          </w:p>
        </w:tc>
        <w:tc>
          <w:tcPr>
            <w:tcW w:w="2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819 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Weighted average financing rate on our investment portfolio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5.38 </w:t>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5.39 </w:t>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Net interest component of interest rate swaps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interest component of interest rate swaps represents the net interest income received or expense paid on our interest rate swaps.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recorded income on the net interest component of interest rate swaps during the three months ended June 30, 2026 and 2025 as a result of our swap portfolio being in a net receive position during each of the entire periods. The decrease in income from the three months ended June 30, 2025 to the three months ended June 30, 2026 was the result of a decrease in the weighted average receive rate. The following table presents a summary of the weighted average notional value and the weighted average (pay)/receive rate on our interest rate swap portfolio for the three months ended June 30, 2026 and 2025 ($ in millions).</w:t>
      </w:r>
    </w:p>
    <w:tbl>
      <w:tblPr>
        <w:tblW w:w="8307" w:type="dxa"/>
        <w:jc w:val="center"/>
        <w:tblInd w:w="0" w:type="dxa"/>
        <w:tblLayout w:type="fixed"/>
        <w:tblCellMar>
          <w:top w:w="28" w:type="dxa"/>
          <w:left w:w="28" w:type="dxa"/>
          <w:bottom w:w="28" w:type="dxa"/>
          <w:right w:w="28" w:type="dxa"/>
        </w:tblCellMar>
      </w:tblPr>
      <w:tblGrid>
        <w:gridCol w:w="1432"/>
        <w:gridCol w:w="1261"/>
        <w:gridCol w:w="1266"/>
        <w:gridCol w:w="109"/>
        <w:gridCol w:w="109"/>
        <w:gridCol w:w="109"/>
        <w:gridCol w:w="259"/>
        <w:gridCol w:w="557"/>
        <w:gridCol w:w="338"/>
        <w:gridCol w:w="109"/>
        <w:gridCol w:w="109"/>
        <w:gridCol w:w="109"/>
        <w:gridCol w:w="259"/>
        <w:gridCol w:w="557"/>
        <w:gridCol w:w="338"/>
        <w:gridCol w:w="109"/>
        <w:gridCol w:w="109"/>
        <w:gridCol w:w="109"/>
        <w:gridCol w:w="201"/>
        <w:gridCol w:w="339"/>
        <w:gridCol w:w="256"/>
        <w:gridCol w:w="109"/>
        <w:gridCol w:w="154"/>
      </w:tblGrid>
      <w:tr>
        <w:trPr/>
        <w:tc>
          <w:tcPr>
            <w:tcW w:w="1432"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Net weighted average interest rate swap notional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433 </w:t>
            </w:r>
          </w:p>
        </w:tc>
        <w:tc>
          <w:tcPr>
            <w:tcW w:w="3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390 </w:t>
            </w:r>
          </w:p>
        </w:tc>
        <w:tc>
          <w:tcPr>
            <w:tcW w:w="3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252525"/>
                <w:sz w:val="18"/>
              </w:rPr>
            </w:pPr>
            <w:r>
              <w:rPr>
                <w:rFonts w:ascii="Times New Roman;serif" w:hAnsi="Times New Roman;serif"/>
                <w:b w:val="false"/>
                <w:color w:val="252525"/>
                <w:sz w:val="18"/>
              </w:rPr>
              <w:t>Net weighted average (pay)/receive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0.27 </w:t>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0.84 </w:t>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(0.57)</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Net realized gain/(loss)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a summary of Net realized gain/(loss) for the three months ended June 30, 2026 and 2025 (in thousands). See Note 3, Note 4, and Note 7 to the “Notes to Consolidated Financial Statements (unaudited)” for additional information on realized gains/(losses). </w:t>
      </w:r>
    </w:p>
    <w:tbl>
      <w:tblPr>
        <w:tblW w:w="9142" w:type="dxa"/>
        <w:jc w:val="center"/>
        <w:tblInd w:w="0" w:type="dxa"/>
        <w:tblLayout w:type="fixed"/>
        <w:tblCellMar>
          <w:top w:w="28" w:type="dxa"/>
          <w:left w:w="28" w:type="dxa"/>
          <w:bottom w:w="28" w:type="dxa"/>
          <w:right w:w="28" w:type="dxa"/>
        </w:tblCellMar>
      </w:tblPr>
      <w:tblGrid>
        <w:gridCol w:w="2223"/>
        <w:gridCol w:w="1952"/>
        <w:gridCol w:w="1959"/>
        <w:gridCol w:w="109"/>
        <w:gridCol w:w="109"/>
        <w:gridCol w:w="109"/>
        <w:gridCol w:w="242"/>
        <w:gridCol w:w="779"/>
        <w:gridCol w:w="134"/>
        <w:gridCol w:w="109"/>
        <w:gridCol w:w="109"/>
        <w:gridCol w:w="109"/>
        <w:gridCol w:w="239"/>
        <w:gridCol w:w="772"/>
        <w:gridCol w:w="188"/>
      </w:tblGrid>
      <w:tr>
        <w:trPr/>
        <w:tc>
          <w:tcPr>
            <w:tcW w:w="2223" w:type="dxa"/>
            <w:tcBorders/>
            <w:vAlign w:val="center"/>
          </w:tcPr>
          <w:p>
            <w:pPr>
              <w:pStyle w:val="TableContents"/>
              <w:bidi w:val="0"/>
              <w:spacing w:before="0" w:after="283"/>
              <w:jc w:val="left"/>
              <w:rPr>
                <w:sz w:val="4"/>
                <w:szCs w:val="4"/>
              </w:rPr>
            </w:pPr>
            <w:r>
              <w:rPr>
                <w:sz w:val="4"/>
                <w:szCs w:val="4"/>
              </w:rPr>
            </w:r>
          </w:p>
        </w:tc>
        <w:tc>
          <w:tcPr>
            <w:tcW w:w="1952" w:type="dxa"/>
            <w:tcBorders/>
            <w:vAlign w:val="center"/>
          </w:tcPr>
          <w:p>
            <w:pPr>
              <w:pStyle w:val="TableContents"/>
              <w:bidi w:val="0"/>
              <w:spacing w:before="0" w:after="283"/>
              <w:jc w:val="left"/>
              <w:rPr>
                <w:sz w:val="4"/>
                <w:szCs w:val="4"/>
              </w:rPr>
            </w:pPr>
            <w:r>
              <w:rPr>
                <w:sz w:val="4"/>
                <w:szCs w:val="4"/>
              </w:rPr>
            </w:r>
          </w:p>
        </w:tc>
        <w:tc>
          <w:tcPr>
            <w:tcW w:w="19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6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of residential mortgage loans and loans transferred to or sold from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(1,799)</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(697)</w:t>
            </w:r>
          </w:p>
        </w:tc>
        <w:tc>
          <w:tcPr>
            <w:tcW w:w="1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of real estate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Settlement of derivatives and other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(2,688)</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Net realized gain/(loss)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(1,844)</w:t>
            </w:r>
          </w:p>
        </w:tc>
        <w:tc>
          <w:tcPr>
            <w:tcW w:w="1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(3,494)</w:t>
            </w:r>
          </w:p>
        </w:tc>
        <w:tc>
          <w:tcPr>
            <w:tcW w:w="18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51155"/>
                <wp:effectExtent l="0" t="0" r="0" b="0"/>
                <wp:wrapNone/>
                <wp:docPr id="52" name="Frame5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Net unrealized gain/(loss)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a summary of Net unrealized gain/(loss) for the three months ended June 30, 2026 and 2025 (in thousands). </w:t>
      </w:r>
    </w:p>
    <w:tbl>
      <w:tblPr>
        <w:tblW w:w="5512" w:type="dxa"/>
        <w:jc w:val="center"/>
        <w:tblInd w:w="0" w:type="dxa"/>
        <w:tblLayout w:type="fixed"/>
        <w:tblCellMar>
          <w:top w:w="28" w:type="dxa"/>
          <w:left w:w="28" w:type="dxa"/>
          <w:bottom w:w="28" w:type="dxa"/>
          <w:right w:w="28" w:type="dxa"/>
        </w:tblCellMar>
      </w:tblPr>
      <w:tblGrid>
        <w:gridCol w:w="907"/>
        <w:gridCol w:w="798"/>
        <w:gridCol w:w="800"/>
        <w:gridCol w:w="109"/>
        <w:gridCol w:w="109"/>
        <w:gridCol w:w="109"/>
        <w:gridCol w:w="220"/>
        <w:gridCol w:w="812"/>
        <w:gridCol w:w="122"/>
        <w:gridCol w:w="109"/>
        <w:gridCol w:w="109"/>
        <w:gridCol w:w="109"/>
        <w:gridCol w:w="219"/>
        <w:gridCol w:w="808"/>
        <w:gridCol w:w="172"/>
      </w:tblGrid>
      <w:tr>
        <w:trPr/>
        <w:tc>
          <w:tcPr>
            <w:tcW w:w="907"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mortgage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(10,635)</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(11,500)</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 estate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Securitized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8,440 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7,990 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 purchase commitments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Net unrealized gain/(loss)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4,422 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1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Management fee to affiliate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management fee is based upon a percentage of our Stockholders’ Equity. See the "Contractual obligations" section of this Item 2 for further detail on the calculation of our management fee and for the definition of Stockholders’ Equity.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Non-investment related expenses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a summary of our non-investment related expenses for the three months ended June 30, 2026 and 2025 (in thousands). </w:t>
      </w:r>
    </w:p>
    <w:tbl>
      <w:tblPr>
        <w:tblW w:w="6617" w:type="dxa"/>
        <w:jc w:val="center"/>
        <w:tblInd w:w="0" w:type="dxa"/>
        <w:tblLayout w:type="fixed"/>
        <w:tblCellMar>
          <w:top w:w="28" w:type="dxa"/>
          <w:left w:w="28" w:type="dxa"/>
          <w:bottom w:w="28" w:type="dxa"/>
          <w:right w:w="28" w:type="dxa"/>
        </w:tblCellMar>
      </w:tblPr>
      <w:tblGrid>
        <w:gridCol w:w="1228"/>
        <w:gridCol w:w="1079"/>
        <w:gridCol w:w="1083"/>
        <w:gridCol w:w="109"/>
        <w:gridCol w:w="109"/>
        <w:gridCol w:w="109"/>
        <w:gridCol w:w="263"/>
        <w:gridCol w:w="746"/>
        <w:gridCol w:w="146"/>
        <w:gridCol w:w="109"/>
        <w:gridCol w:w="109"/>
        <w:gridCol w:w="109"/>
        <w:gridCol w:w="263"/>
        <w:gridCol w:w="746"/>
        <w:gridCol w:w="146"/>
        <w:gridCol w:w="109"/>
        <w:gridCol w:w="154"/>
      </w:tblGrid>
      <w:tr>
        <w:trPr/>
        <w:tc>
          <w:tcPr>
            <w:tcW w:w="1228"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Affiliate reimbursement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1,183 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1,304 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Professional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D&amp;O insurance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Directors' fees and equity 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Excise tax expense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Non-investment related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2,306 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2,507 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(1)We are required to reimburse our Manager or its affiliates for operating expenses incurred by our Manager or its affiliates on our behalf, including certain compensation expenses and other expenses relating to legal, accounting, and other services. See the "Contractual obligations" section of this Item 2 for further detail. </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(2)We did not recognize any excise tax during the three months ended June 30, 2026. Estimated excise tax expense of $(46) thousand was recognized during the three months ended June 30, 2025, which included $0.1 million related to an excise tax refund.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Investment related expenses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summary of our investment related expenses for the three months ended June 30, 2026 and 2025 (in thousands). These expenses increased from the three months ended June 30, 2025 to the three months ended June 30, 2026 primarily due to an increase in our GAAP residential mortgage loan portfolio.</w:t>
      </w:r>
    </w:p>
    <w:tbl>
      <w:tblPr>
        <w:tblW w:w="6827" w:type="dxa"/>
        <w:jc w:val="center"/>
        <w:tblInd w:w="0" w:type="dxa"/>
        <w:tblLayout w:type="fixed"/>
        <w:tblCellMar>
          <w:top w:w="28" w:type="dxa"/>
          <w:left w:w="28" w:type="dxa"/>
          <w:bottom w:w="28" w:type="dxa"/>
          <w:right w:w="28" w:type="dxa"/>
        </w:tblCellMar>
      </w:tblPr>
      <w:tblGrid>
        <w:gridCol w:w="1304"/>
        <w:gridCol w:w="1146"/>
        <w:gridCol w:w="1150"/>
        <w:gridCol w:w="109"/>
        <w:gridCol w:w="109"/>
        <w:gridCol w:w="109"/>
        <w:gridCol w:w="263"/>
        <w:gridCol w:w="746"/>
        <w:gridCol w:w="146"/>
        <w:gridCol w:w="109"/>
        <w:gridCol w:w="109"/>
        <w:gridCol w:w="109"/>
        <w:gridCol w:w="263"/>
        <w:gridCol w:w="746"/>
        <w:gridCol w:w="146"/>
        <w:gridCol w:w="109"/>
        <w:gridCol w:w="154"/>
      </w:tblGrid>
      <w:tr>
        <w:trPr/>
        <w:tc>
          <w:tcPr>
            <w:tcW w:w="1304"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Affiliate reimbursement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Servicing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mortgage loan asset management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Trustee and bank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Investment related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4,220 </w:t>
            </w:r>
          </w:p>
        </w:tc>
        <w:tc>
          <w:tcPr>
            <w:tcW w:w="1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3,473 </w:t>
            </w:r>
          </w:p>
        </w:tc>
        <w:tc>
          <w:tcPr>
            <w:tcW w:w="1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Times New Roman;serif" w:hAnsi="Times New Roman;serif"/>
          <w:b w:val="false"/>
          <w:color w:val="000000"/>
          <w:sz w:val="18"/>
        </w:rPr>
        <w:t>(1)</w:t>
      </w:r>
      <w:r>
        <w:rPr>
          <w:rFonts w:ascii="Times New Roman;serif" w:hAnsi="Times New Roman;serif"/>
          <w:b w:val="false"/>
          <w:color w:val="000000"/>
          <w:sz w:val="20"/>
        </w:rPr>
        <w:t>We are required to reimburse our Manager or its affiliates for operating expenses incurred by our Manager or its affiliates on our behalf associated with our investment portfolio.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51155"/>
                <wp:effectExtent l="0" t="0" r="0" b="0"/>
                <wp:wrapNone/>
                <wp:docPr id="53" name="Frame5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Transaction related expenses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Transaction related expenses generally includes expenses associated with purchasing and securitizing residential mortgage loans. During the three months ended June 30, 2026, the expenses were related to purchases of residential mortgage loans. During the three months ended June 30, 2025, the expenses were primarily related to the execution of one rated securitization.</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Equity in earnings/(loss) from affiliates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Equity in earnings/(loss) from affiliates represents our share of earnings and profits of investments held within affiliated entities. Substantially all of these investments are comprised of real estate securities, loans, and our investment in AG Arc which holds our investment in Arc Home. The below tables summarize the components of the "Equity in earnings/(loss) from affiliates" line item on our consolidated statements of operations (in thousands).</w:t>
      </w:r>
    </w:p>
    <w:tbl>
      <w:tblPr>
        <w:tblW w:w="5901" w:type="dxa"/>
        <w:jc w:val="left"/>
        <w:tblInd w:w="0" w:type="dxa"/>
        <w:tblLayout w:type="fixed"/>
        <w:tblCellMar>
          <w:top w:w="28" w:type="dxa"/>
          <w:left w:w="28" w:type="dxa"/>
          <w:bottom w:w="28" w:type="dxa"/>
          <w:right w:w="28" w:type="dxa"/>
        </w:tblCellMar>
      </w:tblPr>
      <w:tblGrid>
        <w:gridCol w:w="1050"/>
        <w:gridCol w:w="920"/>
        <w:gridCol w:w="924"/>
        <w:gridCol w:w="109"/>
        <w:gridCol w:w="109"/>
        <w:gridCol w:w="109"/>
        <w:gridCol w:w="282"/>
        <w:gridCol w:w="715"/>
        <w:gridCol w:w="157"/>
        <w:gridCol w:w="109"/>
        <w:gridCol w:w="109"/>
        <w:gridCol w:w="109"/>
        <w:gridCol w:w="305"/>
        <w:gridCol w:w="655"/>
        <w:gridCol w:w="239"/>
      </w:tblGrid>
      <w:tr>
        <w:trPr/>
        <w:tc>
          <w:tcPr>
            <w:tcW w:w="105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MATT Non-QM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268 </w:t>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Re/Non-Performing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AG Arc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Equity in earnings/(loss) from affiliates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231 </w:t>
            </w:r>
          </w:p>
        </w:tc>
        <w:tc>
          <w:tcPr>
            <w:tcW w:w="2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(1)Effective August 1, 2025, our allocation of AG Arc’s earnings is 66.0%. For all prior periods, our allocation of AG Arc’s earnings was 44.6%.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below table breaks out the components in the "Equity in earnings/(loss) from affiliates" line item on our consolidated statements of operations (in thousands).</w:t>
      </w:r>
    </w:p>
    <w:tbl>
      <w:tblPr>
        <w:tblW w:w="8242" w:type="dxa"/>
        <w:jc w:val="center"/>
        <w:tblInd w:w="0" w:type="dxa"/>
        <w:tblLayout w:type="fixed"/>
        <w:tblCellMar>
          <w:top w:w="28" w:type="dxa"/>
          <w:left w:w="28" w:type="dxa"/>
          <w:bottom w:w="28" w:type="dxa"/>
          <w:right w:w="28" w:type="dxa"/>
        </w:tblCellMar>
      </w:tblPr>
      <w:tblGrid>
        <w:gridCol w:w="1900"/>
        <w:gridCol w:w="1661"/>
        <w:gridCol w:w="1673"/>
        <w:gridCol w:w="109"/>
        <w:gridCol w:w="109"/>
        <w:gridCol w:w="109"/>
        <w:gridCol w:w="312"/>
        <w:gridCol w:w="670"/>
        <w:gridCol w:w="173"/>
        <w:gridCol w:w="109"/>
        <w:gridCol w:w="109"/>
        <w:gridCol w:w="109"/>
        <w:gridCol w:w="305"/>
        <w:gridCol w:w="655"/>
        <w:gridCol w:w="239"/>
      </w:tblGrid>
      <w:tr>
        <w:trPr/>
        <w:tc>
          <w:tcPr>
            <w:tcW w:w="1900"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642 </w:t>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Interest Income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642 </w:t>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Income/(Loss)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unrealized gain/(loss)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expenses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MATT Non-QM Securities and Re/Non Performing Securities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w:t>
            </w:r>
          </w:p>
        </w:tc>
        <w:tc>
          <w:tcPr>
            <w:tcW w:w="1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268 </w:t>
            </w:r>
          </w:p>
        </w:tc>
        <w:tc>
          <w:tcPr>
            <w:tcW w:w="2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AG Arc Earnings/(Loss)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operating income/(loss) from AG Arc (1)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income/(loss) from AG Arc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gain/(loss) on investment in AG Arc (4)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AG Arc Earnings/(Loss)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715 </w:t>
            </w:r>
          </w:p>
        </w:tc>
        <w:tc>
          <w:tcPr>
            <w:tcW w:w="1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2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color w:val="000000"/>
                <w:sz w:val="18"/>
              </w:rPr>
            </w:pPr>
            <w:r>
              <w:rPr>
                <w:rFonts w:ascii="Times New Roman;serif" w:hAnsi="Times New Roman;serif"/>
                <w:b/>
                <w:color w:val="000000"/>
                <w:sz w:val="18"/>
              </w:rPr>
              <w:t>Equity in earnings/(loss) from affiliates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231 </w:t>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3008" w:type="dxa"/>
            <w:gridSpan w:val="12"/>
            <w:tcBorders/>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(1)Represents items included in Earnings Available for Distribution. Refer to the “Earnings Available for Distribution” section below for further detail.</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(2)Primarily represents earnings/(loss) from our investment in MATT Non-QM Securities. </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(3)Net operating income/(loss) from AG Arc represents income/(loss) related to Arc Home's lending and servicing operations, net of operating expenses and related current tax expense or benefit. Other income/(loss) from AG Arc represents realized and unrealized changes in the fair value of Arc Home's mortgage servicing rights, transaction related expenses, and other asset impairments, net of related tax expense or benefit.</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(4)As of June 30, 2026, the fair value of our investment in Arc Home was calculated using a valuation multiple of 1.05x of book value, which was consistent with the valuation multiple as of March 31, 2026. We recognized an unrealized loss related to our investment in AG Arc during the three months ended June 30, 2026 as a result of a distribution received from AG Arc of $6.6 million. As of June 30, 2025, the fair value of our investment in Arc Home was calculated using a valuation multiple of 1.00x of book value, which was consistent with the valuation multiple as of March 31, 2025.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51155"/>
                <wp:effectExtent l="0" t="0" r="0" b="0"/>
                <wp:wrapNone/>
                <wp:docPr id="54" name="Frame5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Income tax expense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Income tax expense for the three months ended June 30, 2026 relates to taxable income recognized on investments in residential mortgage loans held within our taxable REIT subsidiary. During the three months ended June 30, 2025, income tax expense represented minimum state and local tax filing fees.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Dividends on Preferred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Holders of our Series A Preferred Stock, Series B Preferred Stock, and Series C Preferred Stock are entitled to receive cumulative cash dividends at their respective rates per annum on the $25.00 per share liquidation preference for each series. Our Series A Preferred Stock and Series B Preferred Stock have fixed rates of 8.25% and 8.00%, respectively. The initial dividend rate for our Series C Preferred Stock, from issuance through September 16, 2024, was 8.000%. On and after September 17, 2024, dividends on the Series C Preferred Stock accumulate at an annual floating rate of three-month CME Term SOFR (plus a tenor spread adjustment of 0.26161%) plus a spread of 6.476%.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51155"/>
                <wp:effectExtent l="0" t="0" r="0" b="0"/>
                <wp:wrapNone/>
                <wp:docPr id="55" name="Frame5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Six Months Ended June 30, 2026 compared to the Six Months Ended June 30,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table below presents certain information from our consolidated statements of operations for the six months ended June 30, 2026 and 2025 (in thousands).</w:t>
      </w:r>
    </w:p>
    <w:tbl>
      <w:tblPr>
        <w:tblW w:w="8885" w:type="dxa"/>
        <w:jc w:val="left"/>
        <w:tblInd w:w="0" w:type="dxa"/>
        <w:tblLayout w:type="fixed"/>
        <w:tblCellMar>
          <w:top w:w="28" w:type="dxa"/>
          <w:left w:w="28" w:type="dxa"/>
          <w:bottom w:w="28" w:type="dxa"/>
          <w:right w:w="28" w:type="dxa"/>
        </w:tblCellMar>
      </w:tblPr>
      <w:tblGrid>
        <w:gridCol w:w="1585"/>
        <w:gridCol w:w="1395"/>
        <w:gridCol w:w="1400"/>
        <w:gridCol w:w="109"/>
        <w:gridCol w:w="109"/>
        <w:gridCol w:w="109"/>
        <w:gridCol w:w="217"/>
        <w:gridCol w:w="817"/>
        <w:gridCol w:w="121"/>
        <w:gridCol w:w="109"/>
        <w:gridCol w:w="109"/>
        <w:gridCol w:w="109"/>
        <w:gridCol w:w="217"/>
        <w:gridCol w:w="817"/>
        <w:gridCol w:w="121"/>
        <w:gridCol w:w="109"/>
        <w:gridCol w:w="109"/>
        <w:gridCol w:w="109"/>
        <w:gridCol w:w="196"/>
        <w:gridCol w:w="646"/>
        <w:gridCol w:w="109"/>
        <w:gridCol w:w="109"/>
        <w:gridCol w:w="154"/>
      </w:tblGrid>
      <w:tr>
        <w:trPr/>
        <w:tc>
          <w:tcPr>
            <w:tcW w:w="1585"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Statement of Operations Data: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253,963 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219,995 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213,077 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183,394 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40,886 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36,601 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Income/(Loss)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interest component of interest rate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realized gain/(loss)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unrealized gain/(loss)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(12,038)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Income/(Loss)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(13,302)</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(1,164)</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(12,138)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Management fee to affiliate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Non-investment related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5,787 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related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8,518 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 related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18,776 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21,377 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Income/(loss) before equity in earnings/(loss) from affiliates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8,808 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14,060 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earnings/(loss) from affiliates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11,077 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15,476 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10,707 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15,422 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on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10,330 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10,625 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Income/(Loss) Available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377 </w:t>
            </w:r>
          </w:p>
        </w:tc>
        <w:tc>
          <w:tcPr>
            <w:tcW w:w="1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4,797 </w:t>
            </w:r>
          </w:p>
        </w:tc>
        <w:tc>
          <w:tcPr>
            <w:tcW w:w="1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(4,420)</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Interest income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Interest income increased from the six months ended June 30, 2025 to the six months ended June 30, 2026 primarily due to a higher weighted average amortized cost of our investment portfolio as a result of purchases of residential mortgage loans and Non-Agency RMBS and an increase in the weighted average yield of our investment portfolio. The following table presents a summary of the weighted average amortized cost of and the weighted average yield on our investment portfolio ($ in millions).</w:t>
      </w:r>
    </w:p>
    <w:tbl>
      <w:tblPr>
        <w:tblW w:w="8955" w:type="dxa"/>
        <w:jc w:val="center"/>
        <w:tblInd w:w="0" w:type="dxa"/>
        <w:tblLayout w:type="fixed"/>
        <w:tblCellMar>
          <w:top w:w="28" w:type="dxa"/>
          <w:left w:w="28" w:type="dxa"/>
          <w:bottom w:w="28" w:type="dxa"/>
          <w:right w:w="28" w:type="dxa"/>
        </w:tblCellMar>
      </w:tblPr>
      <w:tblGrid>
        <w:gridCol w:w="1592"/>
        <w:gridCol w:w="1399"/>
        <w:gridCol w:w="1404"/>
        <w:gridCol w:w="109"/>
        <w:gridCol w:w="109"/>
        <w:gridCol w:w="109"/>
        <w:gridCol w:w="224"/>
        <w:gridCol w:w="637"/>
        <w:gridCol w:w="293"/>
        <w:gridCol w:w="109"/>
        <w:gridCol w:w="109"/>
        <w:gridCol w:w="109"/>
        <w:gridCol w:w="224"/>
        <w:gridCol w:w="637"/>
        <w:gridCol w:w="293"/>
        <w:gridCol w:w="109"/>
        <w:gridCol w:w="109"/>
        <w:gridCol w:w="109"/>
        <w:gridCol w:w="196"/>
        <w:gridCol w:w="556"/>
        <w:gridCol w:w="256"/>
        <w:gridCol w:w="109"/>
        <w:gridCol w:w="154"/>
      </w:tblGrid>
      <w:tr>
        <w:trPr/>
        <w:tc>
          <w:tcPr>
            <w:tcW w:w="1592"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Weighted average amortized cost of our investment portfolio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8,367 </w:t>
            </w:r>
          </w:p>
        </w:tc>
        <w:tc>
          <w:tcPr>
            <w:tcW w:w="2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7,281 </w:t>
            </w:r>
          </w:p>
        </w:tc>
        <w:tc>
          <w:tcPr>
            <w:tcW w:w="2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1,086 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Weighted average yield on our investment portfolio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6.07 </w:t>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6.04 </w:t>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51155"/>
                <wp:effectExtent l="0" t="0" r="0" b="0"/>
                <wp:wrapNone/>
                <wp:docPr id="56" name="Frame5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Interest expense increased from the six months ended June 30, 2025 to the six months ended June 30, 2026 due to a higher weighted average financing balance outstanding resulting from the issuance of securitized debt. Additionally, there was an increase in the weighted average financing rate. The following table presents a summary of the weighted average financing balance and the weighted average financing rate on our investment portfolio ($ in millions).</w:t>
      </w:r>
    </w:p>
    <w:tbl>
      <w:tblPr>
        <w:tblW w:w="8925" w:type="dxa"/>
        <w:jc w:val="center"/>
        <w:tblInd w:w="0" w:type="dxa"/>
        <w:tblLayout w:type="fixed"/>
        <w:tblCellMar>
          <w:top w:w="28" w:type="dxa"/>
          <w:left w:w="28" w:type="dxa"/>
          <w:bottom w:w="28" w:type="dxa"/>
          <w:right w:w="28" w:type="dxa"/>
        </w:tblCellMar>
      </w:tblPr>
      <w:tblGrid>
        <w:gridCol w:w="1579"/>
        <w:gridCol w:w="1388"/>
        <w:gridCol w:w="1398"/>
        <w:gridCol w:w="109"/>
        <w:gridCol w:w="109"/>
        <w:gridCol w:w="109"/>
        <w:gridCol w:w="224"/>
        <w:gridCol w:w="637"/>
        <w:gridCol w:w="293"/>
        <w:gridCol w:w="109"/>
        <w:gridCol w:w="109"/>
        <w:gridCol w:w="109"/>
        <w:gridCol w:w="224"/>
        <w:gridCol w:w="637"/>
        <w:gridCol w:w="293"/>
        <w:gridCol w:w="109"/>
        <w:gridCol w:w="109"/>
        <w:gridCol w:w="109"/>
        <w:gridCol w:w="196"/>
        <w:gridCol w:w="556"/>
        <w:gridCol w:w="256"/>
        <w:gridCol w:w="109"/>
        <w:gridCol w:w="154"/>
      </w:tblGrid>
      <w:tr>
        <w:trPr/>
        <w:tc>
          <w:tcPr>
            <w:tcW w:w="1579"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Weighted average financing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7,895 </w:t>
            </w:r>
          </w:p>
        </w:tc>
        <w:tc>
          <w:tcPr>
            <w:tcW w:w="2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6,829 </w:t>
            </w:r>
          </w:p>
        </w:tc>
        <w:tc>
          <w:tcPr>
            <w:tcW w:w="2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1,066 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Weighted average financing rate on our investment portfolio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5.40 </w:t>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5.37 </w:t>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Net interest component of interest rate swaps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recorded income on the net interest component of interest rate swaps during the six months ended June 30, 2026 and 2025 as a result of our swap portfolio being in a net receive position. The decrease in income from the six months ended June 30, 2025 to the six months ended June 30, 2026 was the result of a decrease in the weighted average receive rate. The following table presents a summary of the weighted average notional value and the weighted average (pay)/receive rate on our interest rate swap portfolio for the six months ended June 30, 2026 and 2025 ($ in millions).</w:t>
      </w:r>
    </w:p>
    <w:tbl>
      <w:tblPr>
        <w:tblW w:w="8307" w:type="dxa"/>
        <w:jc w:val="center"/>
        <w:tblInd w:w="0" w:type="dxa"/>
        <w:tblLayout w:type="fixed"/>
        <w:tblCellMar>
          <w:top w:w="28" w:type="dxa"/>
          <w:left w:w="28" w:type="dxa"/>
          <w:bottom w:w="28" w:type="dxa"/>
          <w:right w:w="28" w:type="dxa"/>
        </w:tblCellMar>
      </w:tblPr>
      <w:tblGrid>
        <w:gridCol w:w="1432"/>
        <w:gridCol w:w="1261"/>
        <w:gridCol w:w="1266"/>
        <w:gridCol w:w="109"/>
        <w:gridCol w:w="109"/>
        <w:gridCol w:w="109"/>
        <w:gridCol w:w="259"/>
        <w:gridCol w:w="557"/>
        <w:gridCol w:w="338"/>
        <w:gridCol w:w="109"/>
        <w:gridCol w:w="109"/>
        <w:gridCol w:w="109"/>
        <w:gridCol w:w="259"/>
        <w:gridCol w:w="557"/>
        <w:gridCol w:w="338"/>
        <w:gridCol w:w="109"/>
        <w:gridCol w:w="109"/>
        <w:gridCol w:w="109"/>
        <w:gridCol w:w="201"/>
        <w:gridCol w:w="339"/>
        <w:gridCol w:w="256"/>
        <w:gridCol w:w="109"/>
        <w:gridCol w:w="154"/>
      </w:tblGrid>
      <w:tr>
        <w:trPr/>
        <w:tc>
          <w:tcPr>
            <w:tcW w:w="1432"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Net weighted average interest rate swap notional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402 </w:t>
            </w:r>
          </w:p>
        </w:tc>
        <w:tc>
          <w:tcPr>
            <w:tcW w:w="3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369 </w:t>
            </w:r>
          </w:p>
        </w:tc>
        <w:tc>
          <w:tcPr>
            <w:tcW w:w="3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252525"/>
                <w:sz w:val="18"/>
              </w:rPr>
            </w:pPr>
            <w:r>
              <w:rPr>
                <w:rFonts w:ascii="Times New Roman;serif" w:hAnsi="Times New Roman;serif"/>
                <w:b w:val="false"/>
                <w:color w:val="252525"/>
                <w:sz w:val="18"/>
              </w:rPr>
              <w:t>Net weighted average (pay)/receive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0.35 </w:t>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0.84 </w:t>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(0.49)</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Net realized gain/(loss)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a summary of Net realized gain/(loss) for the six months ended June 30, 2026 and 2025 (in thousands). See Note 3, Note 4, and Note 7 to the “Notes to Consolidated Financial Statements (unaudited)” for additional information on realized gains/(losses). </w:t>
      </w:r>
    </w:p>
    <w:tbl>
      <w:tblPr>
        <w:tblW w:w="9142" w:type="dxa"/>
        <w:jc w:val="center"/>
        <w:tblInd w:w="0" w:type="dxa"/>
        <w:tblLayout w:type="fixed"/>
        <w:tblCellMar>
          <w:top w:w="28" w:type="dxa"/>
          <w:left w:w="28" w:type="dxa"/>
          <w:bottom w:w="28" w:type="dxa"/>
          <w:right w:w="28" w:type="dxa"/>
        </w:tblCellMar>
      </w:tblPr>
      <w:tblGrid>
        <w:gridCol w:w="2223"/>
        <w:gridCol w:w="1952"/>
        <w:gridCol w:w="1959"/>
        <w:gridCol w:w="109"/>
        <w:gridCol w:w="109"/>
        <w:gridCol w:w="109"/>
        <w:gridCol w:w="242"/>
        <w:gridCol w:w="779"/>
        <w:gridCol w:w="134"/>
        <w:gridCol w:w="109"/>
        <w:gridCol w:w="109"/>
        <w:gridCol w:w="109"/>
        <w:gridCol w:w="239"/>
        <w:gridCol w:w="772"/>
        <w:gridCol w:w="188"/>
      </w:tblGrid>
      <w:tr>
        <w:trPr/>
        <w:tc>
          <w:tcPr>
            <w:tcW w:w="2223" w:type="dxa"/>
            <w:tcBorders/>
            <w:vAlign w:val="center"/>
          </w:tcPr>
          <w:p>
            <w:pPr>
              <w:pStyle w:val="TableContents"/>
              <w:bidi w:val="0"/>
              <w:spacing w:before="0" w:after="283"/>
              <w:jc w:val="left"/>
              <w:rPr>
                <w:sz w:val="4"/>
                <w:szCs w:val="4"/>
              </w:rPr>
            </w:pPr>
            <w:r>
              <w:rPr>
                <w:sz w:val="4"/>
                <w:szCs w:val="4"/>
              </w:rPr>
            </w:r>
          </w:p>
        </w:tc>
        <w:tc>
          <w:tcPr>
            <w:tcW w:w="1952" w:type="dxa"/>
            <w:tcBorders/>
            <w:vAlign w:val="center"/>
          </w:tcPr>
          <w:p>
            <w:pPr>
              <w:pStyle w:val="TableContents"/>
              <w:bidi w:val="0"/>
              <w:spacing w:before="0" w:after="283"/>
              <w:jc w:val="left"/>
              <w:rPr>
                <w:sz w:val="4"/>
                <w:szCs w:val="4"/>
              </w:rPr>
            </w:pPr>
            <w:r>
              <w:rPr>
                <w:sz w:val="4"/>
                <w:szCs w:val="4"/>
              </w:rPr>
            </w:r>
          </w:p>
        </w:tc>
        <w:tc>
          <w:tcPr>
            <w:tcW w:w="19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6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of residential mortgage loans and loans transferred to or sold from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(1,973)</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(1,707)</w:t>
            </w:r>
          </w:p>
        </w:tc>
        <w:tc>
          <w:tcPr>
            <w:tcW w:w="1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of real estate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Settlement of derivatives and other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(1,946)</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Net realized gain/(loss)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(1,962)</w:t>
            </w:r>
          </w:p>
        </w:tc>
        <w:tc>
          <w:tcPr>
            <w:tcW w:w="1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(3,484)</w:t>
            </w:r>
          </w:p>
        </w:tc>
        <w:tc>
          <w:tcPr>
            <w:tcW w:w="18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51155"/>
                <wp:effectExtent l="0" t="0" r="0" b="0"/>
                <wp:wrapNone/>
                <wp:docPr id="57" name="Frame5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Net unrealized gain/(loss)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a summary of Net unrealized gain/(loss) for the six months ended June 30, 2026 and 2025 (in thousands). </w:t>
      </w:r>
    </w:p>
    <w:tbl>
      <w:tblPr>
        <w:tblW w:w="5512" w:type="dxa"/>
        <w:jc w:val="center"/>
        <w:tblInd w:w="0" w:type="dxa"/>
        <w:tblLayout w:type="fixed"/>
        <w:tblCellMar>
          <w:top w:w="28" w:type="dxa"/>
          <w:left w:w="28" w:type="dxa"/>
          <w:bottom w:w="28" w:type="dxa"/>
          <w:right w:w="28" w:type="dxa"/>
        </w:tblCellMar>
      </w:tblPr>
      <w:tblGrid>
        <w:gridCol w:w="907"/>
        <w:gridCol w:w="798"/>
        <w:gridCol w:w="800"/>
        <w:gridCol w:w="109"/>
        <w:gridCol w:w="109"/>
        <w:gridCol w:w="109"/>
        <w:gridCol w:w="220"/>
        <w:gridCol w:w="812"/>
        <w:gridCol w:w="122"/>
        <w:gridCol w:w="109"/>
        <w:gridCol w:w="109"/>
        <w:gridCol w:w="109"/>
        <w:gridCol w:w="236"/>
        <w:gridCol w:w="778"/>
        <w:gridCol w:w="185"/>
      </w:tblGrid>
      <w:tr>
        <w:trPr/>
        <w:tc>
          <w:tcPr>
            <w:tcW w:w="907"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mortgage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(90,356)</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96,257 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(2,455)</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 estate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(2,341)</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Securitized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76,636 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(92,032)</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 purchase commitments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(6,562)</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Net unrealized gain/(loss)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(12,038)</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762 </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Management fee to affiliate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management fee is based upon a percentage of our Stockholders’ Equity. See the "Contractual obligations" section of this Item 2 for further detail on the calculation of our management fee and for the definition of Stockholders’ Equity.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Non-investment related expenses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a summary of our non-investment related expenses for the six months ended June 30, 2026 and 2025 (in thousands). </w:t>
      </w:r>
    </w:p>
    <w:tbl>
      <w:tblPr>
        <w:tblW w:w="6617" w:type="dxa"/>
        <w:jc w:val="center"/>
        <w:tblInd w:w="0" w:type="dxa"/>
        <w:tblLayout w:type="fixed"/>
        <w:tblCellMar>
          <w:top w:w="28" w:type="dxa"/>
          <w:left w:w="28" w:type="dxa"/>
          <w:bottom w:w="28" w:type="dxa"/>
          <w:right w:w="28" w:type="dxa"/>
        </w:tblCellMar>
      </w:tblPr>
      <w:tblGrid>
        <w:gridCol w:w="1228"/>
        <w:gridCol w:w="1079"/>
        <w:gridCol w:w="1083"/>
        <w:gridCol w:w="109"/>
        <w:gridCol w:w="109"/>
        <w:gridCol w:w="109"/>
        <w:gridCol w:w="263"/>
        <w:gridCol w:w="746"/>
        <w:gridCol w:w="146"/>
        <w:gridCol w:w="109"/>
        <w:gridCol w:w="109"/>
        <w:gridCol w:w="109"/>
        <w:gridCol w:w="263"/>
        <w:gridCol w:w="746"/>
        <w:gridCol w:w="146"/>
        <w:gridCol w:w="109"/>
        <w:gridCol w:w="154"/>
      </w:tblGrid>
      <w:tr>
        <w:trPr/>
        <w:tc>
          <w:tcPr>
            <w:tcW w:w="1228"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Affiliate reimbursement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2,629 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3,143 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Professional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D&amp;O insurance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Directors' fees and equity 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Excise tax expense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Non-investment related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4,962 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5,787 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(1)We are required to reimburse our Manager or its affiliates for operating expenses incurred by our Manager or its affiliates on our behalf, including certain compensation expenses and other expenses relating to legal, accounting, and other services. See the "Contractual obligations" section of this Item 2 for further detail. </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(2)We did not recognize any excise tax during the six months ended June 30, 2026. Estimated excise tax expense of $43 thousand was recognized during the six months ended June 30, 2025, which included $0.1 million related to an excise tax refund.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51155"/>
                <wp:effectExtent l="0" t="0" r="0" b="0"/>
                <wp:wrapNone/>
                <wp:docPr id="58" name="Frame5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Investment related expenses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summary of our investment related expenses for the six months ended June 30, 2026 and 2025 (in thousands). These expenses increased from the six months ended June 30, 2025 to the six months ended June 30, 2026 primarily due to an increase in our GAAP residential mortgage loan portfolio.</w:t>
      </w:r>
    </w:p>
    <w:tbl>
      <w:tblPr>
        <w:tblW w:w="6827" w:type="dxa"/>
        <w:jc w:val="center"/>
        <w:tblInd w:w="0" w:type="dxa"/>
        <w:tblLayout w:type="fixed"/>
        <w:tblCellMar>
          <w:top w:w="28" w:type="dxa"/>
          <w:left w:w="28" w:type="dxa"/>
          <w:bottom w:w="28" w:type="dxa"/>
          <w:right w:w="28" w:type="dxa"/>
        </w:tblCellMar>
      </w:tblPr>
      <w:tblGrid>
        <w:gridCol w:w="1304"/>
        <w:gridCol w:w="1146"/>
        <w:gridCol w:w="1150"/>
        <w:gridCol w:w="109"/>
        <w:gridCol w:w="109"/>
        <w:gridCol w:w="109"/>
        <w:gridCol w:w="263"/>
        <w:gridCol w:w="746"/>
        <w:gridCol w:w="146"/>
        <w:gridCol w:w="109"/>
        <w:gridCol w:w="109"/>
        <w:gridCol w:w="109"/>
        <w:gridCol w:w="263"/>
        <w:gridCol w:w="746"/>
        <w:gridCol w:w="146"/>
        <w:gridCol w:w="109"/>
        <w:gridCol w:w="154"/>
      </w:tblGrid>
      <w:tr>
        <w:trPr/>
        <w:tc>
          <w:tcPr>
            <w:tcW w:w="1304"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Affiliate reimbursement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Servicing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5,181 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mortgage loan asset management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Trustee and bank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Investment related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8,518 </w:t>
            </w:r>
          </w:p>
        </w:tc>
        <w:tc>
          <w:tcPr>
            <w:tcW w:w="1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6,883 </w:t>
            </w:r>
          </w:p>
        </w:tc>
        <w:tc>
          <w:tcPr>
            <w:tcW w:w="1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Transaction related expenses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Transaction related expenses generally includes expenses associated with purchasing and securitizing residential mortgage loans. However, during the six months ended June 30, 2026, the expenses primarily consisted of $0.2 million related to legacy WMC commercial loans expenses, $0.2 million related to the expenses associated with our “at-the-market” equity offering program, and $0.1 million related to purchases of residential mortgage loans. During the six months ended June 30, 2025, the expenses were primarily related to the execution of rated securitizations.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51155"/>
                <wp:effectExtent l="0" t="0" r="0" b="0"/>
                <wp:wrapNone/>
                <wp:docPr id="59" name="Frame5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Equity in earnings/(loss) from affiliates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Equity in earnings/(loss) from affiliates represents our share of earnings and profits of investments held within affiliated entities. Substantially all of these investments are comprised of real estate securities, loans, and our investment in AG Arc which holds our investment in Arc Home. The below tables summarize the components of the "Equity in earnings/(loss) from affiliates" line item on our consolidated statements of operations (in thousands).</w:t>
      </w:r>
    </w:p>
    <w:tbl>
      <w:tblPr>
        <w:tblW w:w="5903" w:type="dxa"/>
        <w:jc w:val="left"/>
        <w:tblInd w:w="0" w:type="dxa"/>
        <w:tblLayout w:type="fixed"/>
        <w:tblCellMar>
          <w:top w:w="28" w:type="dxa"/>
          <w:left w:w="28" w:type="dxa"/>
          <w:bottom w:w="28" w:type="dxa"/>
          <w:right w:w="28" w:type="dxa"/>
        </w:tblCellMar>
      </w:tblPr>
      <w:tblGrid>
        <w:gridCol w:w="1050"/>
        <w:gridCol w:w="920"/>
        <w:gridCol w:w="924"/>
        <w:gridCol w:w="109"/>
        <w:gridCol w:w="109"/>
        <w:gridCol w:w="109"/>
        <w:gridCol w:w="263"/>
        <w:gridCol w:w="746"/>
        <w:gridCol w:w="146"/>
        <w:gridCol w:w="109"/>
        <w:gridCol w:w="109"/>
        <w:gridCol w:w="109"/>
        <w:gridCol w:w="259"/>
        <w:gridCol w:w="737"/>
        <w:gridCol w:w="204"/>
      </w:tblGrid>
      <w:tr>
        <w:trPr/>
        <w:tc>
          <w:tcPr>
            <w:tcW w:w="105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MATT Non-QM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(718)</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197 </w:t>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Re/Non-Performing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AG Arc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1,339 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Equity in earnings/(loss) from affiliates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2,269 </w:t>
            </w:r>
          </w:p>
        </w:tc>
        <w:tc>
          <w:tcPr>
            <w:tcW w:w="1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1,416 </w:t>
            </w:r>
          </w:p>
        </w:tc>
        <w:tc>
          <w:tcPr>
            <w:tcW w:w="20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(1)Effective August 1, 2025, our allocation of AG Arc’s earnings is 66.0%. For all prior periods, our allocation of AG Arc’s earnings was 44.6%.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below table breaks out the components in the "Equity in earnings/(loss) from affiliates" line item on our consolidated statements of operations (in thousands).</w:t>
      </w:r>
    </w:p>
    <w:tbl>
      <w:tblPr>
        <w:tblW w:w="9883" w:type="dxa"/>
        <w:jc w:val="center"/>
        <w:tblInd w:w="0" w:type="dxa"/>
        <w:tblLayout w:type="fixed"/>
        <w:tblCellMar>
          <w:top w:w="28" w:type="dxa"/>
          <w:left w:w="28" w:type="dxa"/>
          <w:bottom w:w="28" w:type="dxa"/>
          <w:right w:w="28" w:type="dxa"/>
        </w:tblCellMar>
      </w:tblPr>
      <w:tblGrid>
        <w:gridCol w:w="1900"/>
        <w:gridCol w:w="1661"/>
        <w:gridCol w:w="1673"/>
        <w:gridCol w:w="109"/>
        <w:gridCol w:w="109"/>
        <w:gridCol w:w="109"/>
        <w:gridCol w:w="280"/>
        <w:gridCol w:w="796"/>
        <w:gridCol w:w="156"/>
        <w:gridCol w:w="156"/>
        <w:gridCol w:w="1156"/>
        <w:gridCol w:w="109"/>
        <w:gridCol w:w="109"/>
        <w:gridCol w:w="109"/>
        <w:gridCol w:w="109"/>
        <w:gridCol w:w="109"/>
        <w:gridCol w:w="196"/>
        <w:gridCol w:w="556"/>
        <w:gridCol w:w="109"/>
        <w:gridCol w:w="109"/>
        <w:gridCol w:w="109"/>
        <w:gridCol w:w="154"/>
      </w:tblGrid>
      <w:tr>
        <w:trPr/>
        <w:tc>
          <w:tcPr>
            <w:tcW w:w="1900"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c>
          <w:tcPr>
            <w:tcW w:w="1778" w:type="dxa"/>
            <w:gridSpan w:val="11"/>
            <w:tcBorders/>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15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1778" w:type="dxa"/>
            <w:gridSpan w:val="11"/>
            <w:tcBorders/>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Interest Income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unrealized gain/(loss)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expenses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MATT Non-QM Securities and Re/Non Performing Securities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(758)</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operating income/(loss) from AG Arc (1)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income/(loss) from AG Arc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gain/(loss) on investment in AG Arc (4)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Elimination of gains on loans sold from AG Arc to MITT (1)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AG Arc Earnings/(Loss)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3,027 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color w:val="000000"/>
                <w:sz w:val="18"/>
              </w:rPr>
            </w:pPr>
            <w:r>
              <w:rPr>
                <w:rFonts w:ascii="Times New Roman;serif" w:hAnsi="Times New Roman;serif"/>
                <w:b/>
                <w:color w:val="000000"/>
                <w:sz w:val="18"/>
              </w:rPr>
              <w:t>Equity in earnings/(loss) from affiliates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2,269 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934" w:type="dxa"/>
            <w:gridSpan w:val="12"/>
            <w:tcBorders/>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(1)Represents items included in Earnings Available for Distribution. Refer to the “Earnings Available for Distribution” section below for further detail.</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(2)Primarily represents earnings from our investment in MATT Non-QM Securities. </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(3)Net operating income/(loss) from AG Arc represents income/(loss) related to Arc Home's lending and servicing operations, net of operating expenses and related current tax expense or benefit. Other income/(loss) from AG Arc represents realized and unrealized changes in the fair value of Arc Home's mortgage servicing rights, transaction related expenses, and other asset impairments, net of related tax expense or benefit.</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(4)As of June 30, 2026, the fair value of our investment in Arc Home was calculated using a valuation multiple of 1.05x of book value, which increased from 1.025x of book value as of December 31, 2025. As of June 30, 2025, the fair value of our investment in Arc Home was calculated using a valuation multiple of 1.00x of book value, which increased from 0.95x of book value as of December 31, 2024.</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(5)The earnings recognized by AG Arc do not include our portion of gains recorded by Arc Home in connection with the sale of residential mortgage loans to us. Refer to Note 10 to the "Notes to Consolidated Financial Statements (unaudited)" for more information on this accounting policy.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Income tax expense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Income tax expense for the six months ended June 30, 2026 relates to taxable income recognized on investments in residential mortgage loans held within our taxable REIT Subsidiary. During the six months ended June 30, 2025, tax expense represented minimum state and local tax filing fees.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51155"/>
                <wp:effectExtent l="0" t="0" r="0" b="0"/>
                <wp:wrapNone/>
                <wp:docPr id="60" name="Frame6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Dividends on Preferred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Holders of our Series A Preferred Stock, Series B Preferred Stock, and Series C Preferred Stock are entitled to receive cumulative cash dividends at their respective rates per annum on the $25.00 per share liquidation preference for each series. Our Series A Preferred Stock and Series B Preferred Stock have fixed rates of 8.25% and 8.00%, respectively. The initial dividend rate for our Series C Preferred Stock, from issuance through September 16, 2024, was 8.000%. On and after September 17, 2024, dividends on the Series C Preferred Stock accumulate at an annual floating rate of three-month CME Term SOFR (plus a tenor spread adjustment of 0.26161%) plus a spread of 6.476%.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Earnings Available for Distribution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One of our objectives is to generate net income from net interest margin on our portfolio, and management uses EAD, as one of several metrics, to help measure our performance against this objective. Management believes that this non-GAAP measure, when considered with our GAAP financial statements, provides supplemental information useful for investors to help evaluate our financial performance. However, management also believes that our definition of EAD has important limitations as it does not include certain earnings or losses our management team considers in evaluating our financial performance. Our presentation of EAD may not be comparable to similarly-titled measures of other companies, who may use different calculations. This non-GAAP measure should not be considered a substitute for, or superior to, Net Income/(loss) available to common stockholders or Net income/(loss) per diluted common share calculated in accordance with GAAP. Our GAAP financial results and the reconciliations from these results should be carefully evaluated.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define EAD, a non-GAAP financial measure, as Net Income/(loss) available to common stockholders excluding (i) (a) unrealized gains/(losses) on loans, real estate securities, derivatives and other investments, inclusive of our investment in AG Arc and Arc Home's net mortgage servicing rights, and (b) net realized gains/(losses) on the sale or termination of such instruments, (ii) any transaction related expenses incurred in connection with the acquisition, disposition, or securitization of our investments, (iii) the income tax effect on non-EAD income/(loss) items, and (iv) certain other nonrecurring gains or losses. Items (i) through (iv) above include any amount related to those items held in affiliated entities. EAD includes the net interest income and other income earned on our investments on a yield adjusted basis, including the net interest component of interest rate swaps, TBA dollar roll income/(loss), or any other investment activity that may earn or pay net interest or its economic equivalent. Additionally, EAD includes the net operating income/(loss) from Arc Home.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Transaction related expenses are primarily comprised of costs incurred prior to or at the time of executing our securitizations and acquiring or disposing of residential mortgage loans. These costs are nonrecurring and may include underwriting fees, legal fees, diligence fees, and other similar transaction related expenses. Recurring expenses, such as servicing fees, custodial fees, trustee fees and other similar ongoing fees are not excluded from earnings available for distribution. Management considers the transaction related expenses and income taxes related to non-EAD income/(loss) items to be similar to realized losses incurred at the acquisition, disposition, or securitization of an asset and does not view them as being part of its core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reconciliation of "Net Income/(loss) available to common stockholders" to EAD for three and six months ended June 30, 2026 and 2025 is set forth below (in thousands, except per share data).</w:t>
      </w:r>
    </w:p>
    <w:tbl>
      <w:tblPr>
        <w:tblW w:w="9500" w:type="dxa"/>
        <w:jc w:val="center"/>
        <w:tblInd w:w="0" w:type="dxa"/>
        <w:tblLayout w:type="fixed"/>
        <w:tblCellMar>
          <w:top w:w="28" w:type="dxa"/>
          <w:left w:w="28" w:type="dxa"/>
          <w:bottom w:w="28" w:type="dxa"/>
          <w:right w:w="28" w:type="dxa"/>
        </w:tblCellMar>
      </w:tblPr>
      <w:tblGrid>
        <w:gridCol w:w="1397"/>
        <w:gridCol w:w="1227"/>
        <w:gridCol w:w="1231"/>
        <w:gridCol w:w="263"/>
        <w:gridCol w:w="746"/>
        <w:gridCol w:w="146"/>
        <w:gridCol w:w="109"/>
        <w:gridCol w:w="109"/>
        <w:gridCol w:w="109"/>
        <w:gridCol w:w="242"/>
        <w:gridCol w:w="779"/>
        <w:gridCol w:w="134"/>
        <w:gridCol w:w="109"/>
        <w:gridCol w:w="109"/>
        <w:gridCol w:w="109"/>
        <w:gridCol w:w="238"/>
        <w:gridCol w:w="785"/>
        <w:gridCol w:w="132"/>
        <w:gridCol w:w="109"/>
        <w:gridCol w:w="109"/>
        <w:gridCol w:w="109"/>
        <w:gridCol w:w="236"/>
        <w:gridCol w:w="778"/>
        <w:gridCol w:w="185"/>
      </w:tblGrid>
      <w:tr>
        <w:trPr/>
        <w:tc>
          <w:tcPr>
            <w:tcW w:w="1397"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Income/(loss) available to common stockholders</w:t>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9,092 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(1,376)</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4,797 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 (Deduct):</w:t>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realized (gain)/loss</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unrealized (gain)/loss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12,038 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 related expenses (1)</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(earnings)/loss from affiliates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(2,269)</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(1,416)</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EAD from equity method investments (2)</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Dollar roll income/(loss)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available for distribution</w:t>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7,736 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5,351 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15,863 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11,333 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available for distribution, per Diluted Share</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(1)The following table presents additional detail related to transaction related expenses excluded from EAD (in thousands). The interest expense line item relates to the amortization of deferred financing costs and the income tax expense line item relates to taxes incurred on items excluded from EAD, as defined above.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51155"/>
                <wp:effectExtent l="0" t="0" r="0" b="0"/>
                <wp:wrapNone/>
                <wp:docPr id="61" name="Frame6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51155"/>
                <wp:effectExtent l="0" t="0" r="0" b="0"/>
                <wp:wrapNone/>
                <wp:docPr id="62" name="Frame6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tbl>
      <w:tblPr>
        <w:tblW w:w="9456" w:type="dxa"/>
        <w:jc w:val="left"/>
        <w:tblInd w:w="0" w:type="dxa"/>
        <w:tblLayout w:type="fixed"/>
        <w:tblCellMar>
          <w:top w:w="28" w:type="dxa"/>
          <w:left w:w="28" w:type="dxa"/>
          <w:bottom w:w="28" w:type="dxa"/>
          <w:right w:w="28" w:type="dxa"/>
        </w:tblCellMar>
      </w:tblPr>
      <w:tblGrid>
        <w:gridCol w:w="1379"/>
        <w:gridCol w:w="1212"/>
        <w:gridCol w:w="1219"/>
        <w:gridCol w:w="312"/>
        <w:gridCol w:w="670"/>
        <w:gridCol w:w="173"/>
        <w:gridCol w:w="109"/>
        <w:gridCol w:w="109"/>
        <w:gridCol w:w="109"/>
        <w:gridCol w:w="263"/>
        <w:gridCol w:w="746"/>
        <w:gridCol w:w="146"/>
        <w:gridCol w:w="109"/>
        <w:gridCol w:w="109"/>
        <w:gridCol w:w="109"/>
        <w:gridCol w:w="312"/>
        <w:gridCol w:w="670"/>
        <w:gridCol w:w="173"/>
        <w:gridCol w:w="109"/>
        <w:gridCol w:w="109"/>
        <w:gridCol w:w="109"/>
        <w:gridCol w:w="259"/>
        <w:gridCol w:w="737"/>
        <w:gridCol w:w="204"/>
      </w:tblGrid>
      <w:tr>
        <w:trPr/>
        <w:tc>
          <w:tcPr>
            <w:tcW w:w="137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Consolidated statements of operations line item:</w:t>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 related expenses</w:t>
            </w:r>
          </w:p>
        </w:tc>
        <w:tc>
          <w:tcPr>
            <w:tcW w:w="3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3,018 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666 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4,079 </w:t>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 related expenses</w:t>
            </w:r>
          </w:p>
        </w:tc>
        <w:tc>
          <w:tcPr>
            <w:tcW w:w="3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1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3,079 </w:t>
            </w:r>
          </w:p>
        </w:tc>
        <w:tc>
          <w:tcPr>
            <w:tcW w:w="1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866 </w:t>
            </w:r>
          </w:p>
        </w:tc>
        <w:tc>
          <w:tcPr>
            <w:tcW w:w="1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4,223 </w:t>
            </w:r>
          </w:p>
        </w:tc>
        <w:tc>
          <w:tcPr>
            <w:tcW w:w="20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(2)The following table presents additional detail related to EAD from equity method investments (in thousands). Refer to the “Equity in earnings/(loss) from affiliates” section within the “Results of Operations” above for additional detail. </w:t>
      </w:r>
    </w:p>
    <w:tbl>
      <w:tblPr>
        <w:tblW w:w="10205" w:type="dxa"/>
        <w:jc w:val="left"/>
        <w:tblInd w:w="0" w:type="dxa"/>
        <w:tblLayout w:type="fixed"/>
        <w:tblCellMar>
          <w:top w:w="28" w:type="dxa"/>
          <w:left w:w="28" w:type="dxa"/>
          <w:bottom w:w="28" w:type="dxa"/>
          <w:right w:w="28" w:type="dxa"/>
        </w:tblCellMar>
      </w:tblPr>
      <w:tblGrid>
        <w:gridCol w:w="1304"/>
        <w:gridCol w:w="1060"/>
        <w:gridCol w:w="1067"/>
        <w:gridCol w:w="109"/>
        <w:gridCol w:w="109"/>
        <w:gridCol w:w="109"/>
        <w:gridCol w:w="248"/>
        <w:gridCol w:w="703"/>
        <w:gridCol w:w="137"/>
        <w:gridCol w:w="137"/>
        <w:gridCol w:w="137"/>
        <w:gridCol w:w="137"/>
        <w:gridCol w:w="137"/>
        <w:gridCol w:w="109"/>
        <w:gridCol w:w="161"/>
        <w:gridCol w:w="161"/>
        <w:gridCol w:w="289"/>
        <w:gridCol w:w="623"/>
        <w:gridCol w:w="161"/>
        <w:gridCol w:w="109"/>
        <w:gridCol w:w="109"/>
        <w:gridCol w:w="109"/>
        <w:gridCol w:w="246"/>
        <w:gridCol w:w="699"/>
        <w:gridCol w:w="136"/>
        <w:gridCol w:w="109"/>
        <w:gridCol w:w="109"/>
        <w:gridCol w:w="109"/>
        <w:gridCol w:w="246"/>
        <w:gridCol w:w="699"/>
        <w:gridCol w:w="136"/>
        <w:gridCol w:w="109"/>
        <w:gridCol w:w="109"/>
        <w:gridCol w:w="109"/>
        <w:gridCol w:w="164"/>
      </w:tblGrid>
      <w:tr>
        <w:trPr/>
        <w:tc>
          <w:tcPr>
            <w:tcW w:w="1304"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491" w:type="dxa"/>
            <w:gridSpan w:val="4"/>
            <w:tcBorders/>
          </w:tcPr>
          <w:p>
            <w:pPr>
              <w:pStyle w:val="TableContents"/>
              <w:bidi w:val="0"/>
              <w:spacing w:before="0" w:after="283"/>
              <w:jc w:val="left"/>
              <w:rPr>
                <w:sz w:val="4"/>
                <w:szCs w:val="4"/>
              </w:rPr>
            </w:pPr>
            <w:r>
              <w:rPr>
                <w:sz w:val="4"/>
                <w:szCs w:val="4"/>
              </w:rPr>
            </w:r>
          </w:p>
        </w:tc>
      </w:tr>
      <w:tr>
        <w:trPr/>
        <w:tc>
          <w:tcPr>
            <w:tcW w:w="3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interest income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642 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1,323 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operating income/(loss) from AG Arc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Elimination of gains on loans sold from AG Arc to MITT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color w:val="000000"/>
                <w:sz w:val="18"/>
              </w:rPr>
            </w:pPr>
            <w:r>
              <w:rPr>
                <w:rFonts w:ascii="Times New Roman;serif" w:hAnsi="Times New Roman;serif"/>
                <w:b/>
                <w:color w:val="000000"/>
                <w:sz w:val="18"/>
              </w:rPr>
              <w:t>EAD from equity method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1,281 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2,889 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1,118 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31" w:type="dxa"/>
            <w:gridSpan w:val="3"/>
            <w:tcBorders/>
            <w:vAlign w:val="center"/>
          </w:tcPr>
          <w:p>
            <w:pPr>
              <w:pStyle w:val="TableContents"/>
              <w:bidi w:val="0"/>
              <w:spacing w:before="0" w:after="283"/>
              <w:jc w:val="left"/>
              <w:rPr>
                <w:sz w:val="4"/>
                <w:szCs w:val="4"/>
              </w:rPr>
            </w:pPr>
            <w:r>
              <w:rPr>
                <w:sz w:val="4"/>
                <w:szCs w:val="4"/>
              </w:rPr>
            </w:r>
          </w:p>
        </w:tc>
        <w:tc>
          <w:tcPr>
            <w:tcW w:w="6774" w:type="dxa"/>
            <w:gridSpan w:val="32"/>
            <w:tcBorders/>
          </w:tcPr>
          <w:p>
            <w:pPr>
              <w:pStyle w:val="TableContents"/>
              <w:bidi w:val="0"/>
              <w:spacing w:before="0" w:after="283"/>
              <w:jc w:val="left"/>
              <w:rPr>
                <w:sz w:val="4"/>
                <w:szCs w:val="4"/>
              </w:rPr>
            </w:pPr>
            <w:r>
              <w:rPr>
                <w:sz w:val="4"/>
                <w:szCs w:val="4"/>
              </w:rPr>
            </w:r>
          </w:p>
        </w:tc>
      </w:tr>
      <w:tr>
        <w:trPr/>
        <w:tc>
          <w:tcPr>
            <w:tcW w:w="3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Investment activities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Investment activities</w:t>
      </w:r>
      <w:r>
        <w:rPr>
          <w:color w:val="000000"/>
        </w:rPr>
        <w:t xml:space="preserve">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aim to allocate capital to investment opportunities with attractive risk/return profiles in our target asset classes. Our investment activities primarily include acquiring and securitizing newly-originated residential mortgage loans. We finance our acquired loans through various financing lines on a short-term basis and securitize the loans to obtain long-term, non-recourse, non-mark-to-market financing as market conditions permit. We may also invest in Agency RMBS to utilize excess liquidity. Our investment and capital allocation decisions depend on prevailing market conditions and compliance with Investment Company Act and REIT tests, among other factors, and may change over time in response to opportunities available in different economic and capital market environments. As a result, in reacting to market conditions and taking into account a variety of other factors, including liquidity, duration, and interest rate expectations, the mix of our assets changes over time as we deploy capital. We actively evaluate our investments based on factors including, among others, the characteristics of the underlying collateral, geography, expected return, expected future prepayment trends, supply of and demand for our investments, costs of financing, costs of hedging, expected future interest rate volatility, and the overall shape of the U.S. Treasury and interest rate swap yield curves.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Net interest margin and leverage ratio</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Net interest margin and leverage ratio are metrics that management believes should be considered when evaluating the performance of our investment portfolio. Net interest margin provides investors visibility into our profitability of interest income versus interest expense including the net effect of our interest rate swaps for insight into earnings available for distribution.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interest margin is calculated by subtracting the weighted average cost of funds from the weighted average yield for our investment portfolio. The weighted average yield represents an effective interest rate on our cost basis, which utilizes all estimates of future cash flows and adjusts for actual prepayment and cash flow activity as of quarter-end. The calculation of weighted average yield is weighted on amortized cost at quarter-end. The weighted average cost of funds is the sum of the weighted average funding costs on total financing arrangements outstanding at quarter-end, including all non-recourse financing arrangements, and our weighted average hedging cost or benefit, which is the weighted average of the net pay or receive rates on our interest rate swaps. The cost of funds is weighted by the outstanding financing arrangements on our investment portfolio, and the amortized cost of securitized debt and senior unsecured notes at quarter-end.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leverage ratio is determined by our portfolio mix as well as many additional factors, including the liquidity of our portfolio, the availability and price of our financing, the available capacity to finance our assets, and anticipated regulatory developments. See the "Financing activities" section below for more detail on our leverage ratio.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51155"/>
                <wp:effectExtent l="0" t="0" r="0" b="0"/>
                <wp:wrapNone/>
                <wp:docPr id="63" name="Frame6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Investment portfolio</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summary of our Investment Portfolio, inclusive of net interest margin and leverage ratios, as of June 30, 2026 ($ in thousands).</w:t>
      </w:r>
    </w:p>
    <w:tbl>
      <w:tblPr>
        <w:tblW w:w="13516" w:type="dxa"/>
        <w:jc w:val="center"/>
        <w:tblInd w:w="0" w:type="dxa"/>
        <w:tblLayout w:type="fixed"/>
        <w:tblCellMar>
          <w:top w:w="28" w:type="dxa"/>
          <w:left w:w="28" w:type="dxa"/>
          <w:bottom w:w="28" w:type="dxa"/>
          <w:right w:w="28" w:type="dxa"/>
        </w:tblCellMar>
      </w:tblPr>
      <w:tblGrid>
        <w:gridCol w:w="530"/>
        <w:gridCol w:w="282"/>
        <w:gridCol w:w="284"/>
        <w:gridCol w:w="109"/>
        <w:gridCol w:w="109"/>
        <w:gridCol w:w="109"/>
        <w:gridCol w:w="181"/>
        <w:gridCol w:w="766"/>
        <w:gridCol w:w="109"/>
        <w:gridCol w:w="109"/>
        <w:gridCol w:w="109"/>
        <w:gridCol w:w="109"/>
        <w:gridCol w:w="181"/>
        <w:gridCol w:w="766"/>
        <w:gridCol w:w="109"/>
        <w:gridCol w:w="109"/>
        <w:gridCol w:w="109"/>
        <w:gridCol w:w="109"/>
        <w:gridCol w:w="247"/>
        <w:gridCol w:w="249"/>
        <w:gridCol w:w="231"/>
        <w:gridCol w:w="109"/>
        <w:gridCol w:w="109"/>
        <w:gridCol w:w="109"/>
        <w:gridCol w:w="181"/>
        <w:gridCol w:w="766"/>
        <w:gridCol w:w="109"/>
        <w:gridCol w:w="109"/>
        <w:gridCol w:w="109"/>
        <w:gridCol w:w="109"/>
        <w:gridCol w:w="181"/>
        <w:gridCol w:w="766"/>
        <w:gridCol w:w="109"/>
        <w:gridCol w:w="109"/>
        <w:gridCol w:w="109"/>
        <w:gridCol w:w="109"/>
        <w:gridCol w:w="456"/>
        <w:gridCol w:w="325"/>
        <w:gridCol w:w="276"/>
        <w:gridCol w:w="109"/>
        <w:gridCol w:w="109"/>
        <w:gridCol w:w="109"/>
        <w:gridCol w:w="292"/>
        <w:gridCol w:w="129"/>
        <w:gridCol w:w="268"/>
        <w:gridCol w:w="109"/>
        <w:gridCol w:w="109"/>
        <w:gridCol w:w="109"/>
        <w:gridCol w:w="181"/>
        <w:gridCol w:w="646"/>
        <w:gridCol w:w="109"/>
        <w:gridCol w:w="109"/>
        <w:gridCol w:w="109"/>
        <w:gridCol w:w="109"/>
        <w:gridCol w:w="333"/>
        <w:gridCol w:w="163"/>
        <w:gridCol w:w="300"/>
        <w:gridCol w:w="109"/>
        <w:gridCol w:w="109"/>
        <w:gridCol w:w="109"/>
        <w:gridCol w:w="211"/>
        <w:gridCol w:w="211"/>
        <w:gridCol w:w="299"/>
      </w:tblGrid>
      <w:tr>
        <w:trPr/>
        <w:tc>
          <w:tcPr>
            <w:tcW w:w="53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Investment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Securitized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Cost of Funds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Allocated Equity (d)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Net Interest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Instrument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Yield (a)(b)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Financing Arrangements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Leverage Ratio (e)</w:t>
            </w:r>
          </w:p>
        </w:tc>
      </w:tr>
      <w:tr>
        <w:trPr/>
        <w:tc>
          <w:tcPr>
            <w:tcW w:w="10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Residential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Securitized Non-Agency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6,458,551 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6,212,018 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5.65 </w:t>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5,792,863 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5,606,863 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408,463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5.30 </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196,692 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0.35 </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2.0x</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Securitized Home Equity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781,045 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780,920 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7.23 </w:t>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664,838 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660,721 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62,168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5.43 </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58,031 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1.80 </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1.1x</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Securitized Re/Non-Performing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139,408 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126,237 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5.91 </w:t>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91,574 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87,653 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26,742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4.01 </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1.90 </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2.2x</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Agency-Eligible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6.21 </w:t>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18,152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5.35 </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0.86 </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5"/>
              </w:rPr>
              <w:t xml:space="preserve">7.3x </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Home Equity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234,060 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233,810 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7.73 </w:t>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141,575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5.57 </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92,235 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2.16 </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5"/>
              </w:rPr>
              <w:t xml:space="preserve">1.5x </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Non-Agency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4.40 </w:t>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5,896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5.40 </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(1.00)</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5"/>
              </w:rPr>
              <w:t xml:space="preserve">5.3x </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Residential Whole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N/A</w:t>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Non-Agency RMBS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244,408 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251,845 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8.25 </w:t>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178,996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4.41 </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72,849 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3.84 </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2.4x</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Total Residential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7,885,523 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7,633,305 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5.96 </w:t>
            </w:r>
          </w:p>
        </w:tc>
        <w:tc>
          <w:tcPr>
            <w:tcW w:w="2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6,549,275 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6,355,237 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841,992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5.27 </w:t>
            </w:r>
          </w:p>
        </w:tc>
        <w:tc>
          <w:tcPr>
            <w:tcW w:w="2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436,076 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0.69 </w:t>
            </w:r>
          </w:p>
        </w:tc>
        <w:tc>
          <w:tcPr>
            <w:tcW w:w="3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1.9x</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Agency RMBS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7.71 </w:t>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10,150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4.29 </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3.42 </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2.1x</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Legacy WMC Commercial Investments (f)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Commercial Loans (g)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62,150 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49,254 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19,875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6.39 </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29,379 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(6.39)</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0.7x</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CMBS (h)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47,867 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42,694 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16.22 </w:t>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18,998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5.07 </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11.15 </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0.8x</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Total Legacy WMC Commercial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110,017 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91,948 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7.06 </w:t>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38,873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5.74 </w:t>
            </w:r>
          </w:p>
        </w:tc>
        <w:tc>
          <w:tcPr>
            <w:tcW w:w="2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53,075 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1.32 </w:t>
            </w:r>
          </w:p>
        </w:tc>
        <w:tc>
          <w:tcPr>
            <w:tcW w:w="3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0.7x</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Total Investment Portfolio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8,010,379 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7,739,968 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5.98 </w:t>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6,549,275 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6,355,237 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891,015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5.27 </w:t>
            </w:r>
          </w:p>
        </w:tc>
        <w:tc>
          <w:tcPr>
            <w:tcW w:w="2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493,716 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0.71 </w:t>
            </w:r>
          </w:p>
        </w:tc>
        <w:tc>
          <w:tcPr>
            <w:tcW w:w="3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1.8x</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Cash and Cash Equivalents (i)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61,636 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3.53 </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Interest Rate Swaps (j)</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0.28 </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Investments in Debt and Equity of Affiliates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Arc Home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46,435 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Securities (k)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6.03 </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Other Assets/Liabilities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Senior Unsecured Notes (c)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(96,858)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10.61 </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Non-Interest Earning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546,004 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1.8x</w:t>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1048" w:type="dxa"/>
            <w:gridSpan w:val="6"/>
            <w:tcBorders/>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9" w:type="dxa"/>
            <w:gridSpan w:val="3"/>
            <w:tcBorders/>
            <w:vAlign w:val="center"/>
          </w:tcPr>
          <w:p>
            <w:pPr>
              <w:pStyle w:val="TableContents"/>
              <w:bidi w:val="0"/>
              <w:spacing w:before="0" w:after="283"/>
              <w:jc w:val="left"/>
              <w:rPr>
                <w:sz w:val="4"/>
                <w:szCs w:val="4"/>
              </w:rPr>
            </w:pPr>
            <w:r>
              <w:rPr>
                <w:sz w:val="4"/>
                <w:szCs w:val="4"/>
              </w:rPr>
            </w:r>
          </w:p>
        </w:tc>
        <w:tc>
          <w:tcPr>
            <w:tcW w:w="3434" w:type="dxa"/>
            <w:gridSpan w:val="18"/>
            <w:tcBorders/>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4" w:type="dxa"/>
            <w:gridSpan w:val="9"/>
            <w:tcBorders/>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NM - Not Meaningful</w:t>
      </w:r>
    </w:p>
    <w:p>
      <w:pPr>
        <w:pStyle w:val="TextBody"/>
        <w:bidi w:val="0"/>
        <w:spacing w:lineRule="auto" w:line="288" w:before="0" w:after="0"/>
        <w:ind w:left="0" w:right="0" w:hanging="360"/>
        <w:jc w:val="both"/>
        <w:rPr>
          <w:rFonts w:ascii="Times New Roman;serif" w:hAnsi="Times New Roman;serif"/>
          <w:b w:val="false"/>
          <w:color w:val="000000"/>
          <w:sz w:val="15"/>
        </w:rPr>
      </w:pPr>
      <w:r>
        <w:rPr>
          <w:rFonts w:ascii="Times New Roman;serif" w:hAnsi="Times New Roman;serif"/>
          <w:b w:val="false"/>
          <w:color w:val="000000"/>
          <w:sz w:val="15"/>
        </w:rPr>
        <w:t>(a)Excludes any net TBA positions.</w:t>
      </w:r>
    </w:p>
    <w:p>
      <w:pPr>
        <w:pStyle w:val="TextBody"/>
        <w:bidi w:val="0"/>
        <w:spacing w:lineRule="auto" w:line="288" w:before="0" w:after="0"/>
        <w:ind w:left="0" w:right="0" w:hanging="360"/>
        <w:jc w:val="both"/>
        <w:rPr>
          <w:rFonts w:ascii="Times New Roman;serif" w:hAnsi="Times New Roman;serif"/>
          <w:b w:val="false"/>
          <w:color w:val="000000"/>
          <w:sz w:val="15"/>
        </w:rPr>
      </w:pPr>
      <w:r>
        <w:rPr>
          <w:rFonts w:ascii="Times New Roman;serif" w:hAnsi="Times New Roman;serif"/>
          <w:b w:val="false"/>
          <w:color w:val="000000"/>
          <w:sz w:val="15"/>
        </w:rPr>
        <w:t>(b)The weighted average yields are calculated based on the amortized cost of the underlying loans and securities.</w:t>
      </w:r>
    </w:p>
    <w:p>
      <w:pPr>
        <w:pStyle w:val="TextBody"/>
        <w:bidi w:val="0"/>
        <w:spacing w:lineRule="auto" w:line="288" w:before="0" w:after="0"/>
        <w:ind w:left="0" w:right="0" w:hanging="360"/>
        <w:jc w:val="both"/>
        <w:rPr>
          <w:rFonts w:ascii="Times New Roman;serif" w:hAnsi="Times New Roman;serif"/>
          <w:b w:val="false"/>
          <w:color w:val="000000"/>
          <w:sz w:val="15"/>
        </w:rPr>
      </w:pPr>
      <w:r>
        <w:rPr>
          <w:rFonts w:ascii="Times New Roman;serif" w:hAnsi="Times New Roman;serif"/>
          <w:b w:val="false"/>
          <w:color w:val="000000"/>
          <w:sz w:val="15"/>
        </w:rPr>
        <w:t xml:space="preserve">(c)The cost of funds related to the financing on our investment portfolio inclusive of the benefit of 0.02% from our interest rate hedges was 5.27%. When including our Senior Unsecured Notes, the total cost of funds was 5.34%. </w:t>
      </w:r>
    </w:p>
    <w:p>
      <w:pPr>
        <w:pStyle w:val="TextBody"/>
        <w:bidi w:val="0"/>
        <w:spacing w:lineRule="auto" w:line="288" w:before="0" w:after="0"/>
        <w:ind w:left="0" w:right="0" w:hanging="360"/>
        <w:jc w:val="both"/>
        <w:rPr>
          <w:rFonts w:ascii="Times New Roman;serif" w:hAnsi="Times New Roman;serif"/>
          <w:b w:val="false"/>
          <w:color w:val="000000"/>
          <w:sz w:val="15"/>
        </w:rPr>
      </w:pPr>
      <w:r>
        <w:rPr>
          <w:rFonts w:ascii="Times New Roman;serif" w:hAnsi="Times New Roman;serif"/>
          <w:b w:val="false"/>
          <w:color w:val="000000"/>
          <w:sz w:val="15"/>
        </w:rPr>
        <w:t xml:space="preserve">(d)Allocated equity represents the investment fair value less the associated securitized debt at fair value and financing arrangements, where applicable. </w:t>
      </w:r>
    </w:p>
    <w:p>
      <w:pPr>
        <w:pStyle w:val="TextBody"/>
        <w:bidi w:val="0"/>
        <w:spacing w:lineRule="auto" w:line="288" w:before="0" w:after="0"/>
        <w:ind w:left="0" w:right="0" w:hanging="360"/>
        <w:jc w:val="both"/>
        <w:rPr>
          <w:rFonts w:ascii="Times New Roman;serif" w:hAnsi="Times New Roman;serif"/>
          <w:b w:val="false"/>
          <w:color w:val="000000"/>
          <w:sz w:val="15"/>
        </w:rPr>
      </w:pPr>
      <w:r>
        <w:rPr>
          <w:rFonts w:ascii="Times New Roman;serif" w:hAnsi="Times New Roman;serif"/>
          <w:b w:val="false"/>
          <w:color w:val="000000"/>
          <w:sz w:val="15"/>
        </w:rPr>
        <w:t>(e)The leverage ratio on each asset class and on our investment portfolio represents Economic Leverage as defined below in the "Financing Activities" section and is calculated by dividing each investment type's total recourse financing arrangements less any cash posted as collateral by its equity invested inclusive of any cash collateral posted on financing arrangements. The Economic Leverage Ratio excludes any fully non-recourse financing arrangements and includes any net receivables or payables on TBAs. The leverage ratio on our Investment Portfolio represents GAAP leverage as defined below in the "Financing Activities" section.</w:t>
      </w:r>
    </w:p>
    <w:p>
      <w:pPr>
        <w:pStyle w:val="TextBody"/>
        <w:bidi w:val="0"/>
        <w:spacing w:lineRule="auto" w:line="288" w:before="0" w:after="0"/>
        <w:ind w:left="0" w:right="0" w:hanging="360"/>
        <w:jc w:val="both"/>
        <w:rPr>
          <w:rFonts w:ascii="Times New Roman;serif" w:hAnsi="Times New Roman;serif"/>
          <w:b w:val="false"/>
          <w:color w:val="000000"/>
          <w:sz w:val="15"/>
        </w:rPr>
      </w:pPr>
      <w:r>
        <w:rPr>
          <w:rFonts w:ascii="Times New Roman;serif" w:hAnsi="Times New Roman;serif"/>
          <w:b w:val="false"/>
          <w:color w:val="000000"/>
          <w:sz w:val="15"/>
        </w:rPr>
        <w:t xml:space="preserve">(f)We expect to either hold the Legacy WMC Commercial Investments until maturity or opportunistically exit these investments. </w:t>
      </w:r>
    </w:p>
    <w:p>
      <w:pPr>
        <w:pStyle w:val="TextBody"/>
        <w:bidi w:val="0"/>
        <w:spacing w:lineRule="auto" w:line="288" w:before="0" w:after="0"/>
        <w:ind w:left="0" w:right="0" w:hanging="360"/>
        <w:jc w:val="both"/>
        <w:rPr>
          <w:rFonts w:ascii="Times New Roman;serif" w:hAnsi="Times New Roman;serif"/>
          <w:b w:val="false"/>
          <w:color w:val="000000"/>
          <w:sz w:val="15"/>
        </w:rPr>
      </w:pPr>
      <w:r>
        <w:rPr>
          <w:rFonts w:ascii="Times New Roman;serif" w:hAnsi="Times New Roman;serif"/>
          <w:b w:val="false"/>
          <w:color w:val="000000"/>
          <w:sz w:val="15"/>
        </w:rPr>
        <w:t xml:space="preserve">(g)The Legacy WMC Commercial Loans are on non-accrual or cost-recovery status. </w:t>
      </w:r>
    </w:p>
    <w:p>
      <w:pPr>
        <w:pStyle w:val="TextBody"/>
        <w:bidi w:val="0"/>
        <w:spacing w:lineRule="auto" w:line="288" w:before="0" w:after="0"/>
        <w:ind w:left="0" w:right="0" w:hanging="360"/>
        <w:jc w:val="both"/>
        <w:rPr>
          <w:rFonts w:ascii="Times New Roman;serif" w:hAnsi="Times New Roman;serif"/>
          <w:b w:val="false"/>
          <w:color w:val="000000"/>
          <w:sz w:val="15"/>
        </w:rPr>
      </w:pPr>
      <w:r>
        <w:rPr>
          <w:rFonts w:ascii="Times New Roman;serif" w:hAnsi="Times New Roman;serif"/>
          <w:b w:val="false"/>
          <w:color w:val="000000"/>
          <w:sz w:val="15"/>
        </w:rPr>
        <w:t xml:space="preserve">(h)There are Legacy WMC CMBS with an unpaid principal balance of $23.5 million and a fair value of $4.9 million which are on non-accrual or cost recovery status. </w:t>
      </w:r>
    </w:p>
    <w:p>
      <w:pPr>
        <w:pStyle w:val="TextBody"/>
        <w:bidi w:val="0"/>
        <w:spacing w:lineRule="auto" w:line="288" w:before="0" w:after="0"/>
        <w:ind w:left="0" w:right="0" w:hanging="360"/>
        <w:jc w:val="both"/>
        <w:rPr>
          <w:rFonts w:ascii="Times New Roman;serif" w:hAnsi="Times New Roman;serif"/>
          <w:b w:val="false"/>
          <w:color w:val="000000"/>
          <w:sz w:val="15"/>
        </w:rPr>
      </w:pPr>
      <w:r>
        <w:rPr>
          <w:rFonts w:ascii="Times New Roman;serif" w:hAnsi="Times New Roman;serif"/>
          <w:b w:val="false"/>
          <w:color w:val="000000"/>
          <w:sz w:val="15"/>
        </w:rPr>
        <w:t xml:space="preserve">(i)Cash and cash equivalents may include a portion of cash invested in money market funds. The net interest margin represents the interest earned on money market funds as of period end. </w:t>
      </w:r>
    </w:p>
    <w:p>
      <w:pPr>
        <w:pStyle w:val="TextBody"/>
        <w:bidi w:val="0"/>
        <w:spacing w:lineRule="auto" w:line="288" w:before="0" w:after="0"/>
        <w:ind w:left="0" w:right="0" w:hanging="360"/>
        <w:jc w:val="both"/>
        <w:rPr>
          <w:rFonts w:ascii="Times New Roman;serif" w:hAnsi="Times New Roman;serif"/>
          <w:b w:val="false"/>
          <w:color w:val="000000"/>
          <w:sz w:val="15"/>
        </w:rPr>
      </w:pPr>
      <w:r>
        <w:rPr>
          <w:rFonts w:ascii="Times New Roman;serif" w:hAnsi="Times New Roman;serif"/>
          <w:b w:val="false"/>
          <w:color w:val="000000"/>
          <w:sz w:val="15"/>
        </w:rPr>
        <w:t xml:space="preserve">(j)Interest rate swaps represents the sum of the net fair value of interest rate swaps and the margin posted on interest rate swaps as of period end. Net interest margin on interest rate swaps represents the weighted average net receive/(pay) rate as of period end. The impact of the net interest component of interest rate swaps on the cost of funds is included within the respective investment portfolio asset line items. </w:t>
      </w:r>
    </w:p>
    <w:p>
      <w:pPr>
        <w:pStyle w:val="TextBody"/>
        <w:bidi w:val="0"/>
        <w:spacing w:lineRule="auto" w:line="288" w:before="0" w:after="0"/>
        <w:ind w:left="0" w:right="0" w:hanging="360"/>
        <w:jc w:val="both"/>
        <w:rPr>
          <w:rFonts w:ascii="Times New Roman;serif" w:hAnsi="Times New Roman;serif"/>
          <w:b w:val="false"/>
          <w:color w:val="000000"/>
          <w:sz w:val="15"/>
        </w:rPr>
      </w:pPr>
      <w:r>
        <w:rPr>
          <w:rFonts w:ascii="Times New Roman;serif" w:hAnsi="Times New Roman;serif"/>
          <w:b w:val="false"/>
          <w:color w:val="000000"/>
          <w:sz w:val="15"/>
        </w:rPr>
        <w:t>(k)Represents certain investments recorded in the “Investments in debt and equity of affiliates” line item on our consolidated balance sheets which are collateralized by MATT Non-QM Securities and Re/Non-Performing Securities.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Securitized Non-Agency Loans and Home Equity Loans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noted above, our investment activities primarily include acquiring and securitizing newly-originated residential mortgage loans. Non-Agency VIEs are collateralized by Non-Agency and Agency-Eligible Loans. Home Equity VIEs are collateralized by revolving lines of credit and closed-end loans secured primarily by a second lien on a residential mortgaged property. Refer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51155"/>
                <wp:effectExtent l="0" t="0" r="0" b="0"/>
                <wp:wrapNone/>
                <wp:docPr id="64" name="Frame6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Notes 2 and 3 to the “Notes to Consolidated Financial Statements (unaudited)” for additional information on the assets and liabilities of our consolidated Non-Agency VIEs and Home Equity VIEs.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In each securitization transaction, a pool of loans is transferred into a newly formed securitization trust. The securitization trust issues various classes of mortgage pass-through certificates backed by the cash flows from the underlying residential mortgage loans (the "Certificates"). </w:t>
      </w:r>
      <w:r>
        <w:rPr>
          <w:rFonts w:ascii="Times New Roman;serif" w:hAnsi="Times New Roman;serif"/>
          <w:b w:val="false"/>
          <w:color w:val="000000"/>
          <w:sz w:val="20"/>
          <w:shd w:fill="FFFFFF" w:val="clear"/>
        </w:rPr>
        <w:t>When we sponsor a residential mortgage loan securitization, we are generally required to retain at least 5% of the fair value of the Certificates issued in the securitization</w:t>
      </w:r>
      <w:r>
        <w:rPr>
          <w:color w:val="000000"/>
        </w:rPr>
        <w:t xml:space="preserve"> </w:t>
      </w:r>
      <w:r>
        <w:rPr>
          <w:rFonts w:ascii="Times New Roman;serif" w:hAnsi="Times New Roman;serif"/>
          <w:b w:val="false"/>
          <w:color w:val="000000"/>
          <w:sz w:val="20"/>
        </w:rPr>
        <w:t xml:space="preserve">("Risk Retention Rules"). </w:t>
      </w:r>
      <w:r>
        <w:rPr>
          <w:rFonts w:ascii="Times New Roman;serif" w:hAnsi="Times New Roman;serif"/>
          <w:b w:val="false"/>
          <w:color w:val="000000"/>
          <w:sz w:val="20"/>
          <w:shd w:fill="FFFFFF" w:val="clear"/>
        </w:rPr>
        <w:t>We can retain either an "eligible vertical interest" (which consists of at least 5% of each class of securities issued in the securitization), an "eligible horizontal residual interest" (which is the most subordinate class of securities with a fair value of at least 5% of the aggregate credit risk) or a combination of both totaling 5% (the "Required Credit Risk")</w:t>
      </w:r>
      <w:r>
        <w:rPr>
          <w:rFonts w:ascii="Times New Roman;serif" w:hAnsi="Times New Roman;serif"/>
          <w:b w:val="false"/>
          <w:color w:val="000000"/>
          <w:sz w:val="20"/>
        </w:rPr>
        <w:t xml:space="preserve">. We typically sell the senior classes of Certificates to unrelated third parties. When we choose to retain an </w:t>
      </w:r>
      <w:r>
        <w:rPr>
          <w:rFonts w:ascii="Times New Roman;serif" w:hAnsi="Times New Roman;serif"/>
          <w:b w:val="false"/>
          <w:color w:val="000000"/>
          <w:sz w:val="20"/>
          <w:shd w:fill="FFFFFF" w:val="clear"/>
        </w:rPr>
        <w:t>eligible horizontal residual interest</w:t>
      </w:r>
      <w:r>
        <w:rPr>
          <w:rFonts w:ascii="Times New Roman;serif" w:hAnsi="Times New Roman;serif"/>
          <w:b w:val="false"/>
          <w:color w:val="000000"/>
          <w:sz w:val="20"/>
        </w:rPr>
        <w:t xml:space="preserve">, we generally purchase the most subordinated classes of Certificates and the excess cash flow Certificates. When we choose to retain an </w:t>
      </w:r>
      <w:r>
        <w:rPr>
          <w:rFonts w:ascii="Times New Roman;serif" w:hAnsi="Times New Roman;serif"/>
          <w:b w:val="false"/>
          <w:color w:val="000000"/>
          <w:sz w:val="20"/>
          <w:shd w:fill="FFFFFF" w:val="clear"/>
        </w:rPr>
        <w:t>eligible vertical interest</w:t>
      </w:r>
      <w:r>
        <w:rPr>
          <w:rFonts w:ascii="Times New Roman;serif" w:hAnsi="Times New Roman;serif"/>
          <w:b w:val="false"/>
          <w:color w:val="000000"/>
          <w:sz w:val="20"/>
        </w:rPr>
        <w:t xml:space="preserve">, we purchase a 5% interest in each class of Certificates issued. We also may purchase the Certificates entitled to excess servicing fees and other Certificates not required to meet Risk Retention Rules.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we are determined to be the primary beneficiary of these securitization transactions, we consolidate the respective VIE created to facilitate the transaction and record "Securitized residential mortgage loans" and "Securitized debt" on the consolidated balance sheets in accordance with U.S. GAAP. However, our equity at risk represents certain Certificates from each securitization which we retain.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51155"/>
                <wp:effectExtent l="0" t="0" r="0" b="0"/>
                <wp:wrapNone/>
                <wp:docPr id="65" name="Frame6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Securitized residential mortgage loans and Securitized debt, as well as the economic interest on retained Certificates related to our Non-Agency VIEs and Home Equity VIEs as of June 30, 2026 (in thousands).</w:t>
      </w:r>
    </w:p>
    <w:tbl>
      <w:tblPr>
        <w:tblW w:w="10205" w:type="dxa"/>
        <w:jc w:val="center"/>
        <w:tblInd w:w="0" w:type="dxa"/>
        <w:tblLayout w:type="fixed"/>
        <w:tblCellMar>
          <w:top w:w="28" w:type="dxa"/>
          <w:left w:w="28" w:type="dxa"/>
          <w:bottom w:w="28" w:type="dxa"/>
          <w:right w:w="28" w:type="dxa"/>
        </w:tblCellMar>
      </w:tblPr>
      <w:tblGrid>
        <w:gridCol w:w="1116"/>
        <w:gridCol w:w="915"/>
        <w:gridCol w:w="918"/>
        <w:gridCol w:w="109"/>
        <w:gridCol w:w="109"/>
        <w:gridCol w:w="109"/>
        <w:gridCol w:w="276"/>
        <w:gridCol w:w="1226"/>
        <w:gridCol w:w="153"/>
        <w:gridCol w:w="109"/>
        <w:gridCol w:w="109"/>
        <w:gridCol w:w="109"/>
        <w:gridCol w:w="196"/>
        <w:gridCol w:w="871"/>
        <w:gridCol w:w="109"/>
        <w:gridCol w:w="109"/>
        <w:gridCol w:w="109"/>
        <w:gridCol w:w="109"/>
        <w:gridCol w:w="299"/>
        <w:gridCol w:w="1126"/>
        <w:gridCol w:w="166"/>
        <w:gridCol w:w="109"/>
        <w:gridCol w:w="109"/>
        <w:gridCol w:w="109"/>
        <w:gridCol w:w="196"/>
        <w:gridCol w:w="736"/>
        <w:gridCol w:w="109"/>
        <w:gridCol w:w="109"/>
        <w:gridCol w:w="109"/>
        <w:gridCol w:w="109"/>
        <w:gridCol w:w="158"/>
      </w:tblGrid>
      <w:tr>
        <w:trPr/>
        <w:tc>
          <w:tcPr>
            <w:tcW w:w="1116"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Non-Agency VIEs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Home Equity VIEs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Unpaid Principal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Unpaid Principal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Securitized residential mortgage loans in VIEs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6,397,864 </w:t>
            </w:r>
          </w:p>
        </w:tc>
        <w:tc>
          <w:tcPr>
            <w:tcW w:w="1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6,212,018 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726,148 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780,920 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Securitized debt in VIEs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5,828,156 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5,606,863 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643,739 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660,721 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Certificates from VIEs (3)(4)(5)(6)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610,177 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121,254 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interests in VIEs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Current Face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Current Face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Senior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116,881 </w:t>
            </w:r>
          </w:p>
        </w:tc>
        <w:tc>
          <w:tcPr>
            <w:tcW w:w="1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118,897 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29,647 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Mezzanine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23,348 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Subordinate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434,149 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51,644 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Only / Excess Servicing Bonds (1)(7)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Certificates from VIEs (3)(4)(5)(6)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610,177 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121,254 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arrangements on retained Certificates from VIEs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Certificates from VIEs, net of financing arrangements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201,714 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59,086 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(1)Interest Only securities have no principal balances and bear interest based on a notional value. The notional value is used solely to determine interest distributions on the interest only classes of securities. The Securitized debt in the Non-Agency VIEs and Interest Only/Excess Servicing Bonds line items include interest only classes with a notional value of $3.2 billion and $10.3 billion, respectively. The Securitized debt in the Home Equity VIEs and Interest Only/Excess Servicing Bonds line items include interest only classes with a notional value of $238.8 million and $487.4 million, respectively. </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(2)For Non-Agency VIEs, represents the fair value of real estate owned within the VIEs and cash held in reserve accounts. We record real estate owned at the lower of cost or fair value less estimated costs to sell. We recorded real estate owned within our Non-Agency VIEs at $4.9 million. For Home Equity VIEs, represents cash held in reserve accounts within the Home Equity VIEs and included within our restricted cash. </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(3)Maximum loss exposure from our involvement with VIEs pertains to the fair value of the Certificates retained from the VIEs. We generally have no obligation to provide any other explicit or implicit support to the securitization trusts. Refer to Note 12 to the "Notes to Consolidated Financial Statements (unaudited)" for commitments related to the undrawn portion of a borrowers' home equity line of credit for which the Company may be required to fund.</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(4)Our equity at risk included bonds in our Non-Agency VIEs and Home Equity VIEs with a fair value of $378.8 million and $39.1 million, respectively, held in order to comply with Risk Retention Rules. We are generally required to hold the Required Credit Risk until the later of (i) the fifth anniversary of the securitization closing date and (ii) the date on which the aggregate unpaid principal balance of the mortgage loans has been reduced to 25% of the aggregate unpaid principal balance of the mortgage loans as of the securitization closing date, but no longer than the seventh anniversary of the closing date. </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(5)A portion of our equity at risk includes bonds exposed to the first loss of the securitization in the Non-Agency VIEs and Home Equity VIEs with a fair value of $94.7 million and $43.0 million, respectively. </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(6)Excludes net other asset/(liabilities) held within the Non-Agency VIEs and Home Equity VIEs of $6.7 million and $3.3 million, respectively. </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(7)As the sponsor and depositor of each securitization, we may purchase all of the outstanding Certificates (an "Optional Redemption") following the earlier of (1) an applicable anniversary date (typically two or three years) of the respective securitization or (2) the date at which the unpaid principal balance of the applicable collateral has declined below a certain percentage (typically 10% to 30%) of the principal balance originally contributed to the securitization. As of June 30, 2026, there were 11 Non-Agency securitizations with an unpaid principal balance of $2.4 billion that met the criteria for an Optional Redemption.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51155"/>
                <wp:effectExtent l="0" t="0" r="0" b="0"/>
                <wp:wrapNone/>
                <wp:docPr id="66" name="Frame6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Securitized residential mortgage loans and Residential mortgage loans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regarding collateral characteristics of our residential mortgage loans as of June 30, 2026 ($ in thousands).</w:t>
      </w:r>
    </w:p>
    <w:tbl>
      <w:tblPr>
        <w:tblW w:w="10760" w:type="dxa"/>
        <w:jc w:val="center"/>
        <w:tblInd w:w="0" w:type="dxa"/>
        <w:tblLayout w:type="fixed"/>
        <w:tblCellMar>
          <w:top w:w="28" w:type="dxa"/>
          <w:left w:w="28" w:type="dxa"/>
          <w:bottom w:w="28" w:type="dxa"/>
          <w:right w:w="28" w:type="dxa"/>
        </w:tblCellMar>
      </w:tblPr>
      <w:tblGrid>
        <w:gridCol w:w="692"/>
        <w:gridCol w:w="291"/>
        <w:gridCol w:w="293"/>
        <w:gridCol w:w="109"/>
        <w:gridCol w:w="109"/>
        <w:gridCol w:w="109"/>
        <w:gridCol w:w="196"/>
        <w:gridCol w:w="871"/>
        <w:gridCol w:w="109"/>
        <w:gridCol w:w="109"/>
        <w:gridCol w:w="109"/>
        <w:gridCol w:w="109"/>
        <w:gridCol w:w="196"/>
        <w:gridCol w:w="871"/>
        <w:gridCol w:w="109"/>
        <w:gridCol w:w="109"/>
        <w:gridCol w:w="109"/>
        <w:gridCol w:w="109"/>
        <w:gridCol w:w="409"/>
        <w:gridCol w:w="237"/>
        <w:gridCol w:w="186"/>
        <w:gridCol w:w="109"/>
        <w:gridCol w:w="109"/>
        <w:gridCol w:w="109"/>
        <w:gridCol w:w="385"/>
        <w:gridCol w:w="171"/>
        <w:gridCol w:w="379"/>
        <w:gridCol w:w="109"/>
        <w:gridCol w:w="109"/>
        <w:gridCol w:w="109"/>
        <w:gridCol w:w="230"/>
        <w:gridCol w:w="230"/>
        <w:gridCol w:w="231"/>
        <w:gridCol w:w="109"/>
        <w:gridCol w:w="109"/>
        <w:gridCol w:w="109"/>
        <w:gridCol w:w="233"/>
        <w:gridCol w:w="233"/>
        <w:gridCol w:w="356"/>
        <w:gridCol w:w="109"/>
        <w:gridCol w:w="109"/>
        <w:gridCol w:w="109"/>
        <w:gridCol w:w="215"/>
        <w:gridCol w:w="215"/>
        <w:gridCol w:w="216"/>
        <w:gridCol w:w="109"/>
        <w:gridCol w:w="109"/>
        <w:gridCol w:w="109"/>
        <w:gridCol w:w="109"/>
        <w:gridCol w:w="109"/>
        <w:gridCol w:w="109"/>
        <w:gridCol w:w="109"/>
        <w:gridCol w:w="154"/>
      </w:tblGrid>
      <w:tr>
        <w:trPr/>
        <w:tc>
          <w:tcPr>
            <w:tcW w:w="69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Unpaid Principal 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(1)(2)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Loan Count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Original LTV Ratio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Current FICO (4)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Coupon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Life (Years) (5)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Securitized residential mortgage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Non-Agency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6,397,864 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6,212,018 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70.79 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5.79 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Home Equity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726,148 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780,920 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65.78 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9.80 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 and Non-Performing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80.32 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Securitized residential mortgage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7,272,145 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7,119,175 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27,192 </w:t>
            </w:r>
          </w:p>
        </w:tc>
        <w:tc>
          <w:tcPr>
            <w:tcW w:w="1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70.49 </w:t>
            </w:r>
          </w:p>
        </w:tc>
        <w:tc>
          <w:tcPr>
            <w:tcW w:w="3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6.16 </w:t>
            </w:r>
          </w:p>
        </w:tc>
        <w:tc>
          <w:tcPr>
            <w:tcW w:w="3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Residential mortgage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Agency-Eligible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71.16 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6.86 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Home Equity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64.44 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8.88 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Non-Agency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75.17 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6.42 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 and Non-Performing Loans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Residential mortgage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253,882 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262,285 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2,425 </w:t>
            </w:r>
          </w:p>
        </w:tc>
        <w:tc>
          <w:tcPr>
            <w:tcW w:w="1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65.28 </w:t>
            </w:r>
          </w:p>
        </w:tc>
        <w:tc>
          <w:tcPr>
            <w:tcW w:w="3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8.65 </w:t>
            </w:r>
          </w:p>
        </w:tc>
        <w:tc>
          <w:tcPr>
            <w:tcW w:w="3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Total as of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7,526,027 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7,381,460 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29,617 </w:t>
            </w:r>
          </w:p>
        </w:tc>
        <w:tc>
          <w:tcPr>
            <w:tcW w:w="1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70.31 </w:t>
            </w:r>
          </w:p>
        </w:tc>
        <w:tc>
          <w:tcPr>
            <w:tcW w:w="3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6.24 </w:t>
            </w:r>
          </w:p>
        </w:tc>
        <w:tc>
          <w:tcPr>
            <w:tcW w:w="3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917" w:type="dxa"/>
            <w:gridSpan w:val="8"/>
            <w:tcBorders/>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(1)Loan count and weighted average excludes the Re- and Non-Performing Loans subcategory of Residential mortgage loans above as there may be limited data available regarding the underlying collateral of these residual positions.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(2)Amounts are weighted based on unpaid principal balance.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(3)Represents the original LTV or, for Re- and Non-Performing Loans and Non-Agency Loans acquired from WMC, the LTV at acquisition. For Home Equity Loans, represents the combined LTV, which considers the loan balances on a borrower’s first mortgage and related Home Equity Loan.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(4)Weighted average current FICO excludes borrowers where FICO scores were not available. Data is based on the latest available information.</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(5)Weighted average life is based on projected life. Typically, actual maturities are shorter than stated contractual maturities. Maturities are affected by the contractual lives of the underlying mortgages, periodic payments of principal, and prepayments of principal.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See Note 3 to the "Notes to Consolidated Financial Statements (unaudited)" for additional information on credit quality and a breakout of geographic concentration of credit risk within loans we include in the "Securitized residential mortgage loans, at fair value" and "Residential mortgage loans, at fair value" line items on our consolidated balance sheets.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Legacy WMC Commercial loans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2026, the borrowers of the Legacy WMC Commercial loans were in maturity default. The lender parties (including us) are evaluating with the borrowers consensual sales of the underlying properties collateralizing the loans and/or transferring title of all or certain of the properties to the lender parties via a deed-in-lieu of foreclosure. See Note 3 to the "Notes to Consolidated Financial Statements (unaudited)" for information on the status of the Legacy WMC Commercial loans, as well as coupons, weighted average life, geographic concentration, collateral characteristics, LTV, and maturities of the loans we include in the "Commercial loans, at fair value" line item on our consolidated balance sheets.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51155"/>
                <wp:effectExtent l="0" t="0" r="0" b="0"/>
                <wp:wrapNone/>
                <wp:docPr id="67" name="Frame6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Non-Agency RMBS and Legacy WMC CMBS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fair value, coupon, and weighted average life of our Non-Agency RMBS and Legacy WMC CMBS portfolios as of June 30, 2026 ($ in thousands).</w:t>
      </w:r>
    </w:p>
    <w:tbl>
      <w:tblPr>
        <w:tblW w:w="10026" w:type="dxa"/>
        <w:jc w:val="left"/>
        <w:tblInd w:w="0" w:type="dxa"/>
        <w:tblLayout w:type="fixed"/>
        <w:tblCellMar>
          <w:top w:w="28" w:type="dxa"/>
          <w:left w:w="28" w:type="dxa"/>
          <w:bottom w:w="28" w:type="dxa"/>
          <w:right w:w="28" w:type="dxa"/>
        </w:tblCellMar>
      </w:tblPr>
      <w:tblGrid>
        <w:gridCol w:w="1491"/>
        <w:gridCol w:w="1310"/>
        <w:gridCol w:w="1323"/>
        <w:gridCol w:w="109"/>
        <w:gridCol w:w="109"/>
        <w:gridCol w:w="109"/>
        <w:gridCol w:w="212"/>
        <w:gridCol w:w="796"/>
        <w:gridCol w:w="117"/>
        <w:gridCol w:w="109"/>
        <w:gridCol w:w="109"/>
        <w:gridCol w:w="109"/>
        <w:gridCol w:w="196"/>
        <w:gridCol w:w="736"/>
        <w:gridCol w:w="109"/>
        <w:gridCol w:w="109"/>
        <w:gridCol w:w="109"/>
        <w:gridCol w:w="109"/>
        <w:gridCol w:w="233"/>
        <w:gridCol w:w="233"/>
        <w:gridCol w:w="535"/>
        <w:gridCol w:w="145"/>
        <w:gridCol w:w="145"/>
        <w:gridCol w:w="145"/>
        <w:gridCol w:w="386"/>
        <w:gridCol w:w="386"/>
        <w:gridCol w:w="547"/>
      </w:tblGrid>
      <w:tr>
        <w:trPr/>
        <w:tc>
          <w:tcPr>
            <w:tcW w:w="1491"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w:t>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Instrument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Current Face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Coupon (1)</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Life (Years) (2)</w:t>
            </w:r>
          </w:p>
        </w:tc>
      </w:tr>
      <w:tr>
        <w:trPr/>
        <w:tc>
          <w:tcPr>
            <w:tcW w:w="412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Non-Agency RMBS by collateral type: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Non-QM Loans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86,345 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3.03 </w:t>
            </w:r>
          </w:p>
        </w:tc>
        <w:tc>
          <w:tcPr>
            <w:tcW w:w="5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w:t>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Agency-Eligible Loans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41,335 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3.64 </w:t>
            </w:r>
          </w:p>
        </w:tc>
        <w:tc>
          <w:tcPr>
            <w:tcW w:w="5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6.73</w:t>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Home Equity Loans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100,695 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5.48 </w:t>
            </w:r>
          </w:p>
        </w:tc>
        <w:tc>
          <w:tcPr>
            <w:tcW w:w="5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5.66</w:t>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Prime Jumbo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4.43 </w:t>
            </w:r>
          </w:p>
        </w:tc>
        <w:tc>
          <w:tcPr>
            <w:tcW w:w="5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17.75</w:t>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Non-Agency RMBS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232,656 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251,845 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3.92 </w:t>
            </w:r>
          </w:p>
        </w:tc>
        <w:tc>
          <w:tcPr>
            <w:tcW w:w="5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w:t>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Legacy WMC CMBS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Single-Asset/Single-Borrower - Fixed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48,498 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6.11 </w:t>
            </w:r>
          </w:p>
        </w:tc>
        <w:tc>
          <w:tcPr>
            <w:tcW w:w="5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w:t>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Single-Asset/Single-Borrower - Floating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18,533 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6.66 </w:t>
            </w:r>
          </w:p>
        </w:tc>
        <w:tc>
          <w:tcPr>
            <w:tcW w:w="5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0.36</w:t>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Conduit - Fixed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15,042 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4.20 </w:t>
            </w:r>
          </w:p>
        </w:tc>
        <w:tc>
          <w:tcPr>
            <w:tcW w:w="5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w:t>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Legacy WMC CMBS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82,073 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5.88 </w:t>
            </w:r>
          </w:p>
        </w:tc>
        <w:tc>
          <w:tcPr>
            <w:tcW w:w="5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w:t>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Non-Agency RMBS and Legacy WMC CMBS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314,729 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294,539 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4.31 </w:t>
            </w:r>
          </w:p>
        </w:tc>
        <w:tc>
          <w:tcPr>
            <w:tcW w:w="5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w:t>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(1)Equity residual investments with a zero coupon rate are excluded from this calculation. </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(2)Weighted average life is based on projected life. Typically, actual maturities are shorter than stated contractual maturities.</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(3)Interest Only securities have no principal balances and bear interest based on a notional value. The notional value is used solely to determine interest distributions on the interest only classes of securities. The notional value of interest only classes included in the Non-QM Loans, Agency-Eligible Loans, and Home Equity Loans items was $134.7 million, $35.7 million, and $273.8 million, respectively. </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(4)There are Legacy WMC CMBS with an unpaid principal balance of $23.5 million and a fair value of $4.9 million which are on non-accrual or cost recovery status.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fair value of our Non-Agency RMBS and Legacy WMC CMBS by credit rating as of June 30, 2026 (in thousands).</w:t>
      </w:r>
    </w:p>
    <w:p>
      <w:pPr>
        <w:pStyle w:val="TextBody"/>
        <w:bidi w:val="0"/>
        <w:spacing w:before="0" w:after="0"/>
        <w:jc w:val="both"/>
        <w:rPr/>
      </w:pPr>
      <w:r>
        <w:rPr/>
      </w:r>
    </w:p>
    <w:tbl>
      <w:tblPr>
        <w:tblW w:w="8414" w:type="dxa"/>
        <w:jc w:val="center"/>
        <w:tblInd w:w="0" w:type="dxa"/>
        <w:tblLayout w:type="fixed"/>
        <w:tblCellMar>
          <w:top w:w="28" w:type="dxa"/>
          <w:left w:w="28" w:type="dxa"/>
          <w:bottom w:w="28" w:type="dxa"/>
          <w:right w:w="28" w:type="dxa"/>
        </w:tblCellMar>
      </w:tblPr>
      <w:tblGrid>
        <w:gridCol w:w="1493"/>
        <w:gridCol w:w="1310"/>
        <w:gridCol w:w="1321"/>
        <w:gridCol w:w="109"/>
        <w:gridCol w:w="109"/>
        <w:gridCol w:w="109"/>
        <w:gridCol w:w="306"/>
        <w:gridCol w:w="1155"/>
        <w:gridCol w:w="173"/>
        <w:gridCol w:w="109"/>
        <w:gridCol w:w="109"/>
        <w:gridCol w:w="109"/>
        <w:gridCol w:w="358"/>
        <w:gridCol w:w="1182"/>
        <w:gridCol w:w="199"/>
        <w:gridCol w:w="109"/>
        <w:gridCol w:w="154"/>
      </w:tblGrid>
      <w:tr>
        <w:trPr/>
        <w:tc>
          <w:tcPr>
            <w:tcW w:w="1493"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Credit Rating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Non-Agency RMBS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Legacy WMC CMBS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AAA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117,114 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18,055 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20,386 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BBB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28,450 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12,249 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9,191 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Below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35,197 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 Rated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46,400 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Non-Agency RMBS and Legacy WMC CMBS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251,845 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42,694 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(1)Represents the minimum rating for rated assets of S&amp;P, Moody's, Morningstar, and Fitch credit ratings, stated in terms of the S&amp;P equivalent.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51155"/>
                <wp:effectExtent l="0" t="0" r="0" b="0"/>
                <wp:wrapNone/>
                <wp:docPr id="68" name="Frame6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geographic concentration of the underlying collateral for our Non-Agency RMBS and Legacy WMC CMBS portfolios as of June 30, 2026 ($ in thousands).</w:t>
      </w:r>
    </w:p>
    <w:p>
      <w:pPr>
        <w:pStyle w:val="TextBody"/>
        <w:bidi w:val="0"/>
        <w:spacing w:before="0" w:after="0"/>
        <w:jc w:val="both"/>
        <w:rPr/>
      </w:pPr>
      <w:r>
        <w:rPr/>
      </w:r>
    </w:p>
    <w:tbl>
      <w:tblPr>
        <w:tblW w:w="9538" w:type="dxa"/>
        <w:jc w:val="left"/>
        <w:tblInd w:w="0" w:type="dxa"/>
        <w:tblLayout w:type="fixed"/>
        <w:tblCellMar>
          <w:top w:w="28" w:type="dxa"/>
          <w:left w:w="28" w:type="dxa"/>
          <w:bottom w:w="28" w:type="dxa"/>
          <w:right w:w="28" w:type="dxa"/>
        </w:tblCellMar>
      </w:tblPr>
      <w:tblGrid>
        <w:gridCol w:w="624"/>
        <w:gridCol w:w="549"/>
        <w:gridCol w:w="552"/>
        <w:gridCol w:w="109"/>
        <w:gridCol w:w="109"/>
        <w:gridCol w:w="109"/>
        <w:gridCol w:w="279"/>
        <w:gridCol w:w="279"/>
        <w:gridCol w:w="658"/>
        <w:gridCol w:w="109"/>
        <w:gridCol w:w="109"/>
        <w:gridCol w:w="109"/>
        <w:gridCol w:w="196"/>
        <w:gridCol w:w="736"/>
        <w:gridCol w:w="109"/>
        <w:gridCol w:w="109"/>
        <w:gridCol w:w="109"/>
        <w:gridCol w:w="109"/>
        <w:gridCol w:w="569"/>
        <w:gridCol w:w="569"/>
        <w:gridCol w:w="571"/>
        <w:gridCol w:w="109"/>
        <w:gridCol w:w="109"/>
        <w:gridCol w:w="109"/>
        <w:gridCol w:w="279"/>
        <w:gridCol w:w="279"/>
        <w:gridCol w:w="658"/>
        <w:gridCol w:w="109"/>
        <w:gridCol w:w="109"/>
        <w:gridCol w:w="109"/>
        <w:gridCol w:w="196"/>
        <w:gridCol w:w="646"/>
        <w:gridCol w:w="154"/>
      </w:tblGrid>
      <w:tr>
        <w:trPr/>
        <w:tc>
          <w:tcPr>
            <w:tcW w:w="624"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Non-Agency RMBS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Legacy WMC CMBS</w:t>
            </w:r>
          </w:p>
        </w:tc>
      </w:tr>
      <w:tr>
        <w:trPr/>
        <w:tc>
          <w:tcPr>
            <w:tcW w:w="17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Geographic Location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Concentration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Geographic Location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Concentration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172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California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28.6 </w:t>
            </w:r>
          </w:p>
        </w:tc>
        <w:tc>
          <w:tcPr>
            <w:tcW w:w="6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71,926 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California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40.8 </w:t>
            </w:r>
          </w:p>
        </w:tc>
        <w:tc>
          <w:tcPr>
            <w:tcW w:w="6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17,419 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Florida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65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Minnesota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25.7 </w:t>
            </w:r>
          </w:p>
        </w:tc>
        <w:tc>
          <w:tcPr>
            <w:tcW w:w="65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10,973 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New York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6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Texas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6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65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New York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65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New Jersey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6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Pennsylvania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6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47.6 </w:t>
            </w:r>
          </w:p>
        </w:tc>
        <w:tc>
          <w:tcPr>
            <w:tcW w:w="65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119,916 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65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6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251,845 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6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42,694 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Agency RMBS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Although our investment activities primarily include acquiring and securitizing newly-originated residential mortgage loans, from time to time we invest excess liquidity into Agency RMBS. The following table presents the fair value, constant prepayment rate (“CPR”), coupon, and weighted average life experienced on our Agency RMBS portfolio as of June 30, 2026 ($ in thousands).</w:t>
      </w:r>
    </w:p>
    <w:tbl>
      <w:tblPr>
        <w:tblW w:w="7511" w:type="dxa"/>
        <w:jc w:val="center"/>
        <w:tblInd w:w="0" w:type="dxa"/>
        <w:tblLayout w:type="fixed"/>
        <w:tblCellMar>
          <w:top w:w="28" w:type="dxa"/>
          <w:left w:w="28" w:type="dxa"/>
          <w:bottom w:w="28" w:type="dxa"/>
          <w:right w:w="28" w:type="dxa"/>
        </w:tblCellMar>
      </w:tblPr>
      <w:tblGrid>
        <w:gridCol w:w="799"/>
        <w:gridCol w:w="701"/>
        <w:gridCol w:w="704"/>
        <w:gridCol w:w="109"/>
        <w:gridCol w:w="109"/>
        <w:gridCol w:w="109"/>
        <w:gridCol w:w="196"/>
        <w:gridCol w:w="646"/>
        <w:gridCol w:w="109"/>
        <w:gridCol w:w="109"/>
        <w:gridCol w:w="109"/>
        <w:gridCol w:w="109"/>
        <w:gridCol w:w="233"/>
        <w:gridCol w:w="233"/>
        <w:gridCol w:w="399"/>
        <w:gridCol w:w="109"/>
        <w:gridCol w:w="109"/>
        <w:gridCol w:w="109"/>
        <w:gridCol w:w="233"/>
        <w:gridCol w:w="233"/>
        <w:gridCol w:w="398"/>
        <w:gridCol w:w="109"/>
        <w:gridCol w:w="109"/>
        <w:gridCol w:w="109"/>
        <w:gridCol w:w="386"/>
        <w:gridCol w:w="386"/>
        <w:gridCol w:w="547"/>
      </w:tblGrid>
      <w:tr>
        <w:trPr/>
        <w:tc>
          <w:tcPr>
            <w:tcW w:w="79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CPR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Coupon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Life (Years) (2)</w:t>
            </w:r>
          </w:p>
        </w:tc>
      </w:tr>
      <w:tr>
        <w:trPr/>
        <w:tc>
          <w:tcPr>
            <w:tcW w:w="2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r>
      <w:tr>
        <w:trPr/>
        <w:tc>
          <w:tcPr>
            <w:tcW w:w="2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r>
      <w:tr>
        <w:trPr/>
        <w:tc>
          <w:tcPr>
            <w:tcW w:w="2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r>
      <w:tr>
        <w:trPr/>
        <w:tc>
          <w:tcPr>
            <w:tcW w:w="2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Agency RMBS Interest Only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3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4.89 </w:t>
            </w:r>
          </w:p>
        </w:tc>
        <w:tc>
          <w:tcPr>
            <w:tcW w:w="3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w:t>
            </w:r>
          </w:p>
        </w:tc>
      </w:tr>
      <w:tr>
        <w:trPr/>
        <w:tc>
          <w:tcPr>
            <w:tcW w:w="2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(1)Represents the weighted average monthly CPRs published during the period for our in-place portfolio.</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(2)Weighted average life is based on projected life. Typically, actual maturities are shorter than stated contractual maturities.</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color w:val="252525"/>
          <w:sz w:val="20"/>
        </w:rPr>
      </w:pPr>
      <w:r>
        <w:rPr>
          <w:rFonts w:ascii="Times New Roman;serif" w:hAnsi="Times New Roman;serif"/>
          <w:b/>
          <w:color w:val="252525"/>
          <w:sz w:val="20"/>
        </w:rPr>
        <w:t>Financing activities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use leverage to finance the purchase of our investment portfolio. Our leverage has primarily been in the form of repurchase agreements and facilities used to finance residential mortgage loans (which we refer to collectively as financing arrangements). We also utilize securitized debt to finance our loan portfolio. In addition, we may obtain financing through the issuance of senior unsecured notes.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252525"/>
          <w:sz w:val="20"/>
        </w:rPr>
      </w:pPr>
      <w:r>
        <w:rPr>
          <w:rFonts w:ascii="Times New Roman;serif" w:hAnsi="Times New Roman;serif"/>
          <w:b w:val="false"/>
          <w:i/>
          <w:color w:val="252525"/>
          <w:sz w:val="20"/>
        </w:rPr>
        <w:t xml:space="preserve">Financing Arrangements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Repurchase agreements involve the sale and a simultaneous agreement to repurchase the transferred assets or similar assets at a future date. The amount borrowed generally is equal to the fair value of the assets pledged less an agreed-upon discount, referred to as a "haircut." The size of the haircut reflects the perceived risk associated with the pledged asset. Haircuts may change as our financing arrangements mature or roll and are sensitive to governmental regulations. Interest rates for our financing arrangements are determined based on prevailing rates (typically a spread over a base rate) corresponding to the terms of the borrowings, and interest is paid on a monthly basis or, for shorter term arrangements, at the end of the term. Repurchase agreements typically have a term of up to one year for loans and a term of 30 to 90 days for securities. Repurchase agreements are generally mark-to-market with respect to margin calls and recourse to us. We also have certain financing arrangements collateralized by residential mortgage loans which are recourse to us, but are not subject to mark-to-market margin calls. We had outstanding financing arrangements with six counterparties as of June 30, 2026.</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financing arrangements generally include customary representations, warranties, and covenants, but may also contain more restrictive supplemental terms and conditions. Although specific to each financing arrangement, typical supplemental terms include requirements of minimum equity and liquidity, leverage ratios, and performance triggers. In addition, some of the financing arrangements contain cross default features, whereby default under an agreement with one lender simultaneously causes default under agreements with other lenders. To the extent that we fail to comply with the covenants contained in these financing arrangements or are otherwise found to be in default under the terms of such agreements, the counterparty has the right to accelerate amounts due under the associated agreement. As of June 30, 2026, we are in compliance with all of our financial covenants.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51155"/>
                <wp:effectExtent l="0" t="0" r="0" b="0"/>
                <wp:wrapNone/>
                <wp:docPr id="69" name="Frame6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252525"/>
          <w:sz w:val="20"/>
        </w:rPr>
      </w:pPr>
      <w:r>
        <w:rPr>
          <w:rFonts w:ascii="Times New Roman;serif" w:hAnsi="Times New Roman;serif"/>
          <w:b w:val="false"/>
          <w:i/>
          <w:color w:val="252525"/>
          <w:sz w:val="20"/>
        </w:rPr>
        <w:t>Securitized Debt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explained in the “Investment Activities” section above, our investment strategy focuses on acquiring and securitizing newly originated residential mortgage loans. In each securitization transaction, a pool of loans is transferred into a newly formed securitization trust. This trust issues Certificates, and we typically sell the senior classes of these Certificates to unrelated third parties. We record “Securitized debt" on our consolidated balance sheet in accordance with U.S. GAAP when we determine that we are the primary beneficiary of the securitization transaction. The proceeds from securitization transactions are used to repay any outstanding financing arrangements initially employed to acquire newly originated residential mortgage loans, replacing recourse financing with mark-to-market margin calls with securitized debt. Securitized debt is generally long-term in nature, non-recourse to us and is not subject to mark-to-market margin calls. Additionally, generally the holders of the securitized debt have no recourse to the general credit of the Company and we have no obligation to provide any other explicit or implicit support to the securitization trusts.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Senior Unsecured Notes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During 2024, we issued senior unsecured notes which consist of $34.5 million principal amount 9.500% Senior Notes due February 2029 and $65.0 million principal amount 9.500% Senior Notes due May 2029. See Note 6 to the "Notes to Consolidated Financial Statements (unaudited)" for additional information on the Senior Unsecured Notes.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Leverage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use leverage to increase potential returns to our stockholders. Our financing strategy is designed to increase the size of our investment portfolio by borrowing against the fair value of the assets in our portfolio. As discussed above, financing arrangements are generally recourse to the Company whereas securitized debt used to finance our Non-Agency VIEs, Home Equity VIEs, and RPL/NPL VIEs is generally non-recourse to the Company. In addition to disclosing GAAP leverage, we also disclose Economic Leverage, which excludes non-recourse financing. Management believes that this non-GAAP measure, when considered with our GAAP financial statements, provides supplemental information useful for investors to help evaluate our use of leverage and the related risk associated with our leverage profile. Our presentation of Economic Leverage may not be comparable to similarly-titled measures of other companies, who may use different calculations. This non-GAAP measure should not be considered a substitute for, or superior to, GAAP leverage calculated in accordance with GAAP. Our GAAP financial results and the reconciliations from these results should be carefully evaluated.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define GAAP leverage as the sum of (1) Securitized debt, at fair value, (2) Financing arrangements, net of any restricted cash posted on such financing arrangements, (3) Senior Unsecured Notes, and (4) the amount payable on purchases that have not yet settled less the financing remaining on sales that have not yet settled. We define Economic Leverage, a non-GAAP metric, as the sum of our GAAP leverage, exclusive of any fully non-recourse financing arrangements, and our net TBA position (at cost), if any. Our leverage does not include any financing utilized through AG Arc.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calculations in the table below divide GAAP Leverage and Economic Leverage by our GAAP stockholders’ equity to derive our leverage ratios. The following table presents a reconciliation of our Economic Leverage ratio to GAAP Leverage ($ in thousands).</w:t>
      </w:r>
    </w:p>
    <w:p>
      <w:pPr>
        <w:pStyle w:val="TextBody"/>
        <w:bidi w:val="0"/>
        <w:spacing w:before="0" w:after="0"/>
        <w:jc w:val="both"/>
        <w:rPr/>
      </w:pPr>
      <w:r>
        <w:rPr/>
      </w:r>
    </w:p>
    <w:tbl>
      <w:tblPr>
        <w:tblW w:w="8816" w:type="dxa"/>
        <w:jc w:val="left"/>
        <w:tblInd w:w="0" w:type="dxa"/>
        <w:tblLayout w:type="fixed"/>
        <w:tblCellMar>
          <w:top w:w="28" w:type="dxa"/>
          <w:left w:w="28" w:type="dxa"/>
          <w:bottom w:w="28" w:type="dxa"/>
          <w:right w:w="28" w:type="dxa"/>
        </w:tblCellMar>
      </w:tblPr>
      <w:tblGrid>
        <w:gridCol w:w="1304"/>
        <w:gridCol w:w="1152"/>
        <w:gridCol w:w="1158"/>
        <w:gridCol w:w="109"/>
        <w:gridCol w:w="109"/>
        <w:gridCol w:w="109"/>
        <w:gridCol w:w="196"/>
        <w:gridCol w:w="871"/>
        <w:gridCol w:w="109"/>
        <w:gridCol w:w="109"/>
        <w:gridCol w:w="109"/>
        <w:gridCol w:w="109"/>
        <w:gridCol w:w="327"/>
        <w:gridCol w:w="1229"/>
        <w:gridCol w:w="184"/>
        <w:gridCol w:w="109"/>
        <w:gridCol w:w="109"/>
        <w:gridCol w:w="109"/>
        <w:gridCol w:w="382"/>
        <w:gridCol w:w="382"/>
        <w:gridCol w:w="541"/>
      </w:tblGrid>
      <w:tr>
        <w:trPr/>
        <w:tc>
          <w:tcPr>
            <w:tcW w:w="1304"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Leverage Ratio</w:t>
            </w:r>
          </w:p>
        </w:tc>
      </w:tr>
      <w:tr>
        <w:trPr/>
        <w:tc>
          <w:tcPr>
            <w:tcW w:w="361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Securitized debt, at fair value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6,355,237 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arrangements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891,015 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Senior Unsecured Notes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posted on financing arrangements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GAAP Leverage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7,335,080 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546,004 </w:t>
            </w:r>
          </w:p>
        </w:tc>
        <w:tc>
          <w:tcPr>
            <w:tcW w:w="1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13.4x</w:t>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Non-recourse financing arrangements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(6,355,237)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Economic Leverage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979,843 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546,004 </w:t>
            </w:r>
          </w:p>
        </w:tc>
        <w:tc>
          <w:tcPr>
            <w:tcW w:w="1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1.8x</w:t>
            </w:r>
          </w:p>
        </w:tc>
      </w:tr>
    </w:tbl>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(1) Securitized debt, at fair value is non-recourse to the Company.</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(2) Financing arrangements and senior unsecured notes are recourse to the Company.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51155"/>
                <wp:effectExtent l="0" t="0" r="0" b="0"/>
                <wp:wrapNone/>
                <wp:docPr id="70" name="Frame7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Hedging activities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Subject to maintaining our qualification as a REIT and our Investment Company Act exemption, to the extent leverage is deployed, we may utilize derivative instruments in an effort to hedge the interest rate risk associated with the financing of our portfolio. Specifically, we may seek to hedge our exposure to potential interest rate mismatches between the interest we earn on our investments and our borrowing costs caused by fluctuations in short-term interest rates. We may utilize interest rate swaps, swaption agreements, and other financial instruments such as short positions in to-be-announced securities. In utilizing leverage and interest rate derivatives, our objectives are to improve risk-adjusted returns and, where possible, to lock in, on a long-term basis, a spread between the yield on our assets and the costs of our financing and hedging. Derivatives have not been designated as hedging instruments for GAAP. See Note 7 in the "Notes to Consolidated Financial Statements (unaudited)" for more information.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Dividends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Federal income tax law generally requires that a REIT distribute annually at least 90% of its REIT ordinary taxable income, without regard to the deduction for dividends paid and excluding net capital gains and that it pay tax at regular corporate rates to the extent that it annually distributes less than 100% of its net taxable income. Before we pay any dividend, whether for U.S. federal income tax purposes or otherwise, we must first meet both our operating requirements and debt service on our financing arrangements and other debt payable. If our cash available for distribution is less than our net taxable income, we could be required to sell assets or borrow funds to make required cash distributions or we may make a portion of the required distribution in the form of a taxable stock distribution or distribution of debt securities.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described above, our distribution requirements are based on taxable income rather than GAAP net income. Differences between taxable income and GAAP net income include (i) unrealized gains and losses associated with investment and derivative portfolios which are marked-to-market in current income for GAAP purposes, but excluded from taxable income until realized or settled, (ii) temporary differences related to amortization of premiums and discounts paid on investments, (iii) the timing and amount of deductions related to stock-based compensation, (iv) temporary differences related to the recognition of realized gains and losses on sold investments and certain terminated derivatives, (v) taxes, and (vi) differences between GAAP income or losses in our TRSs and taxable income resulting from dividend distributions to the REIT from our TRSs. Undistributed taxable income is based on current estimates and is not finalized until we file our annual tax return for that tax year, typically in October of the following year. As of December 31, 2025, we had estimated undistributed taxable income of approximately $0.12 per common share.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Company declared common stock dividends of $0.48 per share. During the same period, the Company declared and paid preferred stock dividends on its Series A Preferred Stock, Series B Preferred Stock, and Series C Preferred Stock of $1.03126, $1.00, and $1.318343 per share,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liquidity determines our ability to meet our cash obligations, including distributions to our stockholders, payment of our expenses, financing our investments and satisfying other general business needs.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principal sources of cash consist of borrowings under securitized debt and financing arrangements, principal and interest payments we receive on our investment portfolio, cash generated from our operating results, proceeds from the sale of investments, and proceeds from capital market transactions. We typically use cash to repay principal and interest on our securitized debt, financing arrangements and senior unsecured notes, to purchase loans, real estate securities, and other real estate related assets, to make dividend payments on our capital stock, to repurchase our capital stock, and to fund our operations. We may also generate liquidity when restricted cash that was pledged as collateral for clearing and executing trades, derivatives, and financing arrangements becomes unrestricted when the related collateral requirements are exceeded or at the maturity of the derivative or financing arrangement. Refer to "—Margin requirements" below discussing instances where we may use liquidity to meet margin requirements. As of June 30, 2026, we pledged Home Equity Loans with a fair value of $63.5 million in which we have no outstanding financing but have $50.0 million of available financing which is contractually committed. At June 30, 2026, we had $111.6 million of liquidity, which consisted of $61.6 million of cash and cash equivalents and $50.0 million of available committed financing on certain Home Equity Loans available to support our liquidity needs.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Margin requirements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 of our loans and real estate securities fluctuate according to market conditions. When the fair value of the assets pledged as collateral to secure a financing arrangement decreases to the point where the difference between the collateral fair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51155"/>
                <wp:effectExtent l="0" t="0" r="0" b="0"/>
                <wp:wrapNone/>
                <wp:docPr id="71" name="Frame7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value and the financing arrangement amount is less than the haircut, our lenders may issue a "margin call," which requires us to post additional collateral to the lender in the form of additional assets or cash. Under our repurchase facilities, our lenders have full discretion to determine the fair value of the securities we pledge to them. Our lenders typically value assets based on recent transactions in the market. Lenders also issue margin calls as the published current principal balance factors change on the pool of mortgages underlying the securities pledged as collateral when scheduled and unscheduled paydowns are announced monthly. We experience margin calls in the ordinary course of our business. In addition to our cash and cash equivalents, we may hold unpledged Agency RMBS and maintain available committed financing on certain residential mortgage loans to effectively manage the margin requirements established by our lenders. We refer to this position as our "liquidity." The level of liquidity we maintain to meet margin calls is directly affected by our leverage levels, our haircuts and the price changes on our assets. Typically, if interest rates increase or if credit spreads widen, then the prices of our collateral (and our unpledged Agency RMBS that constitute a portion of our liquidity) will decline, we will experience margin calls, and we will need to use our liquidity to meet the margin calls. There can be no assurance that we will maintain sufficient levels of liquidity to meet any margin calls. If our haircuts on existing financing arrangements increase, our liquidity will proportionately decrease. We intend to maintain a level of liquidity in relation to our borrowings that enables us to meet reasonably anticipated margin calls but that also allows us to be substantially invested in the residential mortgage market. We may misjudge the appropriate amount of our liquidity by maintaining excessive liquidity, which would lower our investment returns, or by maintaining insufficient liquidity, which may force us to liquidate assets into potentially unfavorable market conditions and harm our results of operations and financial condition.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Similar to the margin calls that we receive on our borrowing agreements, we may also receive margin calls on our derivative instruments when their fair value declines. This typically occurs when prevailing market rates change adversely, with the severity of the change also dependent on the terms of the derivatives involved. We may also receive margin calls on our derivatives based on the implied volatility of interest rates. Our posting of collateral with our counterparties can be done in cash or assets, and is generally bilateral, which means that if the fair value of our interest rate hedges increases, our counterparty will be required to post collateral with us. Refer to the "Liquidity risk – derivatives" section of Item 3 below for a further discussion on margin.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Cash flows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below details changes to our cash, cash equivalents, and restricted cash for the six months ended June 30, 2026 and 2025 (in thousands).</w:t>
      </w:r>
    </w:p>
    <w:tbl>
      <w:tblPr>
        <w:tblW w:w="9249" w:type="dxa"/>
        <w:jc w:val="left"/>
        <w:tblInd w:w="0" w:type="dxa"/>
        <w:tblLayout w:type="fixed"/>
        <w:tblCellMar>
          <w:top w:w="28" w:type="dxa"/>
          <w:left w:w="28" w:type="dxa"/>
          <w:bottom w:w="28" w:type="dxa"/>
          <w:right w:w="28" w:type="dxa"/>
        </w:tblCellMar>
      </w:tblPr>
      <w:tblGrid>
        <w:gridCol w:w="1761"/>
        <w:gridCol w:w="1544"/>
        <w:gridCol w:w="1554"/>
        <w:gridCol w:w="109"/>
        <w:gridCol w:w="109"/>
        <w:gridCol w:w="109"/>
        <w:gridCol w:w="238"/>
        <w:gridCol w:w="785"/>
        <w:gridCol w:w="132"/>
        <w:gridCol w:w="109"/>
        <w:gridCol w:w="109"/>
        <w:gridCol w:w="109"/>
        <w:gridCol w:w="217"/>
        <w:gridCol w:w="817"/>
        <w:gridCol w:w="121"/>
        <w:gridCol w:w="109"/>
        <w:gridCol w:w="109"/>
        <w:gridCol w:w="109"/>
        <w:gridCol w:w="202"/>
        <w:gridCol w:w="743"/>
        <w:gridCol w:w="154"/>
      </w:tblGrid>
      <w:tr>
        <w:trPr/>
        <w:tc>
          <w:tcPr>
            <w:tcW w:w="1761"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and restricted cash,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76,321 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138,568 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(62,247)</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operating activities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44,581 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23,515 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investing activities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682,065 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(485,249)</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1,167,314 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financing activities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(720,805)</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423,335 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(1,144,140)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cash and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(38,399)</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and restricted cash, End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82,162 </w:t>
            </w:r>
          </w:p>
        </w:tc>
        <w:tc>
          <w:tcPr>
            <w:tcW w:w="132"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100,169 </w:t>
            </w:r>
          </w:p>
        </w:tc>
        <w:tc>
          <w:tcPr>
            <w:tcW w:w="12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3"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(18,007)</w:t>
            </w:r>
          </w:p>
        </w:tc>
        <w:tc>
          <w:tcPr>
            <w:tcW w:w="154"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(1)Cash provided by operating activities is primarily attributable to net interest income less operating expenses for the six months ended June 30, 2026. </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(2)Cash provided by investing activities for the six months ended June 30, 2026 was primarily attributable to principal repayments on our investment portfolio and proceeds from the sale of certain investments, offset by purchases of residential mortgage loans and real estate securities.</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(3)Cash used in financing activities for the six months ended June 30, 2026 was primarily attributable to principal repayments on securitized debt and dividend payments, offset by net borrowing of repurchase agreements.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Stock repurchase programs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3, 2022, our Board of Directors authorized a stock repurchase program (the "2022 Repurchase Program") to repurchase up to $15.0 million of our outstanding common stock. The 2022 Repurchase Program does not have an expiration date and permits us to repurchase our shares through various methods, including open market repurchases, privately negotiated block transactions and Rule 10b5-1 plans. We may repurchase shares of our common stock from time to time in compliance with SEC regulations and other legal requirements. The extent to which we repurchase our shares, and the timing, manner, price, and amount of any such repurchases, will depend upon a variety of factors including market conditions and other corporate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351155"/>
                <wp:effectExtent l="0" t="0" r="0" b="0"/>
                <wp:wrapNone/>
                <wp:docPr id="72" name="Frame7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considerations as determined by management, as well as the limits of the 2022 Repurchase Program and our liquidity and business strategy. The 2022 Repurchase Program does not obligate us to acquire any particular amount of shares and may be modified or discontinued at any time. As of the date of this filing, approximately $1.5 million of common stock remained authorized for future share repurchases under the 2022 Repurchase Program. There were no shares repurchased during the three and six months ended June 30, 2026 and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May 4, 2023, our Board of Directors authorized a stock repurchase program (the "2023 Repurchase Program") to repurchase up to $15.0 million of our outstanding common stock on substantially the same terms as the 2022 Repurchase Program. As of the date of this filing, the full $15.0 million authorized amount remains available for repurchase under the 2023 Repurchase Program. This authorization is in addition to the amount remaining under the 2022 Repurchase Program.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February 22, 2021, our Board of Directors authorized a stock repurchase program (the "Preferred Repurchase Program") pursuant to which our Board of Directors granted a repurchase authorization to acquire shares of our Series A Preferred Stock, Series B Preferred Stock, and Series C Preferred Stock having an aggregate value of up to $20.0 million. No share repurchases under the Preferred Repurchase Program have been made since its authorization.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Shares of stock repurchased by us under any repurchase program, if any, will be cancelled and, until reissued by us, will be deemed to be authorized but unissued shares of our stock as required by Maryland law. The cost of the acquisition by us of shares of our own stock in excess of the aggregate par value of the shares first reduces additional paid-in capital, to the extent available, with any residual cost applied against retained earnings.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Equity distribution agreements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6, 2024, we entered into separate equity distribution agreements (the "2024 Equity Distribution Agreements") with each of BTIG, LLC, JonesTrading Institutional Services LLC, Keefe, Bruyette &amp; Woods, Inc. and Piper Sandler &amp; Co. (collectively, the "2024 Sales Agents"), pursuant to which we may sell up to $75.0 million aggregate offering price of shares of our common stock from time to time through an "at-the-market" equity offering program under which the 2024 Sales Agents will act as sales agent. We did not issue any shares of common stock under the 2024 Equity Distribution Agreements during the three and six months ended June 30, 2026 and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Acquisition of additional interest in AG Arc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August 1, 2025, in connection with the acquisition of an additional 21.4% interest in AG Arc LLC (“AG Arc”), we issued 2,027,676 restricted shares of common stock (the “Holder Shares”) to certain funds managed by an affiliate of TPG (the “Holders”) as consideration. Refer to Note 10 of the "Notes to Consolidated Financial Statements (unaudited)" for additional information. Pursuant to the registration rights agreement we entered into with the Holders, in August 2025, we filed a resale shelf registration statement on Form S-3 registering the resale of all the Holder Shares (the “Resale Shelf”), which was declared effective by the Securities and Exchange Commission in August 2025. As June 30, 2026, the Holders no longer hold any shares of our common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Forward-looking statements regarding liquidity</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Based upon our current portfolio, leverage and available borrowing arrangements, we believe the net proceeds of our common equity offerings, preferred equity offerings, senior unsecured note issuances, and private placements, combined with cash flow from operating activities, financing activities, and our available borrowing capacity will be sufficient to enable us to meet our anticipated liquidity requirements, including funding our investment activities, paying fees under our management agreement, funding our distributions to stockholders, funding financing maturities, and paying general corporate expenses.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Contractual obligations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Management agreement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management agreement, as amended, provides for payment to the Manager of a management fee, an incentive fee, and reimbursements of certain expenses incurred by the Manager or its affiliates on behalf of us.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Contemporaneously with the execution of the Merger Agreement, and in consideration of our Manager’s approximate $20 million cash payment to CHMI stockholders in the Merger, we and our Manager entered into an amendment (the “MITT Management Agreement Amendment”) to the existing MITT Management Agreement, as amended on April 6, 2020, September 24, 2020, November 22, 2021, and August 8, 2023 (as amended, the “Existing MITT Management Agreement”). The MITT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351155"/>
                <wp:effectExtent l="0" t="0" r="0" b="0"/>
                <wp:wrapNone/>
                <wp:docPr id="73" name="Frame7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Management Agreement Amendment will become effective automatically upon the closing of the Merger, and will have no force and effect if the Merger does not close. The MITT Management Agreement Amendment makes certain changes to the Existing MITT Management Agreement, including, (i) updating the calculation of the “Equity Hurdle Base” to be based on the Company’s book value immediately after the Effective Time, (ii) updating the income component of the incentive fee from “Adjusted Net Income” to “Earnings Available for Distribution”, (iii) updating the calculation mechanics of the incentive fee to a rolling four quarter basis, (iv) providing that no incentive fee shall be payable with respect to any calendar quarter unless Earnings Available for Distribution for the twelve most recently completed calendar quarters is greater than zero, (v) that the termination fee will be three times the sum of the average annual base management fee and the average annual incentive fee during the prior 24-month period, and (vi) providing that the incentive fee will be calculated quarterly and payable annually. The incentive fee will continue to be payable in cash, or, at the option of our board of directors, shares of our common stock or a combination of cash and shares, provided that no more than 50% of the incentive fee may be paid in shares of our common stock without our Manager’s consent.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All other terms and conditions of the Existing MITT Management Agreement remain substantially the same.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Management fee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management fee is calculated and payable quarterly in arrears in an amount equal to 1.50% of our Stockholders’ Equity, per annum. For purposes of calculating the management fee, "Stockholders’ Equity" means the sum of the net proceeds from any issuances of equity securities (including preferred securities) since inception (allocated on a pro rata daily basis for such issuances during the fiscal quarter of any such issuance, and excluding any future equity issuance to the Manager), plus our retained earnings at the end of such quarter (without taking into account any non-cash equity compensation expense or other non-cash items described below incurred in current or prior periods), less any amount that we pay for repurchases of our common stock, excluding any unrealized gains, losses or other non-cash items that have impacted stockholders’ equity as reported in our financial statements prepared in accordance with GAAP, regardless of whether such items are included in other comprehensive income or loss, or in net income, and excluding one-time events pursuant to changes in GAAP, and certain other non-cash charges after discussions between the Manager and our independent directors and after approval by a majority of our independent directors. Stockholders’ Equity, for purposes of calculating the management fee, could be greater or less than the amount of stockholders’ equity shown on our financial statements.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below table details the management fees incurred during the three and six months ended June 30, 2026 and 2025 (in thousands).</w:t>
      </w:r>
    </w:p>
    <w:tbl>
      <w:tblPr>
        <w:tblW w:w="9783" w:type="dxa"/>
        <w:jc w:val="center"/>
        <w:tblInd w:w="0" w:type="dxa"/>
        <w:tblLayout w:type="fixed"/>
        <w:tblCellMar>
          <w:top w:w="28" w:type="dxa"/>
          <w:left w:w="28" w:type="dxa"/>
          <w:bottom w:w="28" w:type="dxa"/>
          <w:right w:w="28" w:type="dxa"/>
        </w:tblCellMar>
      </w:tblPr>
      <w:tblGrid>
        <w:gridCol w:w="1379"/>
        <w:gridCol w:w="1212"/>
        <w:gridCol w:w="1219"/>
        <w:gridCol w:w="109"/>
        <w:gridCol w:w="109"/>
        <w:gridCol w:w="109"/>
        <w:gridCol w:w="263"/>
        <w:gridCol w:w="746"/>
        <w:gridCol w:w="146"/>
        <w:gridCol w:w="109"/>
        <w:gridCol w:w="109"/>
        <w:gridCol w:w="109"/>
        <w:gridCol w:w="263"/>
        <w:gridCol w:w="746"/>
        <w:gridCol w:w="146"/>
        <w:gridCol w:w="109"/>
        <w:gridCol w:w="109"/>
        <w:gridCol w:w="109"/>
        <w:gridCol w:w="263"/>
        <w:gridCol w:w="746"/>
        <w:gridCol w:w="146"/>
        <w:gridCol w:w="109"/>
        <w:gridCol w:w="109"/>
        <w:gridCol w:w="109"/>
        <w:gridCol w:w="259"/>
        <w:gridCol w:w="737"/>
        <w:gridCol w:w="204"/>
      </w:tblGrid>
      <w:tr>
        <w:trPr/>
        <w:tc>
          <w:tcPr>
            <w:tcW w:w="137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Consolidated statements of operations line item: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Management fee to affiliate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2,311 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2,301 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4,630 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4,628 </w:t>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we recorded management fees payable of $2.3 million and $2.3 million, respectively. The management fee payable is included within the "Due to affiliates" line item within the "Other liabilities" line item on the consolidated balance sheets. </w:t>
      </w:r>
    </w:p>
    <w:p>
      <w:pPr>
        <w:pStyle w:val="TextBody"/>
        <w:bidi w:val="0"/>
        <w:spacing w:lineRule="auto" w:line="288" w:before="0" w:after="0"/>
        <w:jc w:val="both"/>
        <w:rPr>
          <w:color w:val="000000"/>
        </w:rPr>
      </w:pPr>
      <w:r>
        <w:rPr>
          <w:color w:val="000000"/>
        </w:rPr>
        <w:t> </w:t>
      </w:r>
    </w:p>
    <w:p>
      <w:pPr>
        <w:pStyle w:val="TextBody"/>
        <w:bidi w:val="0"/>
        <w:spacing w:lineRule="auto" w:line="276" w:before="0" w:after="0"/>
        <w:jc w:val="both"/>
        <w:rPr>
          <w:rFonts w:ascii="Times New Roman;serif" w:hAnsi="Times New Roman;serif"/>
          <w:b w:val="false"/>
          <w:i/>
          <w:color w:val="000000"/>
          <w:sz w:val="20"/>
        </w:rPr>
      </w:pPr>
      <w:r>
        <w:rPr>
          <w:rFonts w:ascii="Times New Roman;serif" w:hAnsi="Times New Roman;serif"/>
          <w:b w:val="false"/>
          <w:i/>
          <w:color w:val="000000"/>
          <w:sz w:val="20"/>
        </w:rPr>
        <w:t>Incentive fee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Manager is entitled to an annual incentive fee with respect to each applicable fiscal year, which will be equal to 15% of the amount by which our cumulative adjusted net income from November 22, 2021 exceeds the cumulative hurdle amount, which represents an 8% return (cumulative, but not compounding) on an equity hurdle base consisting of the sum of (i) $341.5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351155"/>
                <wp:effectExtent l="0" t="0" r="0" b="0"/>
                <wp:wrapNone/>
                <wp:docPr id="74" name="Frame7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and (ii) the gross proceeds of any subsequent public or private common stock offerings by us. The annual incentive fee will be payable in cash, or, at the option of our Board of Directors, shares of common stock or a combination of cash and shares.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and 2025, we did not incur any incentive fee expense.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Termination fee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Upon the occurrence of (i) our termination of the management agreement without cause or (ii) the Manager’s termination of the management agreement upon a breach by the Company of any material term of the management agreement, the Manager will be entitled to a termination fee equal to three times the average annual management fee during the 24-month period prior to such termination, calculated as of the end of the most recently completed fiscal quarter. As of June 30, 2026 and December 31, 2025, no event of termination of the management agreement had occurred.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Expense reimbursement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Manager uses the proceeds from its management fee in part to pay compensation to its officers and personnel, who, notwithstanding that certain of them also are our officers, receive no compensation directly from us. We are required to reimburse our Manager or its affiliates for operating expenses incurred by our Manager or its affiliates on our behalf, including certain salary expenses and other expenses relating to legal, accounting, due diligence and other services. Our reimbursement obligation is not subject to any dollar limitation; however, reimbursements are subject to an annual budget process which combines guidelines from the management agreement with oversight by our Board of Directors and discussions with our Manager.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below table details the expense reimbursement incurred during the three and six months ended June 30, 2026 and 2025 (in thousands).</w:t>
      </w:r>
    </w:p>
    <w:tbl>
      <w:tblPr>
        <w:tblW w:w="9783" w:type="dxa"/>
        <w:jc w:val="center"/>
        <w:tblInd w:w="0" w:type="dxa"/>
        <w:tblLayout w:type="fixed"/>
        <w:tblCellMar>
          <w:top w:w="28" w:type="dxa"/>
          <w:left w:w="28" w:type="dxa"/>
          <w:bottom w:w="28" w:type="dxa"/>
          <w:right w:w="28" w:type="dxa"/>
        </w:tblCellMar>
      </w:tblPr>
      <w:tblGrid>
        <w:gridCol w:w="1379"/>
        <w:gridCol w:w="1212"/>
        <w:gridCol w:w="1219"/>
        <w:gridCol w:w="109"/>
        <w:gridCol w:w="109"/>
        <w:gridCol w:w="109"/>
        <w:gridCol w:w="263"/>
        <w:gridCol w:w="746"/>
        <w:gridCol w:w="146"/>
        <w:gridCol w:w="109"/>
        <w:gridCol w:w="109"/>
        <w:gridCol w:w="109"/>
        <w:gridCol w:w="263"/>
        <w:gridCol w:w="746"/>
        <w:gridCol w:w="146"/>
        <w:gridCol w:w="109"/>
        <w:gridCol w:w="109"/>
        <w:gridCol w:w="109"/>
        <w:gridCol w:w="263"/>
        <w:gridCol w:w="746"/>
        <w:gridCol w:w="146"/>
        <w:gridCol w:w="109"/>
        <w:gridCol w:w="109"/>
        <w:gridCol w:w="109"/>
        <w:gridCol w:w="259"/>
        <w:gridCol w:w="737"/>
        <w:gridCol w:w="204"/>
      </w:tblGrid>
      <w:tr>
        <w:trPr/>
        <w:tc>
          <w:tcPr>
            <w:tcW w:w="137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Consolidated statements of operations line item: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Non-investment related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1,183 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1,304 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2,629 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3,143 </w:t>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Investment related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 related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Expense reimbursements to Manager or its affiliates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1,472 </w:t>
            </w:r>
          </w:p>
        </w:tc>
        <w:tc>
          <w:tcPr>
            <w:tcW w:w="1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1,508 </w:t>
            </w:r>
          </w:p>
        </w:tc>
        <w:tc>
          <w:tcPr>
            <w:tcW w:w="1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3,135 </w:t>
            </w:r>
          </w:p>
        </w:tc>
        <w:tc>
          <w:tcPr>
            <w:tcW w:w="1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3,807 </w:t>
            </w:r>
          </w:p>
        </w:tc>
        <w:tc>
          <w:tcPr>
            <w:tcW w:w="20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we recorded a reimbursement payable to our Manager or its affiliates of $1.8 million and $2.1 million, respectively The reimbursement payable to the Manager or its affiliates is included within the "Due to affiliates" line item within the "Other liabilities" line item on the consolidated balance sheets.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Equity Incentive Plans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May 5, 2025, following approval by stockholders at our annual stockholders meeting, our 2025 Equity Incentive Plan (the “2025 Equity Incentive Plan”) became effective. The maximum number of shares of our common stock that could be issued under the 2025 Equity Incentive Plan was 800,000 shares of common stock, plus 220,781 shares of common stock (which reflects the number of shares that remained available for issuance under the equity incentive plan approved in 2020 (the “2020 Equity Incentive Plan”) as of May 4, 2025), plus 86,666 shares of common stock that remained subject to outstanding awards under the 2020 Equity Incentive Plan but only to the extent that such shares become forfeited or otherwise lapse. As a result of the adoption of the 2025 Equity Incentive Plan, no additional awards will be granted under the 2020 Equity Incentive Plan (although awards previously made under the 2020 Equity Incentive Plan will remain in effect subject to the terms of the 2020 Equity Incentive Plan and the applicable award agreement).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Since inception of the 2025 Equity Incentive Plan and through June 30, 2026, we have granted an aggregate 103,604 shares of restricted common stock and 1,787 dividend equivalent units to our independent directors, all of which have vested. As of June 30, 2026, there were 915,390 remaining shares available to be issued under the 2025 Equity Incentive Plan.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we have 12,981 restricted stock units and 3,836 associated dividend equivalent units outstanding, all of which are fully vested and held by one of our independent directors. These units will be settled on a one-for-one basis in shares of our common stock upon the director's separation from service with us.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351155"/>
                <wp:effectExtent l="0" t="0" r="0" b="0"/>
                <wp:wrapNone/>
                <wp:docPr id="75" name="Frame7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Manager Equity Incentive Plans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AG Mortgage Investment Trust, Inc. 2021 Manager Equity Incentive Plan (the "2021 Manager Plan"), which became effective on April 7, 2021 following the approval of our stockholders at our 2021 annual meeting of stockholders, provides for a maximum of 573,425 shares of common stock that may be subject to awards thereunder to our Manager. As of June 30, 2026, there were no shares or awards issued under the 2021 Manager Plan. Following the execution of the Third Amendment to our management agreement in November 2021 related to the incentive fee, our compensation committee no longer expects to continue its historical practice of making periodic equity grants to the Manager pursuant to the 2021 Manager Plan.</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Unfunded commitments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See Note 12 of the "Notes to Consolidated Financial Statements (unaudited)" for detail on our commitments as of June 30,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Off-balance sheet arrangements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Our investments in debt and equity of affiliates primarily consist of real estate securities and our interest in AG Arc. Investments in debt and equity of affiliates are accounted for using the equity method of accounting. Certain of our investments in debt and equity of affiliates securitize residential mortgage loans and retain interests in the subordinated tranches of the transferred assets. These retained interests are included in the MATT Non-QM Securities and Re/Non-Performing Securities line items of our investment portfolio. See Note 10 to the "Notes to Consolidated Financial Statements (unaudited)" for a discussion of investments i</w:t>
      </w:r>
      <w:r>
        <w:rPr>
          <w:rFonts w:ascii="Times New Roman;serif" w:hAnsi="Times New Roman;serif"/>
          <w:b w:val="false"/>
          <w:color w:val="000000"/>
          <w:sz w:val="20"/>
          <w:shd w:fill="FFFFFF" w:val="clear"/>
        </w:rPr>
        <w:t xml:space="preserve">n debt and equity of affiliates.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We record TBA purchases and sales on the trade date and present the purchase or receipt net of the corresponding payable or receivable until the settlement date of the transaction. Refer to</w:t>
      </w:r>
      <w:r>
        <w:rPr>
          <w:color w:val="000000"/>
        </w:rPr>
        <w:t xml:space="preserve"> </w:t>
      </w:r>
      <w:r>
        <w:rPr>
          <w:rFonts w:ascii="Times New Roman;serif" w:hAnsi="Times New Roman;serif"/>
          <w:b w:val="false"/>
          <w:color w:val="000000"/>
          <w:sz w:val="20"/>
        </w:rPr>
        <w:t>Note 7 to the "Notes to Consolidated Financial Statements (unaudited)" for additional detail on TBAs as of June 30, 2026, if applicable.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additional information on our commitments as of June 30, 2026, refer to Note 12 of the "Notes to Consolidated Financial Statements (unaudited)." We do not expect these commitments, taken as a whole, to be significant to, or to have a material impact on, our overall liquidity or capital resources or our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prepare our consolidated financial statements in conformity with GAAP, which requires the use of estimates and assumptions that affect reported amounts of assets and liabilities and disclosure of contingent assets and liabilities at the date of the financial statements and the amounts of income and expenses during the reporting period. These estimates are based, in part, on our judgment and assumptions regarding various economic conditions that we believe are reasonable based on facts and circumstances existing at the time of reporting. We believe that the estimates, judgments and assumptions utilized in the preparation of our consolidated financial statements are prudent and reasonable. Although our estimates contemplate conditions as of June 30, 2026 and how we expect them to change in the future, it is reasonably possible that actual conditions could be different than anticipated in arriving at those estimates, which could materially affect reported amounts of assets and liabilities at the date of the consolidated financial statements and the reported amounts of income and expenses during the periods presented.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most critical accounting policies include (i) Valuation of financial instruments, (ii) Accounting for loans, (iii) Accounting for real estate securities, (iv) Interest income recognition, (v) Financing arrangements, and (vi) Investment consolidation. Our critical accounting estimates are those which require assumptions to be made about matters that are highly uncertain and include (i), (iv), and (vi) above. A discussion of critical accounting policies and estimates is included in our Form 10-K. Our critical accounting policies and estimates have not materially changed since December 31,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REIT Qualification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elected to be treated as a REIT under Sections 856 through 859 of the Internal Revenue Code of 1986, as amended (the "Code"). Our qualification as a REIT depends upon our ability to meet on a continuing basis, through actual investment and operating results, various complex requirements under the Code relating to, among other things, the sources of our gross income, the composition and values of our assets, our distribution levels and the diversity of ownership of our shares. We believe that we are organized in conformity with the requirements for qualification and taxation as a REIT under the Code, and that our manner of operation enables us to meet the requirements for qualification and taxation as a REIT.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351155"/>
                <wp:effectExtent l="0" t="0" r="0" b="0"/>
                <wp:wrapNone/>
                <wp:docPr id="76" name="Frame7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generally need to distribute at least 90% of our ordinary taxable income each year (subject to certain adjustments) to our stockholders in order to qualify as a REIT under the Code. Our ability to make distributions to our stockholders depends, in part, upon the performance of our investment portfolio.</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a REIT, we generally are not subject to U.S. federal income tax on our REIT taxable income that we distribute currently to our stockholders. If we fail to qualify as a REIT in any taxable year and do not qualify for certain statutory relief provisions, we will be subject to U.S. federal income tax at regular corporate rates and may be precluded from qualifying as a REIT for the subsequent four taxable years following the year during which we lost our REIT qualification. Accordingly, our failure to qualify as a REIT could have a material adverse impact on our results of operations and our ability to pay distributions, if any, to our stockholders. Even if we qualify for taxation as a REIT, we may be subject to some U.S. federal, state and local taxes on our income or property. In addition, any income earned by a domestic taxable REIT subsidiary, or TRS, will be subject to corporate income taxation.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Investment Company Act Exemption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conduct our business so as to maintain our exempt status under, and not to become regulated as an investment company for purposes of, the Investment Company Act. Under Section 3(a)(1)(A) of the Investment Company Act, a company is an investment company if it is, or holds itself out as being, engaged primarily, or proposes to engage primarily, in the business of investing, reinvesting or trading in securities. Under Section 3(a)(1)(C) of the Investment Company Act, a company is deemed to be an investment company if it is engaged, or proposes to engage, in the business of investing, reinvesting, owning, holding or trading in securities and owns or proposes to acquire "investment securities" having a value exceeding 40% of the value of its total assets (exclusive of U.S. government securities and cash items) on an unconsolidated basis (the "40% Test"). "Investment securities" do not include, among other things, U.S. government securities, and securities issued by majority-owned subsidiaries that (i) are not investment companies and (ii) are not relying on the exceptions from the definition of investment company provided by Section 3(c)(1) or 3(c)(7) of the Investment Company Act (the so called "private investment company" exemptions).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conduct our operations such that we will not be considered an investment company under Section 3(a)(1) of the Investment Company Act by complying with the 40% Test and not engaging primarily (or holding ourselves out as being engaged primarily) in the business of investing, reinvesting, or trading in securities. Rather, through wholly-owned or majority-owned subsidiaries, we are primarily engaged in the non-investment company businesses of these subsidiaries, namely the real estate finance business of purchasing or otherwise acquiring mortgage loans and other interests in real estate.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currently have several subsidiaries that rely on the exclusion provided by Section 3(c)(7) of the Investment Company Act, each a "3(c)(7) subsidiary." In addition, we currently have several subsidiaries that rely on the exclusion provided by Section 3(c)(5)(C) of the Investment Company Act, each a "3(c)(5)(C) subsidiary."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While investments in 3(c)(7) subsidiaries are considered investment securities for the purposes of the 40% Test, investments in 3(c)(5)(C) subsidiaries are not considered investment securities for the purposes of the 40% Test, nor are investments in subsidiaries that rely on the exclusion provided by Section 3(a)(1)(C). Therefore, our investments in 3(c)(7) subsidiaries and other investment securities cannot exceed 40% of the value of our total assets (excluding U.S. government securities and cash) on an unconsolidated basis.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Section 3(c)(5)(C) of the Investment Company Act exempts from the definition of "investment company" entities primarily engaged in the business of purchasing or otherwise acquiring mortgages and other liens on and interests in real estate. The SEC staff generally requires an entity relying on Section 3(c)(5)(C) to invest at least 55% of its portfolio in "qualifying assets" and at least another 25% in additional qualifying assets or in "real estate-related assets" (with no more than 20% comprised of miscellaneous assets). Both the 40% Test and the requirements of the Section 3(c)(5)(C) exclusion limit the types of businesses in which we may engage and the types of assets we may hold, as well as the timing of sales and purchases of assets. For example, these restrictions limit our and our 3(c)(5)(C) subsidiaries’ ability to invest directly in Agency RMBS that represent less than the entire ownership in a pool of mortgage loans or debt and equity tranches of Non-Agency RMBS (in each case to the extent such interest are not retained interest in securitizations consisting of mortgage loans that were owned by us and such securitizations were not sponsored by us in order to obtain financing to acquire additional mortgage loans), certain real estate companies and assets not related to real estate.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0"/>
        </w:rPr>
        <w:t>The determination that we qualify for this exemption from being regulated as an investment company depends on various factual matters and circumstances. We closely monitor our holdings to ensure continuing and ongoing compliance with these tests. If we failed to comply with the 40% Test or another exemption</w:t>
      </w:r>
      <w:r>
        <w:rPr>
          <w:color w:val="000000"/>
        </w:rPr>
        <w:t xml:space="preserve"> </w:t>
      </w:r>
      <w:r>
        <w:rPr>
          <w:rFonts w:ascii="Times New Roman;serif" w:hAnsi="Times New Roman;serif"/>
          <w:b w:val="false"/>
          <w:color w:val="000000"/>
          <w:sz w:val="20"/>
        </w:rPr>
        <w:t xml:space="preserve">under the Investment Company Act and became regulated as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351155"/>
                <wp:effectExtent l="0" t="0" r="0" b="0"/>
                <wp:wrapNone/>
                <wp:docPr id="77" name="Frame7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investment company, our ability to, among other things, use leverage would be substantially reduced and, as a result, we would be unable to conduct our business as described in this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351155"/>
                <wp:effectExtent l="0" t="0" r="0" b="0"/>
                <wp:wrapNone/>
                <wp:docPr id="78" name="Frame7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primary components of our market risk relate to interest rates, liquidity, real estate, credit, prepayment rates, basis, and capital markets risk. While we do not seek to avoid risk completely, we seek to assume risk that can be reasonably quantified from historical experience and to actively manage that risk, to earn sufficient returns to justify taking those risks and to maintain capital levels consistent with the risks we undertake. Many of these risks have become particularly heightened due to sustained inflation, rising mortgage rates, the Federal Reserve's monetary policy actions, and market uncertainty from geopolitical risks.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lineRule="auto" w:line="288" w:before="0" w:after="0"/>
        <w:jc w:val="both"/>
        <w:rPr>
          <w:color w:val="000000"/>
        </w:rPr>
      </w:pPr>
      <w:r>
        <w:rPr>
          <w:color w:val="000000"/>
        </w:rPr>
        <w:t> </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Interest rate risk is highly sensitive to many factors, including governmental monetary, fiscal and tax policies, domestic and international economic and political considerations and other factors beyond our control. We are subject to interest rate risk in connection with both our investments and the financing under our financing arrangements. We generally seek to manage this risk by monitoring the reset index and the interest rate related to our investment portfolio and our financings; by structuring our financing arrangements to have a range of maturity terms, amortizations and interest rate adjustment periods; and by using derivative instruments to adjust interest rate sensitivity of our investment portfolio and borrowings. Our hedging techniques can be highly complex, and the value of our investment portfolio and derivatives may be adversely affected as a result of changing interest rates.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Interest rate effects on net interest income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operating results depend in large part upon differences between the yields earned on our investments and our cost of borrowing and upon the effectiveness of our interest rate hedging activities. The majority of our financing arrangements are short term in nature, exclusive of our residential mortgage loans financed through securitized debt. Repurchase agreements financing our securities portfolio or retained interests from our securitizations typically have an initial term between 30 and 90 days while repurchase agreements financing our residential mortgage loans prior to securitization have an initial term of one year. The financing rate on these agreements will generally be determined at the outset of each transaction by reference to prevailing rates plus a spread. As a result, our borrowing costs will tend to increase during periods of rising interest rates as we renew, or "roll", maturing transactions at the higher prevailing rates. When combined with the fact that the income we earn on our fixed interest rate investments will remain substantially unchanged, this will result in a narrowing of the net interest spread between the related assets and borrowings and may even result in losses.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an attempt to offset the increase in funding costs related to rising interest rates, our Manager may cause us to enter into hedging transactions structured to provide us with positive cash flow in the event interest rates rise. Our Manager accomplishes this through the use of interest rate derivatives. Some hedging strategies involving the use of derivatives are highly complex, may produce volatile returns and may expose us to increased risks relating to counterparty defaults.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Interest rate effects on fair value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Another component of interest rate risk is the effect that changes in interest rates will have on the fair value of the assets that we acquire.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Generally, in a rising interest rate environment, the fair value of our loan and real estate securities portfolios would be expected to decrease, all other factors being held constant. In particular, the portion of our real estate securities and loan portfolios with fixed-rate coupons would be expected to decrease in value more severely than that portion with a floating-rate coupon. This is because fixed-rate coupon assets tend to have significantly more duration, or price sensitivity to changes in interest rates, than floating-rate coupon assets. Fixed-rate assets currently represent a majority of our portfolio.</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fair value of our investment portfolio could change at a different rate than the fair value of our liabilities when interest rates change. We measure the sensitivity of our portfolio to changes in interest rates by estimating the duration of our assets and liabilities. Duration is the approximate percentage change in fair value for an instantaneous 100 basis point parallel shift in the yield curve while assuming all other market risk factors remain constant. In general, our assets have higher duration than our liabilities. In order to reduce this exposure, we use hedging instruments to reduce the gap in duration between our assets and liabilities.</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i/>
          <w:color w:val="000000"/>
          <w:sz w:val="20"/>
        </w:rPr>
        <w:t xml:space="preserve">Interest rate sensitivity </w:t>
      </w:r>
      <w:r>
        <w:rPr>
          <w:color w:val="000000"/>
        </w:rPr>
        <w:t>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quantifies the estimated percent change in GAAP equity, the fair value of our assets, and projected net interest income should interest rates go up or down instantaneously by 25, 50, and 75 basis points, assuming (i) the yield curves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351155"/>
                <wp:effectExtent l="0" t="0" r="0" b="0"/>
                <wp:wrapNone/>
                <wp:docPr id="79" name="Frame7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of the rate shocks will be parallel to each other and the current yield curve and (ii) all other market risk factors remain constant. These estimates were compiled using a combination of third-party services and models, market data and internal models. All changes in equity, assets, and income are measured as percentage changes from the GAAP equity, assets, and projected net interest income from our base interest rate scenario. The base interest rate scenario assumes spot and forward interest rates existing as of June 30, 2026. Actual results could differ materially from these estimates.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Agency RMBS and Agency-Eligible Loan assumptions attempt to predict default and prepayment activity at projected interest rate levels. To the extent that these estimates or other assumptions do not hold true, actual results will likely differ materially from projections and could result in percentage changes larger or smaller than the estimates in the table below. Moreover, if different models were employed in the analysis, materially different projections could result. In addition, while the table below reflects the estimated impact of interest rate increases and decreases on a static portfolio as of June 30, 2026, our Manager may from time to time sell any of our investments as a part of the overall management of our investment portfolio.</w:t>
      </w:r>
    </w:p>
    <w:p>
      <w:pPr>
        <w:pStyle w:val="TextBody"/>
        <w:bidi w:val="0"/>
        <w:spacing w:before="0" w:after="0"/>
        <w:jc w:val="both"/>
        <w:rPr/>
      </w:pPr>
      <w:r>
        <w:rPr/>
      </w:r>
    </w:p>
    <w:tbl>
      <w:tblPr>
        <w:tblW w:w="9322" w:type="dxa"/>
        <w:jc w:val="left"/>
        <w:tblInd w:w="0" w:type="dxa"/>
        <w:tblLayout w:type="fixed"/>
        <w:tblCellMar>
          <w:top w:w="28" w:type="dxa"/>
          <w:left w:w="28" w:type="dxa"/>
          <w:bottom w:w="28" w:type="dxa"/>
          <w:right w:w="28" w:type="dxa"/>
        </w:tblCellMar>
      </w:tblPr>
      <w:tblGrid>
        <w:gridCol w:w="919"/>
        <w:gridCol w:w="808"/>
        <w:gridCol w:w="809"/>
        <w:gridCol w:w="109"/>
        <w:gridCol w:w="109"/>
        <w:gridCol w:w="109"/>
        <w:gridCol w:w="424"/>
        <w:gridCol w:w="424"/>
        <w:gridCol w:w="997"/>
        <w:gridCol w:w="109"/>
        <w:gridCol w:w="109"/>
        <w:gridCol w:w="109"/>
        <w:gridCol w:w="489"/>
        <w:gridCol w:w="489"/>
        <w:gridCol w:w="1151"/>
        <w:gridCol w:w="109"/>
        <w:gridCol w:w="109"/>
        <w:gridCol w:w="109"/>
        <w:gridCol w:w="384"/>
        <w:gridCol w:w="384"/>
        <w:gridCol w:w="1063"/>
      </w:tblGrid>
      <w:tr>
        <w:trPr/>
        <w:tc>
          <w:tcPr>
            <w:tcW w:w="919"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r>
      <w:tr>
        <w:trPr/>
        <w:tc>
          <w:tcPr>
            <w:tcW w:w="25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 in Interest Rates (basis</w:t>
              <w:br/>
              <w:t>points)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 in Fair</w:t>
              <w:br/>
              <w:t>Value as a Percentage</w:t>
              <w:br/>
              <w:t>of GAAP Equity (2)(3)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 in Fair Value as a</w:t>
              <w:br/>
              <w:t>Percentage of Assets (2)(3)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Percentage Change in</w:t>
              <w:br/>
              <w:t>Projected Net Interest</w:t>
              <w:br/>
              <w:t>Income (4)</w:t>
            </w:r>
          </w:p>
        </w:tc>
      </w:tr>
      <w:tr>
        <w:trPr/>
        <w:tc>
          <w:tcPr>
            <w:tcW w:w="25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9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1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99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1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06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9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0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99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106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9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1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0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99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1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06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(1)Includes investments held through affiliated entities that are reported as "Investments in debt and equity of affiliates" on our consolidated balance sheet, but excludes AG Arc.</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(2)Does not include cash investments, which typically have overnight maturities and are not expected to change in value as interest rates change.</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(3)Changes in fair value as a percentage of GAAP equity and assets are inclusive of forward purchase commitments to acquire Non-Agency Loans and Agency-Eligible Loans as of June 30, 2026.</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(4)Interest income includes trades settled as of June 30,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information set forth in the interest rate sensitivity table above and all related disclosures constitute forward-looking statements within the meaning of Section 27A of the Securities Act and Section 21E of the Exchange Act. Actual results could differ significantly from those estimated in the foregoing interest rate sensitivity table. See below for additional risks which may impact the fair value of our assets, GAAP equity and net income.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Liquidity risk</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primary liquidity risk arises from financing long-maturity assets with shorter-term financings primarily in the form of financing arrangements. Our Manager seeks to mitigate our liquidity risks by maintaining a prudent level of leverage, monitoring our liquidity position on a daily basis and maintaining a reasonable cushion of cash and unpledged real estate securities and loans in our portfolio in order to meet future margin calls. In addition, our Manager seeks to further mitigate our liquidity risk by (i) maintaining relationships with a carefully selected group of financing counterparties and (ii) monitoring the ongoing financial stability and future business plans of our financing counterparties.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Liquidity risk – financing arrangements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pledge mortgage loans or real estate securities and cash as collateral to secure our financing arrangements. Should the fair value of our mortgage loans or real estate securities pledged as collateral decrease (as a result of rising interest rates, changes in prepayment speeds, widening of credit spreads or otherwise), we will likely be subject to margin calls for additional collateral from our financing counterparties. Should the fair value of our mortgage loans or real estate securities decrease materially and suddenly, margin calls will likely increase causing an adverse change to our liquidity position which could result in substantial losses. In addition, we cannot be assured that we will always be able to roll our financing arrangements at their scheduled maturities, which could cause material additional harm to our liquidity position and result in substantial losses. Further, should funding conditions tighten as they did in 2007-2008, 2009 and more recently in March 2020, our financing arrangement counterparties may increase our margin requirements on new financings, including repurchase transactions that we roll at maturity with the same counterparty. This would require us to post additional collateral and would reduce our ability to use leverage and could potentially cause us to incur substantial losses.</w:t>
      </w:r>
    </w:p>
    <w:p>
      <w:pPr>
        <w:pStyle w:val="TextBody"/>
        <w:bidi w:val="0"/>
        <w:spacing w:lineRule="auto" w:line="288" w:before="0" w:after="0"/>
        <w:jc w:val="both"/>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351155"/>
                <wp:effectExtent l="0" t="0" r="0" b="0"/>
                <wp:wrapNone/>
                <wp:docPr id="80" name="Frame8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Liquidity risk – derivatives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terms of our interest rate swaps require us to post collateral in the form of cash or Agency RMBS to our counterparties to satisfy two types of margin requirements: variation margin and initial margin.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and our swap counterparties are both required to post variation margin to each other depending upon the daily moves in prevailing benchmark interest rates. The amount of this variation margin is derived from the mark to market valuation of our swaps. Hence, as our swaps lose value in a falling interest rate environment, we are required to post additional variation margin to our counterparties on a daily basis; conversely, as our swaps gain value in a rising interest rate environment, we are able to recall variation margin from our counterparties. By recalling variation margin from our swaps counterparties, we are able to partially mitigate the liquidity risk created by margin calls on our repurchase transactions during periods of rising interest rates.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Initial margin works differently. Collateral posted to meet initial margin requirements is intended to create a safety buffer to benefit our counterparties if we were to default on our payment obligations under the terms of the swaps and our counterparties were forced to unwind the swap. Initial margin on our centrally cleared trades varies from day to day depending upon various factors, including the absolute level of interest rates and the implied volatility of interest rates. There is a distinctly positive correlation between initial margin, on the one hand, and the absolute level of interest rates and implied volatility of interest rates, on the other hand. As a result, in times of rising interest rates or increasing rate volatility, we anticipate that the initial margin required on our centrally-cleared trades will likewise increase, potentially by a substantial amount. These margin increases will have a negative impact on our liquidity position and will likely impair the intended liquidity risk mitigation effect of our swaps discussed above.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Real estate value risk</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Residential property values are subject to volatility and may be affected adversely by a number of factors outside of our control, including, but not limited to, national, regional and local economic conditions (which may be adversely affected by industry slowdowns and other factors), local real estate conditions (such as an oversupply of housing), natural disasters, the effects of climate change (including flooding, drought, wildfire, tornadoes, and severe weather) and other natural events, construction quality, age and design, demographic factors, and retroactive changes to building or similar codes. Decreases in property values could cause us to suffer losses and reduce the value of the collateral underlying our investment portfolio as well as the potential sale proceeds available to repay our loans in the event of a default. In addition, substantial decreases in property values can increase the rate of strategic defaults by residential mortgage borrowers which can impact and create significant uncertainty in the recovery of principal and interest on our investments.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Credit risk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exposed to the risk of potential credit losses from an unanticipated increase in borrower defaults as well as general credit spread widening on any non-agency assets in our portfolio. We seek to manage this risk through our Manager’s pre-acquisition due diligence process and, if available, through the use of non-recourse financing, which limits our exposure to credit losses to the specific pool of collateral which is the subject of the non-recourse financing. Our Manager’s pre-acquisition due diligence process includes the evaluation of, among other things, relative valuation, supply and demand trends, the shape of various yield curves, prepayment rates, delinquency and default rates, recovery of various sectors and vintage of collateral.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potential effects of sustained inflation, elevated mortgage rates and the Federal Reserve's monetary policy actions may cause an increase in credit risk of our credit sensitive assets. Any future period of payment deferrals, forbearance, delinquencies, defaults, foreclosures or losses will likely adversely affect our net interest income from residential loans and RMBS investments, the fair value of these assets, our ability to liquidate the collateral that may underlie these investments and obtain additional financing and the future profitability of our investments. Further, in the event of delinquencies, defaults and foreclosure, regulatory changes and policies designed to protect borrowers and renters may slow or prevent us from taking remediation actions.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Prepayment risk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Premiums arise when we acquire real estate assets at a price in excess of the principal balance of the mortgages securing such assets (i.e., par value). Conversely, discounts arise when we acquire assets at a price below the principal balance of the mortgages securing such assets. Premiums paid on our assets are amortized against interest income and accretable purchase discounts on our assets are accreted to interest income. Purchase premiums or discounts on our assets are amortized or accreted over the life of each respective asset using the effective yield method, adjusted for actual prepayment activity. An increase in the prepayment rate, as measured by the CPR, will typically accelerate the amortization of purchase premiums, thereby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351155"/>
                <wp:effectExtent l="0" t="0" r="0" b="0"/>
                <wp:wrapNone/>
                <wp:docPr id="81" name="Frame8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reducing the yield or interest income earned on such assets. An increase in the prepayment rate will similarly accelerate the accretion of purchase discounts, conversely increasing the yield or interest income earned on such assets. A decrease in the prepayment rate will have a directionally opposite impact on the yield or interest income.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Differences between previously estimated cash flows and current actual and anticipated cash flows caused by changes to prepayment or other assumptions are adjusted retrospectively through a "catch up" adjustment for the impact of the cumulative change in the effective yield through the reporting date for securities accounted for under ASC 320-10 (generally, Agency RMBS) or adjusted prospectively through an adjustment of the yield over the remaining life of the investment for investments accounted for under ASC 325-40 (generally, Non-Agency RMBS and interest-only securities) and mortgage loans accounted for under ASC 310-10.</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our interest rate hedges are structured in part based upon assumed levels of future prepayments within our mortgage loan or real estate securities portfolio. If prepayments are slower or faster than assumed, the life of the real estate securities or mortgage loans will be longer or shorter than assumed, respectively, which could reduce the effectiveness of our Manager’s hedging strategies and may cause losses on such transactions.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Manager seeks to mitigate our prepayment risk by investing in real estate assets with a variety of prepayment characteristics.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Basis risk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Basis risk refers to the possible decline in book value triggered by the risk of incurring losses on the fair value of Agency RMBS as a result of widening market spreads between the yields on Agency RMBS and the yields on comparable duration Treasury securities. The basis risk associated with fluctuations in fair value of Agency RMBS may relate to factors impacting the mortgage and fixed income markets other than changes in benchmark interest rates, such as actual or anticipated monetary policy actions by the Federal Reserve, market liquidity, or changes in required rates of return on different assets. Consequently, while we use interest rate swaps and other hedges to protect against moves in interest rates, such instruments will generally not protect our net book value against basis risk.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Capital Markets Risk</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are exposed to risks related to the equity capital markets, and our related ability to raise capital through the issuance of our common stock, preferred stock or other equity instruments. We are also exposed to risks related to the debt capital markets, and our related ability to finance our business through revolving facilities or other debt instruments. As a REIT, we are required to distribute a significant portion of our taxable income annually, which constrains our ability to accumulate operating cash flow and therefore may require us to utilize debt or equity capital to finance our business. We seek to mitigate these risks by monitoring the debt and equity capital markets to inform our decisions on the amount, timing, and terms of capital we raise.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(a) Evaluation of Disclosure Controls and Procedures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management is responsible for establishing and maintaining disclosure controls and procedures that are designed to ensure that information the Company is required to disclose in the reports that it files or submits under the Securities Exchange Act of 1934, as amended (the "Exchange Act") is recorded, processed, summarized and reported, within the time periods specified in the SEC’s rules and forms. Disclosure controls and procedures include controls and procedures designed to ensure that the Company’s management, including its principal executive officer and principal financial officer, as appropriate, allow for timely decisions regarding required disclosure.</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evaluated, with the participation of our principal executive officer and principal financial officer, the effectiveness of our disclosure controls and procedures as of June 30, 2026.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 Based upon our evaluation, our principal executive officer and principal financial officer concluded that our disclosure controls and procedures were effective to provide reasonable assurance that information required to be disclosed by us in the reports that we file or submit under the Exchange Act is recorded, processed, summarized and reported, within the time periods specified in the applicable rules and forms, and that it is accumulated and communicated to our management, including our principal executive officer and principal financial officer, as appropriate to allow for timely decisions regarding required disclosure.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351155"/>
                <wp:effectExtent l="0" t="0" r="0" b="0"/>
                <wp:wrapNone/>
                <wp:docPr id="82" name="Frame8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(b) Changes in Internal Control over Financial Reporting</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 change occurred in our internal control over financial reporting (as defined in Rule 13a-15(f) and 15d-15(f) of the Exchange Act) during the period covered by this quarterly report that has materially affected, or is reasonably likely to materially affect, our internal control over financial reporting.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351155"/>
                <wp:effectExtent l="0" t="0" r="0" b="0"/>
                <wp:wrapNone/>
                <wp:docPr id="83" name="Frame8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ind w:left="0" w:right="0" w:firstLine="54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PART II — OTHER INFORMATION</w:t>
      </w:r>
    </w:p>
    <w:p>
      <w:pPr>
        <w:pStyle w:val="TextBody"/>
        <w:bidi w:val="0"/>
        <w:spacing w:lineRule="auto" w:line="288" w:before="0" w:after="0"/>
        <w:ind w:left="0" w:right="0" w:firstLine="72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506" w:type="dxa"/>
        <w:jc w:val="left"/>
        <w:tblInd w:w="0" w:type="dxa"/>
        <w:tblLayout w:type="fixed"/>
        <w:tblCellMar>
          <w:top w:w="28" w:type="dxa"/>
          <w:left w:w="28" w:type="dxa"/>
          <w:bottom w:w="28" w:type="dxa"/>
          <w:right w:w="28" w:type="dxa"/>
        </w:tblCellMar>
      </w:tblPr>
      <w:tblGrid>
        <w:gridCol w:w="124"/>
        <w:gridCol w:w="109"/>
        <w:gridCol w:w="109"/>
        <w:gridCol w:w="274"/>
        <w:gridCol w:w="274"/>
        <w:gridCol w:w="276"/>
        <w:gridCol w:w="685"/>
        <w:gridCol w:w="685"/>
        <w:gridCol w:w="9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w:t>
            </w:r>
          </w:p>
        </w:tc>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LEGAL PROCEEDINGS.</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at times subject to various legal proceedings and claims arising in the ordinary course of our business. In addition, in the ordinary course of business, we can be and are involved in governmental and regulatory examinations, information gathering requests, investigations and proceedings. As of the date of this report, we are not party to any litigation or legal proceedings, or to our knowledge, any threatened litigation or legal proceedings, which we believe, individually or in the aggregate, would have a material adverse effect on our results of operations or financial condition.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921" w:type="dxa"/>
        <w:jc w:val="left"/>
        <w:tblInd w:w="0" w:type="dxa"/>
        <w:tblLayout w:type="fixed"/>
        <w:tblCellMar>
          <w:top w:w="28" w:type="dxa"/>
          <w:left w:w="28" w:type="dxa"/>
          <w:bottom w:w="28" w:type="dxa"/>
          <w:right w:w="28" w:type="dxa"/>
        </w:tblCellMar>
      </w:tblPr>
      <w:tblGrid>
        <w:gridCol w:w="124"/>
        <w:gridCol w:w="109"/>
        <w:gridCol w:w="109"/>
        <w:gridCol w:w="319"/>
        <w:gridCol w:w="319"/>
        <w:gridCol w:w="321"/>
        <w:gridCol w:w="474"/>
        <w:gridCol w:w="474"/>
        <w:gridCol w:w="6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1A.</w:t>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RISK FACTORS.</w:t>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In addition to the risks identified below, refer to the risks identified under the caption "Risk Factors", in our Annual Report on Form 10-K for the year ended December 31, 2025 and our subsequent filings, which are available on the Securities and Exchange Commission’s website at </w:t>
      </w:r>
      <w:r>
        <w:rPr>
          <w:rFonts w:ascii="Times New Roman;serif" w:hAnsi="Times New Roman;serif"/>
          <w:b w:val="false"/>
          <w:color w:val="000000"/>
          <w:sz w:val="20"/>
          <w:u w:val="single"/>
        </w:rPr>
        <w:t>www.sec.gov</w:t>
      </w:r>
      <w:r>
        <w:rPr>
          <w:rFonts w:ascii="Times New Roman;serif" w:hAnsi="Times New Roman;serif"/>
          <w:b w:val="false"/>
          <w:color w:val="000000"/>
          <w:sz w:val="20"/>
        </w:rPr>
        <w:t>, and in the "Forward-Looking Statements" and "Management’s Discussion and Analysis of Financial Condition and Results of Operations" sections herein.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Risks Relating to the Proposed Merger with CHMI</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Completion of the Merger remains subject to conditions that we cannot control.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Merger is subject to various closing conditions, including the approval of both our stockholders and the stockholders of CHMI, and obtaining certain regulatory approvals arising in connection with the proposed transaction. There are no assurances that all of the conditions necessary to consummate the Merger will be satisfied or that the conditions will be satisfied in the time frame expected.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We may fail to realize all of the expected benefits of the Merger or those benefits may take longer to realize than expected.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full benefits of the Merger may not be realized by us as expected or may not be achieved within the anticipated time-frame, or at all. Failure to achieve the anticipated benefits of the Merger could adversely affect our results of operations or cash flows, cause dilution to our earnings per share or book value per share, decrease or delay the expected accretive effect of the Merger, and negatively impact the share price of our common stock.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we will be required to devote significant attention and resources prior to closing to prepare for the post-closing operation of the combined company. Post-closing, we may be required to devote significant attention and resources to successfully integrate the CHMI portfolio and operating business into our existing structure. This integration process may disrupt our business and, if ineffective, would limit the anticipated benefits of the Merger and could adversely affect our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We will incur direct and indirect costs as a result of the Merger.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will incur substantial expenses in connection with and as a result of completing the Merger and, following completion, we may incur additional expenses in connection with combining the businesses, operations, policies and procedures of the two companies. Factors beyond our control could affect the total amount or timing of these expenses, many of which, by their nature, are difficult to estimate accurately.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201" w:type="dxa"/>
        <w:jc w:val="left"/>
        <w:tblInd w:w="0" w:type="dxa"/>
        <w:tblLayout w:type="fixed"/>
        <w:tblCellMar>
          <w:top w:w="28" w:type="dxa"/>
          <w:left w:w="28" w:type="dxa"/>
          <w:bottom w:w="28" w:type="dxa"/>
          <w:right w:w="28" w:type="dxa"/>
        </w:tblCellMar>
      </w:tblPr>
      <w:tblGrid>
        <w:gridCol w:w="124"/>
        <w:gridCol w:w="109"/>
        <w:gridCol w:w="109"/>
        <w:gridCol w:w="279"/>
        <w:gridCol w:w="279"/>
        <w:gridCol w:w="281"/>
        <w:gridCol w:w="2053"/>
        <w:gridCol w:w="2053"/>
        <w:gridCol w:w="291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053" w:type="dxa"/>
            <w:tcBorders/>
            <w:vAlign w:val="center"/>
          </w:tcPr>
          <w:p>
            <w:pPr>
              <w:pStyle w:val="TableContents"/>
              <w:bidi w:val="0"/>
              <w:spacing w:before="0" w:after="283"/>
              <w:jc w:val="left"/>
              <w:rPr>
                <w:sz w:val="4"/>
                <w:szCs w:val="4"/>
              </w:rPr>
            </w:pPr>
            <w:r>
              <w:rPr>
                <w:sz w:val="4"/>
                <w:szCs w:val="4"/>
              </w:rPr>
            </w:r>
          </w:p>
        </w:tc>
        <w:tc>
          <w:tcPr>
            <w:tcW w:w="2053" w:type="dxa"/>
            <w:tcBorders/>
            <w:vAlign w:val="center"/>
          </w:tcPr>
          <w:p>
            <w:pPr>
              <w:pStyle w:val="TableContents"/>
              <w:bidi w:val="0"/>
              <w:spacing w:before="0" w:after="283"/>
              <w:jc w:val="left"/>
              <w:rPr>
                <w:sz w:val="4"/>
                <w:szCs w:val="4"/>
              </w:rPr>
            </w:pPr>
            <w:r>
              <w:rPr>
                <w:sz w:val="4"/>
                <w:szCs w:val="4"/>
              </w:rPr>
            </w:r>
          </w:p>
        </w:tc>
        <w:tc>
          <w:tcPr>
            <w:tcW w:w="291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ITEM</w:t>
            </w:r>
            <w:r>
              <w:rPr>
                <w:color w:val="000000"/>
              </w:rPr>
              <w:t xml:space="preserve"> </w:t>
            </w:r>
            <w:r>
              <w:rPr>
                <w:rFonts w:ascii="Times New Roman;serif" w:hAnsi="Times New Roman;serif"/>
                <w:b/>
                <w:color w:val="000000"/>
                <w:sz w:val="20"/>
              </w:rPr>
              <w:t>2.</w:t>
            </w:r>
          </w:p>
        </w:tc>
        <w:tc>
          <w:tcPr>
            <w:tcW w:w="7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UNREGISTERED SALES OF EQUITY SECURITIES AND USE OF PROCEEDS.</w:t>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975" w:type="dxa"/>
        <w:jc w:val="left"/>
        <w:tblInd w:w="0" w:type="dxa"/>
        <w:tblLayout w:type="fixed"/>
        <w:tblCellMar>
          <w:top w:w="28" w:type="dxa"/>
          <w:left w:w="28" w:type="dxa"/>
          <w:bottom w:w="28" w:type="dxa"/>
          <w:right w:w="28" w:type="dxa"/>
        </w:tblCellMar>
      </w:tblPr>
      <w:tblGrid>
        <w:gridCol w:w="124"/>
        <w:gridCol w:w="109"/>
        <w:gridCol w:w="109"/>
        <w:gridCol w:w="274"/>
        <w:gridCol w:w="274"/>
        <w:gridCol w:w="276"/>
        <w:gridCol w:w="1115"/>
        <w:gridCol w:w="1115"/>
        <w:gridCol w:w="157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3.</w:t>
            </w:r>
          </w:p>
        </w:tc>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DEFAULTS UPON SENIOR SECURITIES.</w:t>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351155"/>
                <wp:effectExtent l="0" t="0" r="0" b="0"/>
                <wp:wrapNone/>
                <wp:docPr id="84" name="Frame8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045" w:type="dxa"/>
        <w:jc w:val="left"/>
        <w:tblInd w:w="0" w:type="dxa"/>
        <w:tblLayout w:type="fixed"/>
        <w:tblCellMar>
          <w:top w:w="28" w:type="dxa"/>
          <w:left w:w="28" w:type="dxa"/>
          <w:bottom w:w="28" w:type="dxa"/>
          <w:right w:w="28" w:type="dxa"/>
        </w:tblCellMar>
      </w:tblPr>
      <w:tblGrid>
        <w:gridCol w:w="124"/>
        <w:gridCol w:w="109"/>
        <w:gridCol w:w="109"/>
        <w:gridCol w:w="274"/>
        <w:gridCol w:w="274"/>
        <w:gridCol w:w="276"/>
        <w:gridCol w:w="842"/>
        <w:gridCol w:w="842"/>
        <w:gridCol w:w="11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4.</w:t>
            </w:r>
          </w:p>
        </w:tc>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MINE SAFETY DISCLOSURES</w:t>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536" w:type="dxa"/>
        <w:jc w:val="left"/>
        <w:tblInd w:w="0" w:type="dxa"/>
        <w:tblLayout w:type="fixed"/>
        <w:tblCellMar>
          <w:top w:w="28" w:type="dxa"/>
          <w:left w:w="28" w:type="dxa"/>
          <w:bottom w:w="28" w:type="dxa"/>
          <w:right w:w="28" w:type="dxa"/>
        </w:tblCellMar>
      </w:tblPr>
      <w:tblGrid>
        <w:gridCol w:w="124"/>
        <w:gridCol w:w="109"/>
        <w:gridCol w:w="109"/>
        <w:gridCol w:w="274"/>
        <w:gridCol w:w="274"/>
        <w:gridCol w:w="276"/>
        <w:gridCol w:w="693"/>
        <w:gridCol w:w="693"/>
        <w:gridCol w:w="98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5.</w:t>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INFORMATION.</w:t>
            </w:r>
          </w:p>
        </w:tc>
      </w:tr>
    </w:tbl>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351155"/>
                <wp:effectExtent l="0" t="0" r="0" b="0"/>
                <wp:wrapNone/>
                <wp:docPr id="85" name="Frame8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tbl>
      <w:tblPr>
        <w:tblW w:w="2307" w:type="dxa"/>
        <w:jc w:val="left"/>
        <w:tblInd w:w="0" w:type="dxa"/>
        <w:tblLayout w:type="fixed"/>
        <w:tblCellMar>
          <w:top w:w="28" w:type="dxa"/>
          <w:left w:w="28" w:type="dxa"/>
          <w:bottom w:w="28" w:type="dxa"/>
          <w:right w:w="28" w:type="dxa"/>
        </w:tblCellMar>
      </w:tblPr>
      <w:tblGrid>
        <w:gridCol w:w="124"/>
        <w:gridCol w:w="109"/>
        <w:gridCol w:w="109"/>
        <w:gridCol w:w="274"/>
        <w:gridCol w:w="274"/>
        <w:gridCol w:w="276"/>
        <w:gridCol w:w="334"/>
        <w:gridCol w:w="334"/>
        <w:gridCol w:w="47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6.</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EXHIBITS.</w:t>
            </w:r>
          </w:p>
        </w:tc>
      </w:tr>
    </w:tbl>
    <w:p>
      <w:pPr>
        <w:pStyle w:val="TextBody"/>
        <w:bidi w:val="0"/>
        <w:spacing w:lineRule="auto" w:line="288" w:before="0" w:after="0"/>
        <w:ind w:left="0" w:right="0" w:firstLine="72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72"/>
        <w:gridCol w:w="239"/>
        <w:gridCol w:w="240"/>
        <w:gridCol w:w="109"/>
        <w:gridCol w:w="109"/>
        <w:gridCol w:w="109"/>
        <w:gridCol w:w="2786"/>
        <w:gridCol w:w="2614"/>
        <w:gridCol w:w="3727"/>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614" w:type="dxa"/>
            <w:tcBorders/>
            <w:vAlign w:val="center"/>
          </w:tcPr>
          <w:p>
            <w:pPr>
              <w:pStyle w:val="TableContents"/>
              <w:bidi w:val="0"/>
              <w:spacing w:before="0" w:after="283"/>
              <w:jc w:val="left"/>
              <w:rPr>
                <w:sz w:val="4"/>
                <w:szCs w:val="4"/>
              </w:rPr>
            </w:pPr>
            <w:r>
              <w:rPr>
                <w:sz w:val="4"/>
                <w:szCs w:val="4"/>
              </w:rPr>
            </w:r>
          </w:p>
        </w:tc>
        <w:tc>
          <w:tcPr>
            <w:tcW w:w="3727"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color w:val="000000"/>
                <w:sz w:val="20"/>
              </w:rPr>
            </w:pPr>
            <w:r>
              <w:rPr>
                <w:rFonts w:ascii="Times New Roman;serif" w:hAnsi="Times New Roman;serif"/>
                <w:b/>
                <w:color w:val="000000"/>
                <w:sz w:val="20"/>
              </w:rPr>
              <w:t>Exhibit</w:t>
            </w:r>
          </w:p>
          <w:p>
            <w:pPr>
              <w:pStyle w:val="TableContents"/>
              <w:bidi w:val="0"/>
              <w:spacing w:lineRule="auto" w:line="240" w:before="0" w:after="0"/>
              <w:jc w:val="both"/>
              <w:rPr>
                <w:rFonts w:ascii="Times New Roman;serif" w:hAnsi="Times New Roman;serif"/>
                <w:b/>
                <w:color w:val="000000"/>
                <w:sz w:val="20"/>
              </w:rPr>
            </w:pPr>
            <w:r>
              <w:rPr>
                <w:rFonts w:ascii="Times New Roman;serif" w:hAnsi="Times New Roman;serif"/>
                <w:b/>
                <w:color w:val="000000"/>
                <w:sz w:val="20"/>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color w:val="000000"/>
                <w:sz w:val="20"/>
              </w:rPr>
              <w:t>Description</w:t>
            </w:r>
            <w:r>
              <w:rPr>
                <w:color w:val="000000"/>
              </w:rPr>
              <w:t xml:space="preserve">  </w:t>
            </w:r>
          </w:p>
        </w:tc>
      </w:tr>
      <w:tr>
        <w:trPr/>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erif" w:hAnsi="Times New Roman;serif"/>
                  <w:b w:val="false"/>
                  <w:color w:val="0000FF"/>
                  <w:sz w:val="20"/>
                  <w:u w:val="single"/>
                </w:rPr>
                <w:t>Articles of Amendment and Restatement of AG Mortgage Investment Trust, Inc., incorporated by reference to Exhibit 3.1 of Amendment No. 2 to the Company's Registration Statement on Form S-11, filed with the Securities and Exchange Commission on April 18, 2011 ("Pre-Effective Amendment No. 2").</w:t>
              </w:r>
            </w:hyperlink>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Times New Roman;serif" w:hAnsi="Times New Roman;serif"/>
                  <w:b w:val="false"/>
                  <w:color w:val="0000FF"/>
                  <w:sz w:val="20"/>
                  <w:u w:val="single"/>
                </w:rPr>
                <w:t>Articles of Amendment to Articles of Amendment and Restatement of AG Mortgage Investment Trust, Inc., incorporated by reference to Exhibit 3.1 of the Company's Current Report on Form 8-K, filed with the Securities and Exchange Commission on May 8, 2017.</w:t>
              </w:r>
            </w:hyperlink>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3.3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7">
              <w:r>
                <w:rPr>
                  <w:rStyle w:val="InternetLink"/>
                  <w:rFonts w:ascii="Times New Roman;serif" w:hAnsi="Times New Roman;serif"/>
                  <w:b w:val="false"/>
                  <w:color w:val="0000FF"/>
                  <w:sz w:val="20"/>
                  <w:u w:val="single"/>
                </w:rPr>
                <w:t>Amended and Restated Bylaws of TPG Mortgage Investment Trust, Inc., incorporated by reference to Exhibit 3.2 of the Company's Current Report on Form 8-K, filed with the Securities and Exchange Commission on December 16, 2025.</w:t>
              </w:r>
            </w:hyperlink>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20"/>
                  <w:u w:val="single"/>
                </w:rPr>
                <w:t>3.4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9">
              <w:r>
                <w:rPr>
                  <w:rStyle w:val="InternetLink"/>
                  <w:rFonts w:ascii="Times New Roman;serif" w:hAnsi="Times New Roman;serif"/>
                  <w:b w:val="false"/>
                  <w:color w:val="0000FF"/>
                  <w:sz w:val="20"/>
                  <w:u w:val="single"/>
                </w:rPr>
                <w:t>Articles Supplementary of 8.25% Series A Cumulative Redeemable Preferred Stock, incorporated by reference to Exhibit 3.1 of the Company's Current Report on Form 8-K, filed with the Securities and Exchange Commission on August 2, 2012.</w:t>
              </w:r>
            </w:hyperlink>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20"/>
                  <w:u w:val="single"/>
                </w:rPr>
                <w:t>3.5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1">
              <w:r>
                <w:rPr>
                  <w:rStyle w:val="InternetLink"/>
                  <w:rFonts w:ascii="Times New Roman;serif" w:hAnsi="Times New Roman;serif"/>
                  <w:b w:val="false"/>
                  <w:color w:val="0000FF"/>
                  <w:sz w:val="20"/>
                  <w:u w:val="single"/>
                </w:rPr>
                <w:t>Articles Supplementary of 8.00% Series B Cumulative Redeemable Preferred Stock, incorporated by reference to Exhibit 3.1 of the Company's Current Report on Form 8-K, filed with the Securities and Exchange Commission on September 24, 2012.</w:t>
              </w:r>
            </w:hyperlink>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2">
              <w:r>
                <w:rPr>
                  <w:rStyle w:val="InternetLink"/>
                  <w:rFonts w:ascii="Times New Roman;serif" w:hAnsi="Times New Roman;serif"/>
                  <w:b w:val="false"/>
                  <w:color w:val="0000FF"/>
                  <w:sz w:val="20"/>
                  <w:u w:val="single"/>
                </w:rPr>
                <w:t>3.6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3">
              <w:r>
                <w:rPr>
                  <w:rStyle w:val="InternetLink"/>
                  <w:rFonts w:ascii="Times New Roman;serif" w:hAnsi="Times New Roman;serif"/>
                  <w:b w:val="false"/>
                  <w:color w:val="0000FF"/>
                  <w:sz w:val="20"/>
                  <w:u w:val="single"/>
                </w:rPr>
                <w:t>Articles Supplementary of 8.000% Series C Fixed-to-Floating Rate Cumulative Redeemable Preferred Stock, incorporated by reference to Exhibit 3.5 of the Company's Registration Statement on Form 8-A12B, filed with the Securities and Exchange Commission on September 16, 2019.</w:t>
              </w:r>
            </w:hyperlink>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4">
              <w:r>
                <w:rPr>
                  <w:rStyle w:val="InternetLink"/>
                  <w:rFonts w:ascii="Times New Roman;serif" w:hAnsi="Times New Roman;serif"/>
                  <w:b w:val="false"/>
                  <w:color w:val="0000FF"/>
                  <w:sz w:val="20"/>
                  <w:u w:val="single"/>
                </w:rPr>
                <w:t>3.7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5">
              <w:r>
                <w:rPr>
                  <w:rStyle w:val="InternetLink"/>
                  <w:rFonts w:ascii="Times New Roman;serif" w:hAnsi="Times New Roman;serif"/>
                  <w:b w:val="false"/>
                  <w:color w:val="0000FF"/>
                  <w:sz w:val="20"/>
                  <w:u w:val="single"/>
                </w:rPr>
                <w:t>Articles of Amendment of AG Mortgage Investment Trust, Inc., incorporated by reference to Exhibit 3.1 of the Company's Current Report on Form 8-K, filed with the Securities and Exchange Commission on July 27, 2021.</w:t>
              </w:r>
            </w:hyperlink>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6">
              <w:r>
                <w:rPr>
                  <w:rStyle w:val="InternetLink"/>
                  <w:rFonts w:ascii="Times New Roman;serif" w:hAnsi="Times New Roman;serif"/>
                  <w:b w:val="false"/>
                  <w:color w:val="0000FF"/>
                  <w:sz w:val="20"/>
                  <w:u w:val="single"/>
                </w:rPr>
                <w:t>3.8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7">
              <w:r>
                <w:rPr>
                  <w:rStyle w:val="InternetLink"/>
                  <w:rFonts w:ascii="Times New Roman;serif" w:hAnsi="Times New Roman;serif"/>
                  <w:b w:val="false"/>
                  <w:color w:val="0000FF"/>
                  <w:sz w:val="20"/>
                  <w:u w:val="single"/>
                </w:rPr>
                <w:t>Articles of Amendment of AG Mortgage Investment Trust, Inc., incorporated by reference to Exhibit 3.2 of the Company's Current Report on Form 8-K, filed with the Securities and Exchange Commission on July 27, 2021.</w:t>
              </w:r>
            </w:hyperlink>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8">
              <w:r>
                <w:rPr>
                  <w:rStyle w:val="InternetLink"/>
                  <w:rFonts w:ascii="Times New Roman;serif" w:hAnsi="Times New Roman;serif"/>
                  <w:b w:val="false"/>
                  <w:color w:val="0000FF"/>
                  <w:sz w:val="20"/>
                  <w:u w:val="single"/>
                </w:rPr>
                <w:t>3.9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9">
              <w:r>
                <w:rPr>
                  <w:rStyle w:val="InternetLink"/>
                  <w:rFonts w:ascii="Times New Roman;serif" w:hAnsi="Times New Roman;serif"/>
                  <w:b w:val="false"/>
                  <w:color w:val="0000FF"/>
                  <w:sz w:val="20"/>
                  <w:u w:val="single"/>
                </w:rPr>
                <w:t>Articles of Amendment of AG Mortgage Investment Trust, Inc., incorporated by reference to Exhibit 3.1 of the Company's Current Report on Form 8-K, filed with the Securities and Exchange Commission on December 16, 2025.</w:t>
              </w:r>
            </w:hyperlink>
            <w:r>
              <w:rPr>
                <w:color w:val="000000"/>
              </w:rPr>
              <w:t xml:space="preserve"> </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erif" w:hAnsi="Times New Roman;serif"/>
                  <w:b w:val="false"/>
                  <w:color w:val="0000FF"/>
                  <w:sz w:val="20"/>
                  <w:u w:val="single"/>
                </w:rPr>
                <w:t>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1">
              <w:r>
                <w:rPr>
                  <w:rStyle w:val="InternetLink"/>
                  <w:rFonts w:ascii="Times New Roman;serif" w:hAnsi="Times New Roman;serif"/>
                  <w:b w:val="false"/>
                  <w:color w:val="0000FF"/>
                  <w:sz w:val="20"/>
                  <w:u w:val="single"/>
                </w:rPr>
                <w:t>Specimen Common Stock Certificate of AG Mortgage Investment Trust, Inc., incorporated by reference to Exhibit 4.1 on Form 10-Q filed with the Securities and Exchange Commission on May 7, 2021</w:t>
              </w:r>
            </w:hyperlink>
            <w:r>
              <w:rPr>
                <w:rFonts w:ascii="Times New Roman;serif" w:hAnsi="Times New Roman;serif"/>
                <w:b w:val="false"/>
                <w:color w:val="000000"/>
                <w:sz w:val="20"/>
              </w:rPr>
              <w:t>.</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erif" w:hAnsi="Times New Roman;serif"/>
                  <w:b w:val="false"/>
                  <w:color w:val="0000FF"/>
                  <w:sz w:val="20"/>
                  <w:u w:val="single"/>
                </w:rPr>
                <w:t>4.2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3">
              <w:r>
                <w:rPr>
                  <w:rStyle w:val="InternetLink"/>
                  <w:rFonts w:ascii="Times New Roman;serif" w:hAnsi="Times New Roman;serif"/>
                  <w:b w:val="false"/>
                  <w:color w:val="0000FF"/>
                  <w:sz w:val="20"/>
                  <w:u w:val="single"/>
                </w:rPr>
                <w:t>Specimen 8.25% Series A Cumulative Redeemable Preferred Stock Certificate, incorporated by reference to Exhibit 4.1 of the Company's Current Report on Form 8-K, filed with the Securities and Exchange Commission on August 2, 2012.</w:t>
              </w:r>
            </w:hyperlink>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erif" w:hAnsi="Times New Roman;serif"/>
                  <w:b w:val="false"/>
                  <w:color w:val="0000FF"/>
                  <w:sz w:val="20"/>
                  <w:u w:val="single"/>
                </w:rPr>
                <w:t>4.3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5">
              <w:r>
                <w:rPr>
                  <w:rStyle w:val="InternetLink"/>
                  <w:rFonts w:ascii="Times New Roman;serif" w:hAnsi="Times New Roman;serif"/>
                  <w:b w:val="false"/>
                  <w:color w:val="0000FF"/>
                  <w:sz w:val="20"/>
                  <w:u w:val="single"/>
                </w:rPr>
                <w:t>Specimen 8.00% Series B Cumulative Redeemable Preferred Stock Certificate, incorporated by reference to Exhibit 4.1 of the Company's Current Report on Form 8-K, filed with the Securities and Exchange Commission on September 24, 2012.</w:t>
              </w:r>
            </w:hyperlink>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6">
              <w:r>
                <w:rPr>
                  <w:rStyle w:val="InternetLink"/>
                  <w:rFonts w:ascii="Times New Roman;serif" w:hAnsi="Times New Roman;serif"/>
                  <w:b w:val="false"/>
                  <w:color w:val="0000FF"/>
                  <w:sz w:val="20"/>
                  <w:u w:val="single"/>
                </w:rPr>
                <w:t>4.4 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7">
              <w:r>
                <w:rPr>
                  <w:rStyle w:val="InternetLink"/>
                  <w:rFonts w:ascii="Times New Roman;serif" w:hAnsi="Times New Roman;serif"/>
                  <w:b w:val="false"/>
                  <w:color w:val="0000FF"/>
                  <w:sz w:val="20"/>
                  <w:u w:val="single"/>
                </w:rPr>
                <w:t>Specimen 8.000% Series C Fixed-to-Floating Rate Cumulative Redeemable Preferred Stock Certificate, incorporated by reference to Exhibit 3.9 of the Company's Registration Statement on Form 8-A12B, filed with the Securities and Exchange Commission on September 16, 2019.</w:t>
              </w:r>
            </w:hyperlink>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7" w:type="dxa"/>
            <w:gridSpan w:val="3"/>
            <w:tcBorders/>
            <w:vAlign w:val="center"/>
          </w:tcPr>
          <w:p>
            <w:pPr>
              <w:pStyle w:val="TableContents"/>
              <w:bidi w:val="0"/>
              <w:spacing w:before="0" w:after="283"/>
              <w:jc w:val="left"/>
              <w:rPr>
                <w:sz w:val="4"/>
                <w:szCs w:val="4"/>
              </w:rPr>
            </w:pPr>
            <w:r>
              <w:rPr>
                <w:sz w:val="4"/>
                <w:szCs w:val="4"/>
              </w:rPr>
            </w:r>
          </w:p>
        </w:tc>
      </w:tr>
      <w:tr>
        <w:trPr/>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7" w:type="dxa"/>
            <w:gridSpan w:val="3"/>
            <w:tcBorders/>
            <w:vAlign w:val="center"/>
          </w:tcPr>
          <w:p>
            <w:pPr>
              <w:pStyle w:val="TableContents"/>
              <w:bidi w:val="0"/>
              <w:spacing w:before="0" w:after="283"/>
              <w:jc w:val="left"/>
              <w:rPr>
                <w:sz w:val="4"/>
                <w:szCs w:val="4"/>
              </w:rPr>
            </w:pPr>
            <w:r>
              <w:rPr>
                <w:sz w:val="4"/>
                <w:szCs w:val="4"/>
              </w:rPr>
            </w:r>
          </w:p>
        </w:tc>
      </w:tr>
      <w:tr>
        <w:trPr/>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7" w:type="dxa"/>
            <w:gridSpan w:val="3"/>
            <w:tcBorders/>
            <w:vAlign w:val="center"/>
          </w:tcPr>
          <w:p>
            <w:pPr>
              <w:pStyle w:val="TableContents"/>
              <w:bidi w:val="0"/>
              <w:spacing w:before="0" w:after="283"/>
              <w:jc w:val="left"/>
              <w:rPr>
                <w:sz w:val="4"/>
                <w:szCs w:val="4"/>
              </w:rPr>
            </w:pPr>
            <w:r>
              <w:rPr>
                <w:sz w:val="4"/>
                <w:szCs w:val="4"/>
              </w:rPr>
            </w:r>
          </w:p>
        </w:tc>
      </w:tr>
      <w:tr>
        <w:trPr/>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7" w:type="dxa"/>
            <w:gridSpan w:val="3"/>
            <w:tcBorders/>
            <w:vAlign w:val="center"/>
          </w:tcPr>
          <w:p>
            <w:pPr>
              <w:pStyle w:val="TableContents"/>
              <w:bidi w:val="0"/>
              <w:spacing w:before="0" w:after="283"/>
              <w:jc w:val="left"/>
              <w:rPr>
                <w:sz w:val="4"/>
                <w:szCs w:val="4"/>
              </w:rPr>
            </w:pPr>
            <w:r>
              <w:rPr>
                <w:sz w:val="4"/>
                <w:szCs w:val="4"/>
              </w:rPr>
            </w:r>
          </w:p>
        </w:tc>
      </w:tr>
      <w:tr>
        <w:trPr/>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7" w:type="dxa"/>
            <w:gridSpan w:val="3"/>
            <w:tcBorders/>
            <w:vAlign w:val="center"/>
          </w:tcPr>
          <w:p>
            <w:pPr>
              <w:pStyle w:val="TableContents"/>
              <w:bidi w:val="0"/>
              <w:spacing w:before="0" w:after="283"/>
              <w:jc w:val="left"/>
              <w:rPr>
                <w:sz w:val="4"/>
                <w:szCs w:val="4"/>
              </w:rPr>
            </w:pPr>
            <w:r>
              <w:rPr>
                <w:sz w:val="4"/>
                <w:szCs w:val="4"/>
              </w:rPr>
            </w:r>
          </w:p>
        </w:tc>
      </w:tr>
      <w:tr>
        <w:trPr/>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7" w:type="dxa"/>
            <w:gridSpan w:val="3"/>
            <w:tcBorders/>
            <w:vAlign w:val="center"/>
          </w:tcPr>
          <w:p>
            <w:pPr>
              <w:pStyle w:val="TableContents"/>
              <w:bidi w:val="0"/>
              <w:spacing w:before="0" w:after="283"/>
              <w:jc w:val="left"/>
              <w:rPr>
                <w:sz w:val="4"/>
                <w:szCs w:val="4"/>
              </w:rPr>
            </w:pPr>
            <w:r>
              <w:rPr>
                <w:sz w:val="4"/>
                <w:szCs w:val="4"/>
              </w:rPr>
            </w:r>
          </w:p>
        </w:tc>
      </w:tr>
      <w:tr>
        <w:trPr/>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7" w:type="dxa"/>
            <w:gridSpan w:val="3"/>
            <w:tcBorders/>
            <w:vAlign w:val="center"/>
          </w:tcPr>
          <w:p>
            <w:pPr>
              <w:pStyle w:val="TableContents"/>
              <w:bidi w:val="0"/>
              <w:spacing w:before="0" w:after="283"/>
              <w:jc w:val="left"/>
              <w:rPr>
                <w:sz w:val="4"/>
                <w:szCs w:val="4"/>
              </w:rPr>
            </w:pPr>
            <w:r>
              <w:rPr>
                <w:sz w:val="4"/>
                <w:szCs w:val="4"/>
              </w:rPr>
            </w:r>
          </w:p>
        </w:tc>
      </w:tr>
      <w:tr>
        <w:trPr/>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7" w:type="dxa"/>
            <w:gridSpan w:val="3"/>
            <w:tcBorders/>
            <w:vAlign w:val="center"/>
          </w:tcPr>
          <w:p>
            <w:pPr>
              <w:pStyle w:val="TableContents"/>
              <w:bidi w:val="0"/>
              <w:spacing w:before="0" w:after="283"/>
              <w:jc w:val="left"/>
              <w:rPr>
                <w:sz w:val="4"/>
                <w:szCs w:val="4"/>
              </w:rPr>
            </w:pPr>
            <w:r>
              <w:rPr>
                <w:sz w:val="4"/>
                <w:szCs w:val="4"/>
              </w:rPr>
            </w:r>
          </w:p>
        </w:tc>
      </w:tr>
      <w:tr>
        <w:trPr/>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7"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36"/>
        <w:gridCol w:w="119"/>
        <w:gridCol w:w="121"/>
        <w:gridCol w:w="109"/>
        <w:gridCol w:w="109"/>
        <w:gridCol w:w="109"/>
        <w:gridCol w:w="3076"/>
        <w:gridCol w:w="3076"/>
        <w:gridCol w:w="3085"/>
        <w:gridCol w:w="109"/>
        <w:gridCol w:w="156"/>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Contents"/>
              <w:bidi w:val="0"/>
              <w:spacing w:before="0" w:after="283"/>
              <w:jc w:val="left"/>
              <w:rPr>
                <w:sz w:val="4"/>
                <w:szCs w:val="4"/>
              </w:rPr>
            </w:pPr>
            <w:r>
              <w:rPr>
                <w:sz w:val="4"/>
                <w:szCs w:val="4"/>
              </w:rPr>
            </w:r>
          </w:p>
        </w:tc>
        <w:tc>
          <w:tcPr>
            <w:tcW w:w="30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8">
              <w:r>
                <w:rPr>
                  <w:rStyle w:val="InternetLink"/>
                  <w:rFonts w:ascii="Times New Roman;serif" w:hAnsi="Times New Roman;serif"/>
                  <w:b w:val="false"/>
                  <w:color w:val="0000FF"/>
                  <w:sz w:val="20"/>
                  <w:u w:val="single"/>
                </w:rPr>
                <w:t>4.5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9">
              <w:r>
                <w:rPr>
                  <w:rStyle w:val="InternetLink"/>
                  <w:rFonts w:ascii="Times New Roman;serif" w:hAnsi="Times New Roman;serif"/>
                  <w:b w:val="false"/>
                  <w:color w:val="0000FF"/>
                  <w:sz w:val="20"/>
                  <w:u w:val="single"/>
                </w:rPr>
                <w:t>Indenture, dated January 26, 2024, between AG Mortgage Investment Trust, Inc. and U.S. Bank Trust Company, National Association, as Trustee, incorporated by reference to Exhibit 4.2 of the Company's Registration Statement on Form 8-A12B, filed with the Securities and Exchange Commission on January 26, 2024.</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351155"/>
                <wp:effectExtent l="0" t="0" r="0" b="0"/>
                <wp:wrapNone/>
                <wp:docPr id="86" name="Frame8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86</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34"/>
        <w:gridCol w:w="187"/>
        <w:gridCol w:w="193"/>
        <w:gridCol w:w="109"/>
        <w:gridCol w:w="109"/>
        <w:gridCol w:w="109"/>
        <w:gridCol w:w="3068"/>
        <w:gridCol w:w="2961"/>
        <w:gridCol w:w="2969"/>
        <w:gridCol w:w="109"/>
        <w:gridCol w:w="157"/>
      </w:tblGrid>
      <w:tr>
        <w:trPr/>
        <w:tc>
          <w:tcPr>
            <w:tcW w:w="23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8" w:type="dxa"/>
            <w:tcBorders/>
            <w:vAlign w:val="center"/>
          </w:tcPr>
          <w:p>
            <w:pPr>
              <w:pStyle w:val="TableContents"/>
              <w:bidi w:val="0"/>
              <w:spacing w:before="0" w:after="283"/>
              <w:jc w:val="left"/>
              <w:rPr>
                <w:sz w:val="4"/>
                <w:szCs w:val="4"/>
              </w:rPr>
            </w:pPr>
            <w:r>
              <w:rPr>
                <w:sz w:val="4"/>
                <w:szCs w:val="4"/>
              </w:rPr>
            </w:r>
          </w:p>
        </w:tc>
        <w:tc>
          <w:tcPr>
            <w:tcW w:w="2961" w:type="dxa"/>
            <w:tcBorders/>
            <w:vAlign w:val="center"/>
          </w:tcPr>
          <w:p>
            <w:pPr>
              <w:pStyle w:val="TableContents"/>
              <w:bidi w:val="0"/>
              <w:spacing w:before="0" w:after="283"/>
              <w:jc w:val="left"/>
              <w:rPr>
                <w:sz w:val="4"/>
                <w:szCs w:val="4"/>
              </w:rPr>
            </w:pPr>
            <w:r>
              <w:rPr>
                <w:sz w:val="4"/>
                <w:szCs w:val="4"/>
              </w:rPr>
            </w:r>
          </w:p>
        </w:tc>
        <w:tc>
          <w:tcPr>
            <w:tcW w:w="29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0">
              <w:r>
                <w:rPr>
                  <w:rStyle w:val="InternetLink"/>
                  <w:rFonts w:ascii="Times New Roman;serif" w:hAnsi="Times New Roman;serif"/>
                  <w:b w:val="false"/>
                  <w:color w:val="0000FF"/>
                  <w:sz w:val="20"/>
                  <w:u w:val="single"/>
                </w:rPr>
                <w:t>4.6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1">
              <w:r>
                <w:rPr>
                  <w:rStyle w:val="InternetLink"/>
                  <w:rFonts w:ascii="Times New Roman;serif" w:hAnsi="Times New Roman;serif"/>
                  <w:b w:val="false"/>
                  <w:color w:val="0000FF"/>
                  <w:sz w:val="20"/>
                  <w:u w:val="single"/>
                </w:rPr>
                <w:t>First Supplemental Indenture, dated January 26, 2024, between AG Mortgage Investment Trust, Inc. and U.S. Bank Trust Company, National Association, as Trustee, incorporated by reference to Exhibit 4.3 to the Company's Registration Statement on Form 8-A12B, filed with the Securities and Exchange Commission on January 26, 2024.</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2">
              <w:r>
                <w:rPr>
                  <w:rStyle w:val="InternetLink"/>
                  <w:rFonts w:ascii="Times New Roman;serif" w:hAnsi="Times New Roman;serif"/>
                  <w:b w:val="false"/>
                  <w:color w:val="0000FF"/>
                  <w:sz w:val="20"/>
                  <w:u w:val="single"/>
                </w:rPr>
                <w:t>4.7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3">
              <w:r>
                <w:rPr>
                  <w:rStyle w:val="InternetLink"/>
                  <w:rFonts w:ascii="Times New Roman;serif" w:hAnsi="Times New Roman;serif"/>
                  <w:b w:val="false"/>
                  <w:color w:val="0000FF"/>
                  <w:sz w:val="20"/>
                  <w:u w:val="single"/>
                </w:rPr>
                <w:t>Second Supplemental Indenture, dated May 15, 2024, between AG Mortgage Investment Trust, Inc. and U.S. Bank Trust Company, National Association, as Trustee, incorporated by reference to Exhibit 4.4 to the Company's Registration Statement on Form 8-A12B, filed with the Securities and Exchange Commission on May 15, 2024.</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4">
              <w:r>
                <w:rPr>
                  <w:rStyle w:val="InternetLink"/>
                  <w:rFonts w:ascii="Times New Roman;serif" w:hAnsi="Times New Roman;serif"/>
                  <w:b w:val="false"/>
                  <w:color w:val="0000FF"/>
                  <w:sz w:val="20"/>
                  <w:u w:val="single"/>
                </w:rPr>
                <w:t>4.8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5">
              <w:r>
                <w:rPr>
                  <w:rStyle w:val="InternetLink"/>
                  <w:rFonts w:ascii="Times New Roman;serif" w:hAnsi="Times New Roman;serif"/>
                  <w:b w:val="false"/>
                  <w:color w:val="0000FF"/>
                  <w:sz w:val="20"/>
                  <w:u w:val="single"/>
                </w:rPr>
                <w:t>Form of 9.500% Senior Notes Due 2029 of AG Mortgage Investment Trust, Inc. (attached as Exhibit A to the First Supplemental Indenture, incorporated by reference to Exhibit 4.3 to the Company's Registration Statement on Form 8-A12B, filed with the Securities and Exchange Commission on January 26, 2024).</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6">
              <w:r>
                <w:rPr>
                  <w:rStyle w:val="InternetLink"/>
                  <w:rFonts w:ascii="Times New Roman;serif" w:hAnsi="Times New Roman;serif"/>
                  <w:b w:val="false"/>
                  <w:color w:val="0000FF"/>
                  <w:sz w:val="20"/>
                  <w:u w:val="single"/>
                </w:rPr>
                <w:t>4.9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7">
              <w:r>
                <w:rPr>
                  <w:rStyle w:val="InternetLink"/>
                  <w:rFonts w:ascii="Times New Roman;serif" w:hAnsi="Times New Roman;serif"/>
                  <w:b w:val="false"/>
                  <w:color w:val="0000FF"/>
                  <w:sz w:val="20"/>
                  <w:u w:val="single"/>
                </w:rPr>
                <w:t>Form of 9.500% Senior Notes Due 2029 of AG Mortgage Investment Trust, Inc. (attached as Exhibit A to the Second Supplemental Indenture, incorporated by reference to Exhibit 4.4 to the Company's Registration Statement on Form 8-A12B, filed with the Securities and Exchange Commission on May 15, 2024).</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mittq22026exh311.htm">
              <w:r>
                <w:rPr>
                  <w:rStyle w:val="InternetLink"/>
                  <w:rFonts w:ascii="Times New Roman;serif" w:hAnsi="Times New Roman;serif"/>
                  <w:b w:val="false"/>
                  <w:color w:val="0000FF"/>
                  <w:sz w:val="20"/>
                  <w:u w:val="single"/>
                </w:rPr>
                <w:t>31.1</w:t>
              </w:r>
            </w:hyperlink>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mittq22026exh311.htm">
              <w:r>
                <w:rPr>
                  <w:rStyle w:val="InternetLink"/>
                  <w:rFonts w:ascii="Times New Roman;serif" w:hAnsi="Times New Roman;serif"/>
                  <w:b w:val="false"/>
                  <w:color w:val="0000FF"/>
                  <w:sz w:val="20"/>
                  <w:u w:val="single"/>
                </w:rPr>
                <w:t>Certification of Thomas J. Durkin pursuant to Rule 13a-14(a), as adopted pursuant to Section 302 of the Sarbanes-Oxley Act of 2002.</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mittq22026exh312.htm">
              <w:r>
                <w:rPr>
                  <w:rStyle w:val="InternetLink"/>
                  <w:rFonts w:ascii="Times New Roman;serif" w:hAnsi="Times New Roman;serif"/>
                  <w:b w:val="false"/>
                  <w:color w:val="0000FF"/>
                  <w:sz w:val="20"/>
                  <w:u w:val="single"/>
                </w:rPr>
                <w:t>31.2</w:t>
              </w:r>
            </w:hyperlink>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mittq22026exh312.htm">
              <w:r>
                <w:rPr>
                  <w:rStyle w:val="InternetLink"/>
                  <w:rFonts w:ascii="Times New Roman;serif" w:hAnsi="Times New Roman;serif"/>
                  <w:b w:val="false"/>
                  <w:color w:val="0000FF"/>
                  <w:sz w:val="20"/>
                  <w:u w:val="single"/>
                </w:rPr>
                <w:t>Certification of Anthony W. Rossiello pursuant to Rule 13a-14(a), as adopted pursuant to Section 302 of the Sarbanes-Oxley Act of 2002.</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mittq22026exh321.htm">
              <w:r>
                <w:rPr>
                  <w:rStyle w:val="InternetLink"/>
                  <w:rFonts w:ascii="Times New Roman;serif" w:hAnsi="Times New Roman;serif"/>
                  <w:b w:val="false"/>
                  <w:color w:val="0000FF"/>
                  <w:sz w:val="20"/>
                  <w:u w:val="single"/>
                </w:rPr>
                <w:t>32.1</w:t>
              </w:r>
            </w:hyperlink>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mittq22026exh321.htm">
              <w:r>
                <w:rPr>
                  <w:rStyle w:val="InternetLink"/>
                  <w:rFonts w:ascii="Times New Roman;serif" w:hAnsi="Times New Roman;serif"/>
                  <w:b w:val="false"/>
                  <w:color w:val="0000FF"/>
                  <w:sz w:val="20"/>
                  <w:u w:val="single"/>
                </w:rPr>
                <w:t>Certification of Thomas J. Durkin pursuant to Rule 13a-14(b) and 18 U.S.C. Section 1350, as adopted pursuant to Section 906 of the Sarbanes-Oxley Act of 2002.</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mittq22026exh322.htm">
              <w:r>
                <w:rPr>
                  <w:rStyle w:val="InternetLink"/>
                  <w:rFonts w:ascii="Times New Roman;serif" w:hAnsi="Times New Roman;serif"/>
                  <w:b w:val="false"/>
                  <w:color w:val="0000FF"/>
                  <w:sz w:val="20"/>
                  <w:u w:val="single"/>
                </w:rPr>
                <w:t>32.2</w:t>
              </w:r>
            </w:hyperlink>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mittq22026exh322.htm">
              <w:r>
                <w:rPr>
                  <w:rStyle w:val="InternetLink"/>
                  <w:rFonts w:ascii="Times New Roman;serif" w:hAnsi="Times New Roman;serif"/>
                  <w:b w:val="false"/>
                  <w:color w:val="0000FF"/>
                  <w:sz w:val="20"/>
                  <w:u w:val="single"/>
                </w:rPr>
                <w:t>Certification of Anthony W. Rossiello pursuant to Rule 13a-14(b) and 18 U.S.C. Section 1350, as adopted pursuant to Section 906 of the Sarbanes-Oxley Act of 2002.</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Instance Document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Schema Document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Label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8"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tbl>
      <w:tblPr>
        <w:tblW w:w="203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00"/>
        <w:gridCol w:w="400"/>
        <w:gridCol w:w="56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bl>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351155"/>
                <wp:effectExtent l="0" t="0" r="0" b="0"/>
                <wp:wrapNone/>
                <wp:docPr id="87" name="Frame8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87</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0"/>
        <w:ind w:left="0" w:right="0" w:firstLine="720"/>
        <w:jc w:val="center"/>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ind w:left="0" w:right="0" w:firstLine="720"/>
        <w:jc w:val="both"/>
        <w:rPr>
          <w:color w:val="000000"/>
        </w:rPr>
      </w:pPr>
      <w:r>
        <w:rPr>
          <w:color w:val="000000"/>
        </w:rPr>
        <w:t> </w:t>
      </w:r>
    </w:p>
    <w:tbl>
      <w:tblPr>
        <w:tblW w:w="6987" w:type="dxa"/>
        <w:jc w:val="left"/>
        <w:tblInd w:w="0" w:type="dxa"/>
        <w:tblLayout w:type="fixed"/>
        <w:tblCellMar>
          <w:top w:w="28" w:type="dxa"/>
          <w:left w:w="28" w:type="dxa"/>
          <w:bottom w:w="28" w:type="dxa"/>
          <w:right w:w="28" w:type="dxa"/>
        </w:tblCellMar>
      </w:tblPr>
      <w:tblGrid>
        <w:gridCol w:w="531"/>
        <w:gridCol w:w="468"/>
        <w:gridCol w:w="470"/>
        <w:gridCol w:w="859"/>
        <w:gridCol w:w="859"/>
        <w:gridCol w:w="859"/>
        <w:gridCol w:w="859"/>
        <w:gridCol w:w="859"/>
        <w:gridCol w:w="1223"/>
      </w:tblGrid>
      <w:tr>
        <w:trPr/>
        <w:tc>
          <w:tcPr>
            <w:tcW w:w="531"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TPG MORTGAGE INVESTMENT TRUST, INC.</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10, 2026</w:t>
            </w:r>
          </w:p>
        </w:tc>
        <w:tc>
          <w:tcPr>
            <w:tcW w:w="25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9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THOMAS J. DURKIN</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Thomas J. Durkin</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President (principal executive officer)</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10, 2026</w:t>
            </w:r>
          </w:p>
        </w:tc>
        <w:tc>
          <w:tcPr>
            <w:tcW w:w="25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9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ANTHONY W. ROSSIELLO</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Anthony W. Rossiello</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8"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Chief Financial Officer (principal financial</w:t>
              <w:br/>
              <w:t>officer and principal accounting officer)</w:t>
            </w:r>
          </w:p>
        </w:tc>
      </w:tr>
    </w:tbl>
    <w:p>
      <w:pPr>
        <w:pStyle w:val="TextBody"/>
        <w:bidi w:val="0"/>
        <w:ind w:left="0" w:right="0" w:firstLine="72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ind w:left="0" w:right="0" w:firstLine="720"/>
        <w:jc w:val="right"/>
        <w:rPr/>
      </w:pPr>
      <w:r>
        <w:rPr>
          <w:rFonts w:ascii="Times New Roman;serif" w:hAnsi="Times New Roman;serif"/>
          <w:b/>
          <w:color w:val="000000"/>
          <w:sz w:val="20"/>
        </w:rPr>
        <w:t>Exhibit</w:t>
      </w:r>
      <w:r>
        <w:rPr>
          <w:color w:val="000000"/>
        </w:rPr>
        <w:t xml:space="preserve"> </w:t>
      </w:r>
      <w:r>
        <w:rPr>
          <w:rFonts w:ascii="Times New Roman;serif" w:hAnsi="Times New Roman;serif"/>
          <w:b/>
          <w:color w:val="000000"/>
          <w:sz w:val="20"/>
        </w:rPr>
        <w:t>31.1</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ind w:left="0" w:right="0" w:firstLine="720"/>
        <w:jc w:val="center"/>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Thomas J. Durkin, certify that:</w:t>
      </w:r>
    </w:p>
    <w:p>
      <w:pPr>
        <w:pStyle w:val="TextBody"/>
        <w:bidi w:val="0"/>
        <w:spacing w:before="0" w:after="0"/>
        <w:jc w:val="left"/>
        <w:rPr/>
      </w:pPr>
      <w:r>
        <w:rPr/>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TPG Mortgage Investment Trust, Inc.;</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both"/>
        <w:rPr>
          <w:color w:val="000000"/>
        </w:rPr>
      </w:pPr>
      <w:r>
        <w:rPr>
          <w:color w:val="000000"/>
        </w:rPr>
        <w:t>  </w:t>
      </w:r>
    </w:p>
    <w:tbl>
      <w:tblPr>
        <w:tblW w:w="5009" w:type="dxa"/>
        <w:jc w:val="left"/>
        <w:tblInd w:w="0" w:type="dxa"/>
        <w:tblLayout w:type="fixed"/>
        <w:tblCellMar>
          <w:top w:w="28" w:type="dxa"/>
          <w:left w:w="28" w:type="dxa"/>
          <w:bottom w:w="28" w:type="dxa"/>
          <w:right w:w="28" w:type="dxa"/>
        </w:tblCellMar>
      </w:tblPr>
      <w:tblGrid>
        <w:gridCol w:w="705"/>
        <w:gridCol w:w="621"/>
        <w:gridCol w:w="624"/>
        <w:gridCol w:w="895"/>
        <w:gridCol w:w="895"/>
        <w:gridCol w:w="1269"/>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10, 2026</w:t>
            </w:r>
          </w:p>
        </w:tc>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Thomas J. Durkin</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Thomas J. Durkin</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&amp; President</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pPr>
      <w:r>
        <w:rPr>
          <w:rFonts w:ascii="Times New Roman;serif" w:hAnsi="Times New Roman;serif"/>
          <w:b/>
          <w:color w:val="000000"/>
          <w:sz w:val="20"/>
        </w:rPr>
        <w:t>Exhibit</w:t>
      </w:r>
      <w:r>
        <w:rPr>
          <w:color w:val="000000"/>
        </w:rPr>
        <w:t xml:space="preserve"> </w:t>
      </w:r>
      <w:r>
        <w:rPr>
          <w:rFonts w:ascii="Times New Roman;serif" w:hAnsi="Times New Roman;serif"/>
          <w:b/>
          <w:color w:val="000000"/>
          <w:sz w:val="20"/>
        </w:rPr>
        <w:t>31.2</w:t>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9.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Anthony W. Rossiello, certify that:</w:t>
      </w:r>
    </w:p>
    <w:p>
      <w:pPr>
        <w:pStyle w:val="TextBody"/>
        <w:bidi w:val="0"/>
        <w:spacing w:before="0" w:after="0"/>
        <w:jc w:val="left"/>
        <w:rPr/>
      </w:pPr>
      <w:r>
        <w:rPr/>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TPG Mortgage Investment Trust, Inc.;</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ind w:left="0" w:right="0" w:firstLine="1440"/>
        <w:jc w:val="both"/>
        <w:rPr>
          <w:color w:val="000000"/>
        </w:rPr>
      </w:pPr>
      <w:r>
        <w:rPr>
          <w:color w:val="000000"/>
        </w:rPr>
        <w:t> </w:t>
      </w:r>
    </w:p>
    <w:tbl>
      <w:tblPr>
        <w:tblW w:w="4140" w:type="dxa"/>
        <w:jc w:val="left"/>
        <w:tblInd w:w="0" w:type="dxa"/>
        <w:tblLayout w:type="fixed"/>
        <w:tblCellMar>
          <w:top w:w="28" w:type="dxa"/>
          <w:left w:w="28" w:type="dxa"/>
          <w:bottom w:w="28" w:type="dxa"/>
          <w:right w:w="28" w:type="dxa"/>
        </w:tblCellMar>
      </w:tblPr>
      <w:tblGrid>
        <w:gridCol w:w="705"/>
        <w:gridCol w:w="621"/>
        <w:gridCol w:w="624"/>
        <w:gridCol w:w="641"/>
        <w:gridCol w:w="641"/>
        <w:gridCol w:w="908"/>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10, 2026</w:t>
            </w:r>
          </w:p>
        </w:tc>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Anthony W. Rossiello</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Anthony W. Rossiello</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ind w:left="0" w:right="0" w:firstLine="14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0"/>
        <w:ind w:left="0" w:right="0" w:firstLine="72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 18 U.S.C. SECTION 1350 AS ADOPTED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906 OF THE SARBANES-OXLEY ACT OF 2002</w:t>
      </w:r>
    </w:p>
    <w:p>
      <w:pPr>
        <w:pStyle w:val="TextBody"/>
        <w:bidi w:val="0"/>
        <w:spacing w:lineRule="auto" w:line="288" w:before="0" w:after="0"/>
        <w:ind w:left="0" w:right="0" w:firstLine="720"/>
        <w:jc w:val="center"/>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TPG Mortgage Investment Trust, Inc. (the "Company") for the quarterly period ended June 30, 2026 as filed with the Securities and Exchange Commission on the date hereof (the "Report"), I, Thomas J. Durkin, Chief Executive Officer of the Company, certify, pursuant to 18 U.S.C. Section 1350, as adopted pursuant to Section 906 of the Sarbanes-Oxley Act of 2002, 18 U.S.C. Section 1350, that:</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It is not intended that this statement be deemed to be filed for purposes of the Securities Exchange Act of 1934.</w:t>
      </w:r>
    </w:p>
    <w:p>
      <w:pPr>
        <w:pStyle w:val="TextBody"/>
        <w:bidi w:val="0"/>
        <w:spacing w:lineRule="auto" w:line="288" w:before="0" w:after="0"/>
        <w:ind w:left="0" w:right="0" w:firstLine="720"/>
        <w:jc w:val="both"/>
        <w:rPr>
          <w:color w:val="000000"/>
        </w:rPr>
      </w:pPr>
      <w:r>
        <w:rPr>
          <w:color w:val="000000"/>
        </w:rPr>
        <w:t> </w:t>
      </w:r>
    </w:p>
    <w:tbl>
      <w:tblPr>
        <w:tblW w:w="3401" w:type="dxa"/>
        <w:jc w:val="left"/>
        <w:tblInd w:w="0" w:type="dxa"/>
        <w:tblLayout w:type="fixed"/>
        <w:tblCellMar>
          <w:top w:w="28" w:type="dxa"/>
          <w:left w:w="28" w:type="dxa"/>
          <w:bottom w:w="28" w:type="dxa"/>
          <w:right w:w="28" w:type="dxa"/>
        </w:tblCellMar>
      </w:tblPr>
      <w:tblGrid>
        <w:gridCol w:w="124"/>
        <w:gridCol w:w="109"/>
        <w:gridCol w:w="109"/>
        <w:gridCol w:w="895"/>
        <w:gridCol w:w="895"/>
        <w:gridCol w:w="12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Thomas J. Durkin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Thomas J. Durkin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&amp; President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10, 2026</w:t>
            </w:r>
          </w:p>
        </w:tc>
      </w:tr>
    </w:tbl>
    <w:p>
      <w:pPr>
        <w:pStyle w:val="TextBody"/>
        <w:bidi w:val="0"/>
        <w:ind w:left="0" w:right="0" w:firstLine="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0" w:after="0"/>
        <w:ind w:left="0" w:right="0" w:firstLine="72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 18 U.S.C. SECTION 1350 AS ADOPTED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906 OF THE SARBANES-OXLEY ACT OF 2002</w:t>
      </w:r>
    </w:p>
    <w:p>
      <w:pPr>
        <w:pStyle w:val="TextBody"/>
        <w:bidi w:val="0"/>
        <w:spacing w:lineRule="auto" w:line="288" w:before="0" w:after="0"/>
        <w:ind w:left="0" w:right="0" w:firstLine="720"/>
        <w:jc w:val="center"/>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TPG Mortgage Investment Trust, Inc. (the "Company") for the quarterly period ended June 30, 2026 as filed with the Securities and Exchange Commission on the date hereof (the "Report"), I, Anthony W. Rossiello, Chief Financial Officer of the Company, certify, pursuant to 18 U.S.C. Section 1350, as adopted pursuant to Section 906 of the Sarbanes-Oxley Act of 2002, 18 U.S.C. Section 1350, that:</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It is not intended that this statement be deemed to be filed for purposes of the Securities Exchange Act of 1934.</w:t>
      </w:r>
    </w:p>
    <w:p>
      <w:pPr>
        <w:pStyle w:val="TextBody"/>
        <w:bidi w:val="0"/>
        <w:spacing w:before="0" w:after="0"/>
        <w:jc w:val="both"/>
        <w:rPr/>
      </w:pPr>
      <w:r>
        <w:rPr/>
      </w:r>
    </w:p>
    <w:p>
      <w:pPr>
        <w:pStyle w:val="TextBody"/>
        <w:bidi w:val="0"/>
        <w:spacing w:lineRule="auto" w:line="288" w:before="0" w:after="0"/>
        <w:ind w:left="0" w:right="0" w:firstLine="720"/>
        <w:jc w:val="both"/>
        <w:rPr>
          <w:color w:val="000000"/>
        </w:rPr>
      </w:pPr>
      <w:r>
        <w:rPr>
          <w:color w:val="000000"/>
        </w:rPr>
        <w:t> </w:t>
      </w:r>
    </w:p>
    <w:tbl>
      <w:tblPr>
        <w:tblW w:w="2532" w:type="dxa"/>
        <w:jc w:val="left"/>
        <w:tblInd w:w="0" w:type="dxa"/>
        <w:tblLayout w:type="fixed"/>
        <w:tblCellMar>
          <w:top w:w="28" w:type="dxa"/>
          <w:left w:w="28" w:type="dxa"/>
          <w:bottom w:w="28" w:type="dxa"/>
          <w:right w:w="28" w:type="dxa"/>
        </w:tblCellMar>
      </w:tblPr>
      <w:tblGrid>
        <w:gridCol w:w="124"/>
        <w:gridCol w:w="109"/>
        <w:gridCol w:w="109"/>
        <w:gridCol w:w="641"/>
        <w:gridCol w:w="641"/>
        <w:gridCol w:w="9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Anthony W. Rossiello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Anthony W. Rossiello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190"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10, 2026</w:t>
            </w:r>
          </w:p>
        </w:tc>
      </w:tr>
    </w:tbl>
    <w:p>
      <w:pPr>
        <w:pStyle w:val="TextBody"/>
        <w:bidi w:val="0"/>
        <w:ind w:left="0" w:right="0" w:firstLine="72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14281/000119312511100286/dex31.htm" TargetMode="External"/><Relationship Id="rId3" Type="http://schemas.openxmlformats.org/officeDocument/2006/relationships/hyperlink" Target="https://www.sec.gov/Archives/edgar/data/1514281/000119312511100286/dex31.htm" TargetMode="External"/><Relationship Id="rId4" Type="http://schemas.openxmlformats.org/officeDocument/2006/relationships/hyperlink" Target="https://www.sec.gov/Archives/edgar/data/1514281/000119312517161247/d334144dex31.htm" TargetMode="External"/><Relationship Id="rId5" Type="http://schemas.openxmlformats.org/officeDocument/2006/relationships/hyperlink" Target="https://www.sec.gov/Archives/edgar/data/1514281/000119312517161247/d334144dex31.htm" TargetMode="External"/><Relationship Id="rId6" Type="http://schemas.openxmlformats.org/officeDocument/2006/relationships/hyperlink" Target="https://www.sec.gov/Archives/edgar/data/1514281/000162828025057427/a8k-121625xexhibit32.htm" TargetMode="External"/><Relationship Id="rId7" Type="http://schemas.openxmlformats.org/officeDocument/2006/relationships/hyperlink" Target="https://www.sec.gov/Archives/edgar/data/1514281/000162828025057427/a8k-121625xexhibit32.htm" TargetMode="External"/><Relationship Id="rId8" Type="http://schemas.openxmlformats.org/officeDocument/2006/relationships/hyperlink" Target="https://www.sec.gov/Archives/edgar/data/1514281/000119312512331404/d389692dex31.htm" TargetMode="External"/><Relationship Id="rId9" Type="http://schemas.openxmlformats.org/officeDocument/2006/relationships/hyperlink" Target="https://www.sec.gov/Archives/edgar/data/1514281/000119312512331404/d389692dex31.htm" TargetMode="External"/><Relationship Id="rId10" Type="http://schemas.openxmlformats.org/officeDocument/2006/relationships/hyperlink" Target="https://www.sec.gov/Archives/edgar/data/1514281/000119312512400232/d414755dex31.htm" TargetMode="External"/><Relationship Id="rId11" Type="http://schemas.openxmlformats.org/officeDocument/2006/relationships/hyperlink" Target="https://www.sec.gov/Archives/edgar/data/1514281/000119312512400232/d414755dex31.htm" TargetMode="External"/><Relationship Id="rId12" Type="http://schemas.openxmlformats.org/officeDocument/2006/relationships/hyperlink" Target="https://www.sec.gov/Archives/edgar/data/1514281/000151428119000091/exhibit3-5articlessuppleme.htm" TargetMode="External"/><Relationship Id="rId13" Type="http://schemas.openxmlformats.org/officeDocument/2006/relationships/hyperlink" Target="https://www.sec.gov/Archives/edgar/data/1514281/000151428119000091/exhibit3-5articlessuppleme.htm" TargetMode="External"/><Relationship Id="rId14" Type="http://schemas.openxmlformats.org/officeDocument/2006/relationships/hyperlink" Target="https://www.sec.gov/Archives/edgar/data/1514281/000151428121000103/exhibit31.htm" TargetMode="External"/><Relationship Id="rId15" Type="http://schemas.openxmlformats.org/officeDocument/2006/relationships/hyperlink" Target="https://www.sec.gov/Archives/edgar/data/1514281/000151428121000103/exhibit31.htm" TargetMode="External"/><Relationship Id="rId16" Type="http://schemas.openxmlformats.org/officeDocument/2006/relationships/hyperlink" Target="https://www.sec.gov/Archives/edgar/data/1514281/000151428121000103/exhibit32.htm" TargetMode="External"/><Relationship Id="rId17" Type="http://schemas.openxmlformats.org/officeDocument/2006/relationships/hyperlink" Target="https://www.sec.gov/Archives/edgar/data/1514281/000151428121000103/exhibit32.htm" TargetMode="External"/><Relationship Id="rId18" Type="http://schemas.openxmlformats.org/officeDocument/2006/relationships/hyperlink" Target="https://www.sec.gov/Archives/edgar/data/1514281/000162828025057427/a8k-121625xexhibit31.htm" TargetMode="External"/><Relationship Id="rId19" Type="http://schemas.openxmlformats.org/officeDocument/2006/relationships/hyperlink" Target="https://www.sec.gov/Archives/edgar/data/1514281/000162828025057427/a8k-121625xexhibit31.htm" TargetMode="External"/><Relationship Id="rId20" Type="http://schemas.openxmlformats.org/officeDocument/2006/relationships/hyperlink" Target="https://www.sec.gov/Archives/edgar/data/1514281/000151428121000067/exhibit41-commonspecimence.htm" TargetMode="External"/><Relationship Id="rId21" Type="http://schemas.openxmlformats.org/officeDocument/2006/relationships/hyperlink" Target="https://www.sec.gov/Archives/edgar/data/1514281/000151428121000067/exhibit41-commonspecimence.htm" TargetMode="External"/><Relationship Id="rId22" Type="http://schemas.openxmlformats.org/officeDocument/2006/relationships/hyperlink" Target="https://www.sec.gov/Archives/edgar/data/1514281/000119312512331404/d389692dex41.htm" TargetMode="External"/><Relationship Id="rId23" Type="http://schemas.openxmlformats.org/officeDocument/2006/relationships/hyperlink" Target="https://www.sec.gov/Archives/edgar/data/1514281/000119312512331404/d389692dex41.htm" TargetMode="External"/><Relationship Id="rId24" Type="http://schemas.openxmlformats.org/officeDocument/2006/relationships/hyperlink" Target="https://www.sec.gov/Archives/edgar/data/1514281/000119312512400232/d414755dex41.htm" TargetMode="External"/><Relationship Id="rId25" Type="http://schemas.openxmlformats.org/officeDocument/2006/relationships/hyperlink" Target="https://www.sec.gov/Archives/edgar/data/1514281/000119312512400232/d414755dex41.htm" TargetMode="External"/><Relationship Id="rId26" Type="http://schemas.openxmlformats.org/officeDocument/2006/relationships/hyperlink" Target="https://www.sec.gov/Archives/edgar/data/1514281/000151428119000091/exhibit3-9prcspecimenstock.htm" TargetMode="External"/><Relationship Id="rId27" Type="http://schemas.openxmlformats.org/officeDocument/2006/relationships/hyperlink" Target="https://www.sec.gov/Archives/edgar/data/1514281/000151428119000091/exhibit3-9prcspecimenstock.htm" TargetMode="External"/><Relationship Id="rId28" Type="http://schemas.openxmlformats.org/officeDocument/2006/relationships/hyperlink" Target="https://www.sec.gov/Archives/edgar/data/1514281/000151428124000015/mitt-exhibit42xindenture.htm" TargetMode="External"/><Relationship Id="rId29" Type="http://schemas.openxmlformats.org/officeDocument/2006/relationships/hyperlink" Target="https://www.sec.gov/Archives/edgar/data/1514281/000151428124000015/mitt-exhibit42xindenture.htm" TargetMode="External"/><Relationship Id="rId30" Type="http://schemas.openxmlformats.org/officeDocument/2006/relationships/hyperlink" Target="https://www.sec.gov/Archives/edgar/data/1514281/000151428124000015/mitt-ex43xsupplementalinde.htm" TargetMode="External"/><Relationship Id="rId31" Type="http://schemas.openxmlformats.org/officeDocument/2006/relationships/hyperlink" Target="https://www.sec.gov/Archives/edgar/data/1514281/000151428124000015/mitt-ex43xsupplementalinde.htm" TargetMode="External"/><Relationship Id="rId32" Type="http://schemas.openxmlformats.org/officeDocument/2006/relationships/hyperlink" Target="https://www.sec.gov/Archives/edgar/data/1514281/000151428124000092/mitt-ex44xsecondsupplement.htm" TargetMode="External"/><Relationship Id="rId33" Type="http://schemas.openxmlformats.org/officeDocument/2006/relationships/hyperlink" Target="https://www.sec.gov/Archives/edgar/data/1514281/000151428124000092/mitt-ex44xsecondsupplement.htm" TargetMode="External"/><Relationship Id="rId34" Type="http://schemas.openxmlformats.org/officeDocument/2006/relationships/hyperlink" Target="https://www.sec.gov/Archives/edgar/data/1514281/000151428124000015/mitt-ex43xsupplementalinde.htm" TargetMode="External"/><Relationship Id="rId35" Type="http://schemas.openxmlformats.org/officeDocument/2006/relationships/hyperlink" Target="https://www.sec.gov/Archives/edgar/data/1514281/000151428124000015/mitt-ex43xsupplementalinde.htm" TargetMode="External"/><Relationship Id="rId36" Type="http://schemas.openxmlformats.org/officeDocument/2006/relationships/hyperlink" Target="https://www.sec.gov/Archives/edgar/data/1514281/000151428124000092/mitt-ex44xsecondsupplement.htm" TargetMode="External"/><Relationship Id="rId37" Type="http://schemas.openxmlformats.org/officeDocument/2006/relationships/hyperlink" Target="https://www.sec.gov/Archives/edgar/data/1514281/000151428124000092/mitt-ex44xsecondsupplement.htm" TargetMode="External"/><Relationship Id="rId38" Type="http://schemas.openxmlformats.org/officeDocument/2006/relationships/fontTable" Target="fontTable.xml"/><Relationship Id="rId3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46885</Words>
  <Characters>256331</Characters>
  <CharactersWithSpaces>299614</CharactersWithSpaces>
  <Paragraphs>7384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