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6"/>
          <w:szCs w:val="16"/>
          <w:color w:val="auto"/>
        </w:rPr>
        <w:t>__________________________________________________</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6"/>
          <w:szCs w:val="16"/>
          <w:color w:val="auto"/>
        </w:rPr>
        <w:t>__________________________________________________</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0"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4"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For the transition period from</w:t>
            </w:r>
          </w:p>
        </w:tc>
        <w:tc>
          <w:tcPr>
            <w:tcW w:w="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1080" w:type="dxa"/>
            <w:vAlign w:val="bottom"/>
            <w:tcBorders>
              <w:bottom w:val="single" w:sz="8" w:color="auto"/>
            </w:tcBorders>
          </w:tcPr>
          <w:p>
            <w:pPr>
              <w:spacing w:after="0"/>
              <w:rPr>
                <w:sz w:val="17"/>
                <w:szCs w:val="17"/>
                <w:color w:val="auto"/>
              </w:rPr>
            </w:pPr>
          </w:p>
        </w:tc>
        <w:tc>
          <w:tcPr>
            <w:tcW w:w="3180" w:type="dxa"/>
            <w:vAlign w:val="bottom"/>
          </w:tcPr>
          <w:p>
            <w:pPr>
              <w:spacing w:after="0"/>
              <w:rPr>
                <w:sz w:val="17"/>
                <w:szCs w:val="17"/>
                <w:color w:val="auto"/>
              </w:rPr>
            </w:pPr>
          </w:p>
        </w:tc>
      </w:tr>
      <w:tr>
        <w:trPr>
          <w:trHeight w:val="345"/>
        </w:trPr>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6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rPr>
              <w:t>Commission file number 001-35151</w:t>
            </w:r>
          </w:p>
        </w:tc>
      </w:tr>
      <w:tr>
        <w:trPr>
          <w:trHeight w:val="251"/>
        </w:trPr>
        <w:tc>
          <w:tcPr>
            <w:tcW w:w="2340" w:type="dxa"/>
            <w:vAlign w:val="bottom"/>
          </w:tcPr>
          <w:p>
            <w:pPr>
              <w:spacing w:after="0"/>
              <w:rPr>
                <w:sz w:val="21"/>
                <w:szCs w:val="21"/>
                <w:color w:val="auto"/>
              </w:rPr>
            </w:pPr>
          </w:p>
        </w:tc>
        <w:tc>
          <w:tcPr>
            <w:tcW w:w="56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w:t>
            </w:r>
          </w:p>
        </w:tc>
      </w:tr>
    </w:tbl>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TPG MORTGAGE INVESTMENT TRUST, INC.</w:t>
      </w:r>
    </w:p>
    <w:p>
      <w:pPr>
        <w:spacing w:after="0" w:line="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w:t>
      </w:r>
    </w:p>
    <w:p>
      <w:pPr>
        <w:spacing w:after="0" w:line="37" w:lineRule="exact"/>
        <w:rPr>
          <w:sz w:val="24"/>
          <w:szCs w:val="24"/>
          <w:color w:val="auto"/>
        </w:rPr>
      </w:pPr>
    </w:p>
    <w:tbl>
      <w:tblPr>
        <w:tblLayout w:type="fixed"/>
        <w:tblInd w:w="1400" w:type="dxa"/>
        <w:tblCellMar>
          <w:top w:w="0" w:type="dxa"/>
          <w:left w:w="0" w:type="dxa"/>
          <w:bottom w:w="0" w:type="dxa"/>
          <w:right w:w="0" w:type="dxa"/>
        </w:tblCellMar>
      </w:tblPr>
      <w:tr>
        <w:trPr>
          <w:trHeight w:val="233"/>
        </w:trPr>
        <w:tc>
          <w:tcPr>
            <w:tcW w:w="33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4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27-5254382</w:t>
            </w:r>
          </w:p>
        </w:tc>
        <w:tc>
          <w:tcPr>
            <w:tcW w:w="0" w:type="dxa"/>
            <w:vAlign w:val="bottom"/>
          </w:tcPr>
          <w:p>
            <w:pPr>
              <w:spacing w:after="0"/>
              <w:rPr>
                <w:sz w:val="1"/>
                <w:szCs w:val="1"/>
                <w:color w:val="auto"/>
              </w:rPr>
            </w:pPr>
          </w:p>
        </w:tc>
      </w:tr>
      <w:tr>
        <w:trPr>
          <w:trHeight w:val="180"/>
        </w:trPr>
        <w:tc>
          <w:tcPr>
            <w:tcW w:w="3300" w:type="dxa"/>
            <w:vAlign w:val="bottom"/>
          </w:tcPr>
          <w:p>
            <w:pPr>
              <w:jc w:val="center"/>
              <w:ind w:right="27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340" w:type="dxa"/>
            <w:vAlign w:val="bottom"/>
          </w:tcPr>
          <w:p>
            <w:pPr>
              <w:jc w:val="center"/>
              <w:ind w:left="2910"/>
              <w:spacing w:after="0" w:line="181" w:lineRule="exact"/>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4"/>
        </w:trPr>
        <w:tc>
          <w:tcPr>
            <w:tcW w:w="33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340" w:type="dxa"/>
            <w:vAlign w:val="bottom"/>
          </w:tcPr>
          <w:p>
            <w:pPr>
              <w:jc w:val="center"/>
              <w:ind w:left="29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184"/>
        </w:trPr>
        <w:tc>
          <w:tcPr>
            <w:tcW w:w="3300" w:type="dxa"/>
            <w:vAlign w:val="bottom"/>
          </w:tcPr>
          <w:p>
            <w:pPr>
              <w:jc w:val="center"/>
              <w:ind w:right="270"/>
              <w:spacing w:after="0" w:line="184" w:lineRule="exact"/>
              <w:rPr>
                <w:sz w:val="20"/>
                <w:szCs w:val="20"/>
                <w:color w:val="auto"/>
              </w:rPr>
            </w:pPr>
            <w:r>
              <w:rPr>
                <w:rFonts w:ascii="Times New Roman" w:cs="Times New Roman" w:eastAsia="Times New Roman" w:hAnsi="Times New Roman"/>
                <w:sz w:val="18"/>
                <w:szCs w:val="18"/>
                <w:b w:val="1"/>
                <w:bCs w:val="1"/>
                <w:color w:val="auto"/>
              </w:rPr>
              <w:t>245 Park Avenue, 26th Floor</w:t>
            </w:r>
          </w:p>
        </w:tc>
        <w:tc>
          <w:tcPr>
            <w:tcW w:w="43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10167</w:t>
            </w:r>
          </w:p>
        </w:tc>
        <w:tc>
          <w:tcPr>
            <w:tcW w:w="0" w:type="dxa"/>
            <w:vAlign w:val="bottom"/>
          </w:tcPr>
          <w:p>
            <w:pPr>
              <w:spacing w:after="0"/>
              <w:rPr>
                <w:sz w:val="1"/>
                <w:szCs w:val="1"/>
                <w:color w:val="auto"/>
              </w:rPr>
            </w:pPr>
          </w:p>
        </w:tc>
      </w:tr>
      <w:tr>
        <w:trPr>
          <w:trHeight w:val="238"/>
        </w:trPr>
        <w:tc>
          <w:tcPr>
            <w:tcW w:w="33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4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340" w:type="dxa"/>
            <w:vAlign w:val="bottom"/>
          </w:tcPr>
          <w:p>
            <w:pPr>
              <w:jc w:val="center"/>
              <w:ind w:left="291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297"/>
        </w:trPr>
        <w:tc>
          <w:tcPr>
            <w:tcW w:w="3300" w:type="dxa"/>
            <w:vAlign w:val="bottom"/>
          </w:tcPr>
          <w:p>
            <w:pPr>
              <w:spacing w:after="0"/>
              <w:rPr>
                <w:sz w:val="24"/>
                <w:szCs w:val="24"/>
                <w:color w:val="auto"/>
              </w:rPr>
            </w:pPr>
          </w:p>
        </w:tc>
        <w:tc>
          <w:tcPr>
            <w:tcW w:w="4340" w:type="dxa"/>
            <w:vAlign w:val="bottom"/>
          </w:tcPr>
          <w:p>
            <w:pPr>
              <w:jc w:val="right"/>
              <w:ind w:right="2770"/>
              <w:spacing w:after="0"/>
              <w:rPr>
                <w:sz w:val="20"/>
                <w:szCs w:val="20"/>
                <w:color w:val="auto"/>
              </w:rPr>
            </w:pPr>
            <w:r>
              <w:rPr>
                <w:rFonts w:ascii="Times New Roman" w:cs="Times New Roman" w:eastAsia="Times New Roman" w:hAnsi="Times New Roman"/>
                <w:sz w:val="18"/>
                <w:szCs w:val="18"/>
                <w:b w:val="1"/>
                <w:bCs w:val="1"/>
                <w:color w:val="auto"/>
              </w:rPr>
              <w:t>(212) 692-2000</w:t>
            </w:r>
          </w:p>
        </w:tc>
        <w:tc>
          <w:tcPr>
            <w:tcW w:w="0" w:type="dxa"/>
            <w:vAlign w:val="bottom"/>
          </w:tcPr>
          <w:p>
            <w:pPr>
              <w:spacing w:after="0"/>
              <w:rPr>
                <w:sz w:val="1"/>
                <w:szCs w:val="1"/>
                <w:color w:val="auto"/>
              </w:rPr>
            </w:pPr>
          </w:p>
        </w:tc>
      </w:tr>
    </w:tbl>
    <w:p>
      <w:pPr>
        <w:ind w:left="35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6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8"/>
        </w:trPr>
        <w:tc>
          <w:tcPr>
            <w:tcW w:w="5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100" w:type="dxa"/>
            <w:vAlign w:val="bottom"/>
          </w:tcPr>
          <w:p>
            <w:pPr>
              <w:spacing w:after="0"/>
              <w:rPr>
                <w:sz w:val="16"/>
                <w:szCs w:val="16"/>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MITT</w:t>
            </w:r>
          </w:p>
        </w:tc>
        <w:tc>
          <w:tcPr>
            <w:tcW w:w="120" w:type="dxa"/>
            <w:vAlign w:val="bottom"/>
          </w:tcPr>
          <w:p>
            <w:pPr>
              <w:spacing w:after="0"/>
              <w:rPr>
                <w:sz w:val="16"/>
                <w:szCs w:val="16"/>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New York Stock Exchange (NYSE)</w:t>
            </w:r>
          </w:p>
        </w:tc>
      </w:tr>
      <w:tr>
        <w:trPr>
          <w:trHeight w:val="193"/>
        </w:trPr>
        <w:tc>
          <w:tcPr>
            <w:tcW w:w="6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8.25% Series A Cumulative Redeemable Preferred Stock</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MITT PrA</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 (NYSE)</w:t>
            </w:r>
          </w:p>
        </w:tc>
      </w:tr>
      <w:tr>
        <w:trPr>
          <w:trHeight w:val="203"/>
        </w:trPr>
        <w:tc>
          <w:tcPr>
            <w:tcW w:w="6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8.00% Series B Cumulative Redeemable Preferred Stock</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MITT PrB</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 (NYSE)</w:t>
            </w:r>
          </w:p>
        </w:tc>
      </w:tr>
      <w:tr>
        <w:trPr>
          <w:trHeight w:val="203"/>
        </w:trPr>
        <w:tc>
          <w:tcPr>
            <w:tcW w:w="6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8.000% Series C Fixed-to-Floating Rate Cumulative Redeemable Preferred Stock</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MITT PrC</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 (NYSE)</w:t>
            </w:r>
          </w:p>
        </w:tc>
      </w:tr>
      <w:tr>
        <w:trPr>
          <w:trHeight w:val="203"/>
        </w:trPr>
        <w:tc>
          <w:tcPr>
            <w:tcW w:w="6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9.500% Senior Notes due 2029</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MITN</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 (NYSE)</w:t>
            </w:r>
          </w:p>
        </w:tc>
      </w:tr>
      <w:tr>
        <w:trPr>
          <w:trHeight w:val="203"/>
        </w:trPr>
        <w:tc>
          <w:tcPr>
            <w:tcW w:w="6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9.500% Senior Notes due 2029</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MITP</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 (NYSE)</w:t>
            </w:r>
          </w:p>
        </w:tc>
      </w:tr>
    </w:tbl>
    <w:p>
      <w:pPr>
        <w:spacing w:after="0" w:line="194"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and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p>
      <w:pPr>
        <w:jc w:val="center"/>
        <w:ind w:right="-59"/>
        <w:spacing w:after="0" w:line="207" w:lineRule="exact"/>
        <w:tabs>
          <w:tab w:leader="none" w:pos="200" w:val="left"/>
          <w:tab w:leader="none" w:pos="16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jc w:val="right"/>
        <w:spacing w:after="0" w:line="207" w:lineRule="exact"/>
        <w:tabs>
          <w:tab w:leader="none" w:pos="5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April 29, 2026, there were 31,803,475 outstanding shares of common stock of TPG Mortgage Investment Trust,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622300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6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3"/>
        </w:trPr>
        <w:tc>
          <w:tcPr>
            <w:tcW w:w="40" w:type="dxa"/>
            <w:vAlign w:val="bottom"/>
            <w:tcBorders>
              <w:right w:val="single" w:sz="8" w:color="CCEEFF"/>
            </w:tcBorders>
          </w:tcPr>
          <w:p>
            <w:pPr>
              <w:spacing w:after="0"/>
              <w:rPr>
                <w:sz w:val="17"/>
                <w:szCs w:val="17"/>
                <w:color w:val="auto"/>
              </w:rPr>
            </w:pPr>
          </w:p>
        </w:tc>
        <w:tc>
          <w:tcPr>
            <w:tcW w:w="780" w:type="dxa"/>
            <w:vAlign w:val="bottom"/>
            <w:tcBorders>
              <w:top w:val="single" w:sz="8" w:color="CCEE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9560" w:type="dxa"/>
            <w:vAlign w:val="bottom"/>
            <w:tcBorders>
              <w:top w:val="single" w:sz="8" w:color="CCEEFF"/>
            </w:tcBorders>
            <w:gridSpan w:val="31"/>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3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194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7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200" w:type="dxa"/>
            <w:vAlign w:val="bottom"/>
            <w:shd w:val="clear" w:color="auto" w:fill="CCEEFF"/>
          </w:tcPr>
          <w:p>
            <w:pPr>
              <w:spacing w:after="0"/>
              <w:rPr>
                <w:sz w:val="16"/>
                <w:szCs w:val="16"/>
                <w:color w:val="auto"/>
              </w:rPr>
            </w:pPr>
          </w:p>
        </w:tc>
        <w:tc>
          <w:tcPr>
            <w:tcW w:w="936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36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 as of March 31, 2026 and December 31, 2025</w:t>
            </w:r>
          </w:p>
        </w:tc>
        <w:tc>
          <w:tcPr>
            <w:tcW w:w="520" w:type="dxa"/>
            <w:vAlign w:val="bottom"/>
            <w:gridSpan w:val="4"/>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700" w:type="dxa"/>
            <w:vAlign w:val="bottom"/>
            <w:tcBorders>
              <w:bottom w:val="single" w:sz="8" w:color="0000FF"/>
            </w:tcBorders>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Operations for the three months ended March 31, 2026 and 2025</w:t>
            </w:r>
          </w:p>
        </w:tc>
        <w:tc>
          <w:tcPr>
            <w:tcW w:w="2660" w:type="dxa"/>
            <w:vAlign w:val="bottom"/>
            <w:tcBorders>
              <w:bottom w:val="single" w:sz="8" w:color="CCEEFF"/>
            </w:tcBorders>
            <w:gridSpan w:val="3"/>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36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Stockholders’ Equity for the three months ended March 31, 2026 and 2025</w:t>
            </w:r>
          </w:p>
        </w:tc>
        <w:tc>
          <w:tcPr>
            <w:tcW w:w="520" w:type="dxa"/>
            <w:vAlign w:val="bottom"/>
            <w:gridSpan w:val="4"/>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36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2026 and 2025</w:t>
            </w:r>
          </w:p>
        </w:tc>
        <w:tc>
          <w:tcPr>
            <w:tcW w:w="520" w:type="dxa"/>
            <w:vAlign w:val="bottom"/>
            <w:gridSpan w:val="4"/>
            <w:shd w:val="clear" w:color="auto" w:fill="CCEEFF"/>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rPr>
              <w:t>6</w:t>
            </w: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80" w:type="dxa"/>
            <w:vAlign w:val="bottom"/>
            <w:tcBorders>
              <w:top w:val="single" w:sz="8" w:color="0000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80" w:type="dxa"/>
            <w:vAlign w:val="bottom"/>
            <w:tcBorders>
              <w:top w:val="single" w:sz="8" w:color="0000FF"/>
            </w:tcBorders>
          </w:tcPr>
          <w:p>
            <w:pPr>
              <w:spacing w:after="0"/>
              <w:rPr>
                <w:sz w:val="19"/>
                <w:szCs w:val="19"/>
                <w:color w:val="auto"/>
              </w:rPr>
            </w:pPr>
          </w:p>
        </w:tc>
        <w:tc>
          <w:tcPr>
            <w:tcW w:w="102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194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36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3700" w:type="dxa"/>
            <w:vAlign w:val="bottom"/>
            <w:tcBorders>
              <w:top w:val="single" w:sz="8" w:color="0000FF"/>
            </w:tcBorders>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Note 1. Organization</w:t>
            </w:r>
          </w:p>
        </w:tc>
        <w:tc>
          <w:tcPr>
            <w:tcW w:w="5340" w:type="dxa"/>
            <w:vAlign w:val="bottom"/>
            <w:tcBorders>
              <w:top w:val="single" w:sz="8" w:color="CCEEFF"/>
            </w:tcBorders>
            <w:gridSpan w:val="8"/>
          </w:tcPr>
          <w:p>
            <w:pPr>
              <w:spacing w:after="0"/>
              <w:rPr>
                <w:sz w:val="16"/>
                <w:szCs w:val="16"/>
                <w:color w:val="auto"/>
              </w:rPr>
            </w:pPr>
          </w:p>
        </w:tc>
        <w:tc>
          <w:tcPr>
            <w:tcW w:w="520" w:type="dxa"/>
            <w:vAlign w:val="bottom"/>
            <w:tcBorders>
              <w:top w:val="single" w:sz="8" w:color="CCEEFF"/>
            </w:tcBorders>
            <w:gridSpan w:val="4"/>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rPr>
              <w:t>8</w:t>
            </w:r>
          </w:p>
        </w:tc>
        <w:tc>
          <w:tcPr>
            <w:tcW w:w="32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820" w:type="dxa"/>
            <w:vAlign w:val="bottom"/>
            <w:tcBorders>
              <w:bottom w:val="single" w:sz="8" w:color="0000FF"/>
            </w:tcBorders>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2. Summary of Significant Accounting Policies</w:t>
            </w:r>
          </w:p>
        </w:tc>
        <w:tc>
          <w:tcPr>
            <w:tcW w:w="5220" w:type="dxa"/>
            <w:vAlign w:val="bottom"/>
            <w:tcBorders>
              <w:bottom w:val="single" w:sz="8" w:color="CCEEFF"/>
            </w:tcBorders>
            <w:gridSpan w:val="7"/>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9</w:t>
            </w:r>
          </w:p>
        </w:tc>
        <w:tc>
          <w:tcPr>
            <w:tcW w:w="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4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FF"/>
              </w:rPr>
              <w:t>Note 3. Loans</w:t>
            </w:r>
          </w:p>
        </w:tc>
        <w:tc>
          <w:tcPr>
            <w:tcW w:w="520" w:type="dxa"/>
            <w:vAlign w:val="bottom"/>
            <w:gridSpan w:val="4"/>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99"/>
              </w:rPr>
              <w:t>12</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16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4. Real Estate Securities</w:t>
            </w:r>
          </w:p>
        </w:tc>
        <w:tc>
          <w:tcPr>
            <w:tcW w:w="6880" w:type="dxa"/>
            <w:vAlign w:val="bottom"/>
            <w:gridSpan w:val="13"/>
            <w:shd w:val="clear" w:color="auto" w:fill="CCEEFF"/>
          </w:tcPr>
          <w:p>
            <w:pPr>
              <w:spacing w:after="0"/>
              <w:rPr>
                <w:sz w:val="16"/>
                <w:szCs w:val="16"/>
                <w:color w:val="auto"/>
              </w:rPr>
            </w:pPr>
          </w:p>
        </w:tc>
        <w:tc>
          <w:tcPr>
            <w:tcW w:w="520" w:type="dxa"/>
            <w:vAlign w:val="bottom"/>
            <w:gridSpan w:val="4"/>
            <w:shd w:val="clear" w:color="auto" w:fill="CCEEFF"/>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99"/>
              </w:rPr>
              <w:t>17</w:t>
            </w:r>
          </w:p>
        </w:tc>
        <w:tc>
          <w:tcPr>
            <w:tcW w:w="3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4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FF"/>
              </w:rPr>
              <w:t>Note 5. Fair Value Measurements</w:t>
            </w:r>
          </w:p>
        </w:tc>
        <w:tc>
          <w:tcPr>
            <w:tcW w:w="520" w:type="dxa"/>
            <w:vAlign w:val="bottom"/>
            <w:gridSpan w:val="4"/>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99"/>
              </w:rPr>
              <w:t>18</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4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6. Financing</w:t>
            </w:r>
          </w:p>
        </w:tc>
        <w:tc>
          <w:tcPr>
            <w:tcW w:w="520" w:type="dxa"/>
            <w:vAlign w:val="bottom"/>
            <w:gridSpan w:val="4"/>
            <w:shd w:val="clear" w:color="auto" w:fill="CCEEFF"/>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99"/>
              </w:rPr>
              <w:t>23</w:t>
            </w:r>
          </w:p>
        </w:tc>
        <w:tc>
          <w:tcPr>
            <w:tcW w:w="3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4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FF"/>
              </w:rPr>
              <w:t>Note 7. Other Assets and Liabilities</w:t>
            </w:r>
          </w:p>
        </w:tc>
        <w:tc>
          <w:tcPr>
            <w:tcW w:w="520" w:type="dxa"/>
            <w:vAlign w:val="bottom"/>
            <w:gridSpan w:val="4"/>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99"/>
              </w:rPr>
              <w:t>26</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4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8. Earnings Per Share</w:t>
            </w:r>
          </w:p>
        </w:tc>
        <w:tc>
          <w:tcPr>
            <w:tcW w:w="520" w:type="dxa"/>
            <w:vAlign w:val="bottom"/>
            <w:gridSpan w:val="4"/>
            <w:shd w:val="clear" w:color="auto" w:fill="CCEEFF"/>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99"/>
              </w:rPr>
              <w:t>28</w:t>
            </w:r>
          </w:p>
        </w:tc>
        <w:tc>
          <w:tcPr>
            <w:tcW w:w="3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FF"/>
              </w:rPr>
              <w:t>Note 9. Income Taxes</w:t>
            </w:r>
          </w:p>
        </w:tc>
        <w:tc>
          <w:tcPr>
            <w:tcW w:w="7080" w:type="dxa"/>
            <w:vAlign w:val="bottom"/>
            <w:gridSpan w:val="17"/>
          </w:tcPr>
          <w:p>
            <w:pPr>
              <w:spacing w:after="0"/>
              <w:rPr>
                <w:sz w:val="16"/>
                <w:szCs w:val="16"/>
                <w:color w:val="auto"/>
              </w:rPr>
            </w:pPr>
          </w:p>
        </w:tc>
        <w:tc>
          <w:tcPr>
            <w:tcW w:w="520" w:type="dxa"/>
            <w:vAlign w:val="bottom"/>
            <w:gridSpan w:val="4"/>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99"/>
              </w:rPr>
              <w:t>29</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4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10. Related Party Transactions</w:t>
            </w:r>
          </w:p>
        </w:tc>
        <w:tc>
          <w:tcPr>
            <w:tcW w:w="520" w:type="dxa"/>
            <w:vAlign w:val="bottom"/>
            <w:gridSpan w:val="4"/>
            <w:shd w:val="clear" w:color="auto" w:fill="CCEEFF"/>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99"/>
              </w:rPr>
              <w:t>30</w:t>
            </w:r>
          </w:p>
        </w:tc>
        <w:tc>
          <w:tcPr>
            <w:tcW w:w="3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Note 11. Equity</w:t>
            </w:r>
          </w:p>
        </w:tc>
        <w:tc>
          <w:tcPr>
            <w:tcW w:w="6440" w:type="dxa"/>
            <w:vAlign w:val="bottom"/>
            <w:gridSpan w:val="10"/>
          </w:tcPr>
          <w:p>
            <w:pPr>
              <w:spacing w:after="0"/>
              <w:rPr>
                <w:sz w:val="16"/>
                <w:szCs w:val="16"/>
                <w:color w:val="auto"/>
              </w:rPr>
            </w:pPr>
          </w:p>
        </w:tc>
        <w:tc>
          <w:tcPr>
            <w:tcW w:w="520" w:type="dxa"/>
            <w:vAlign w:val="bottom"/>
            <w:gridSpan w:val="4"/>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99"/>
              </w:rPr>
              <w:t>34</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12. Commitments and Contingencies</w:t>
            </w:r>
          </w:p>
        </w:tc>
        <w:tc>
          <w:tcPr>
            <w:tcW w:w="5960" w:type="dxa"/>
            <w:vAlign w:val="bottom"/>
            <w:gridSpan w:val="9"/>
            <w:shd w:val="clear" w:color="auto" w:fill="CCEEFF"/>
          </w:tcPr>
          <w:p>
            <w:pPr>
              <w:spacing w:after="0"/>
              <w:rPr>
                <w:sz w:val="16"/>
                <w:szCs w:val="16"/>
                <w:color w:val="auto"/>
              </w:rPr>
            </w:pPr>
          </w:p>
        </w:tc>
        <w:tc>
          <w:tcPr>
            <w:tcW w:w="520" w:type="dxa"/>
            <w:vAlign w:val="bottom"/>
            <w:gridSpan w:val="4"/>
            <w:shd w:val="clear" w:color="auto" w:fill="CCEEFF"/>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99"/>
              </w:rPr>
              <w:t>36</w:t>
            </w:r>
          </w:p>
        </w:tc>
        <w:tc>
          <w:tcPr>
            <w:tcW w:w="3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Note 13. Segment Reporting</w:t>
            </w:r>
          </w:p>
        </w:tc>
        <w:tc>
          <w:tcPr>
            <w:tcW w:w="5960" w:type="dxa"/>
            <w:vAlign w:val="bottom"/>
            <w:gridSpan w:val="9"/>
          </w:tcPr>
          <w:p>
            <w:pPr>
              <w:spacing w:after="0"/>
              <w:rPr>
                <w:sz w:val="16"/>
                <w:szCs w:val="16"/>
                <w:color w:val="auto"/>
              </w:rPr>
            </w:pPr>
          </w:p>
        </w:tc>
        <w:tc>
          <w:tcPr>
            <w:tcW w:w="520" w:type="dxa"/>
            <w:vAlign w:val="bottom"/>
            <w:gridSpan w:val="4"/>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99"/>
              </w:rPr>
              <w:t>37</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4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14. Subsequent Events</w:t>
            </w:r>
          </w:p>
        </w:tc>
        <w:tc>
          <w:tcPr>
            <w:tcW w:w="520" w:type="dxa"/>
            <w:vAlign w:val="bottom"/>
            <w:gridSpan w:val="4"/>
            <w:shd w:val="clear" w:color="auto" w:fill="CCEEFF"/>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99"/>
              </w:rPr>
              <w:t>39</w:t>
            </w: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40" w:type="dxa"/>
            <w:vAlign w:val="bottom"/>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7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200" w:type="dxa"/>
            <w:vAlign w:val="bottom"/>
            <w:shd w:val="clear" w:color="auto" w:fill="CCEEFF"/>
          </w:tcPr>
          <w:p>
            <w:pPr>
              <w:spacing w:after="0"/>
              <w:rPr>
                <w:sz w:val="18"/>
                <w:szCs w:val="18"/>
                <w:color w:val="auto"/>
              </w:rPr>
            </w:pPr>
          </w:p>
        </w:tc>
        <w:tc>
          <w:tcPr>
            <w:tcW w:w="936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gridSpan w:val="4"/>
            <w:shd w:val="clear" w:color="auto" w:fill="CCEEFF"/>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99"/>
              </w:rPr>
              <w:t>40</w:t>
            </w: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7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200" w:type="dxa"/>
            <w:vAlign w:val="bottom"/>
            <w:shd w:val="clear" w:color="auto" w:fill="CCEEFF"/>
          </w:tcPr>
          <w:p>
            <w:pPr>
              <w:spacing w:after="0"/>
              <w:rPr>
                <w:sz w:val="18"/>
                <w:szCs w:val="18"/>
                <w:color w:val="auto"/>
              </w:rPr>
            </w:pPr>
          </w:p>
        </w:tc>
        <w:tc>
          <w:tcPr>
            <w:tcW w:w="936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20" w:type="dxa"/>
            <w:vAlign w:val="bottom"/>
            <w:gridSpan w:val="4"/>
            <w:shd w:val="clear" w:color="auto" w:fill="CCEEFF"/>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99"/>
              </w:rPr>
              <w:t>68</w:t>
            </w: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80" w:type="dxa"/>
            <w:vAlign w:val="bottom"/>
            <w:tcBorders>
              <w:top w:val="single" w:sz="8" w:color="0000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194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7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200" w:type="dxa"/>
            <w:vAlign w:val="bottom"/>
            <w:shd w:val="clear" w:color="auto" w:fill="CCEEFF"/>
          </w:tcPr>
          <w:p>
            <w:pPr>
              <w:spacing w:after="0"/>
              <w:rPr>
                <w:sz w:val="18"/>
                <w:szCs w:val="18"/>
                <w:color w:val="auto"/>
              </w:rPr>
            </w:pPr>
          </w:p>
        </w:tc>
        <w:tc>
          <w:tcPr>
            <w:tcW w:w="936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gridSpan w:val="4"/>
            <w:shd w:val="clear" w:color="auto" w:fill="CCEEFF"/>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99"/>
              </w:rPr>
              <w:t>71</w:t>
            </w: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194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7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9560" w:type="dxa"/>
            <w:vAlign w:val="bottom"/>
            <w:gridSpan w:val="31"/>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520" w:type="dxa"/>
            <w:vAlign w:val="bottom"/>
            <w:gridSpan w:val="4"/>
            <w:shd w:val="clear" w:color="auto" w:fill="CCEEFF"/>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99"/>
              </w:rPr>
              <w:t>73</w:t>
            </w: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194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7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200" w:type="dxa"/>
            <w:vAlign w:val="bottom"/>
            <w:shd w:val="clear" w:color="auto" w:fill="CCEEFF"/>
          </w:tcPr>
          <w:p>
            <w:pPr>
              <w:spacing w:after="0"/>
              <w:rPr>
                <w:sz w:val="18"/>
                <w:szCs w:val="18"/>
                <w:color w:val="auto"/>
              </w:rPr>
            </w:pPr>
          </w:p>
        </w:tc>
        <w:tc>
          <w:tcPr>
            <w:tcW w:w="936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gridSpan w:val="4"/>
            <w:shd w:val="clear" w:color="auto" w:fill="CCEEFF"/>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99"/>
              </w:rPr>
              <w:t>73</w:t>
            </w: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194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7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200" w:type="dxa"/>
            <w:vAlign w:val="bottom"/>
            <w:shd w:val="clear" w:color="auto" w:fill="CCEEFF"/>
          </w:tcPr>
          <w:p>
            <w:pPr>
              <w:spacing w:after="0"/>
              <w:rPr>
                <w:sz w:val="18"/>
                <w:szCs w:val="18"/>
                <w:color w:val="auto"/>
              </w:rPr>
            </w:pPr>
          </w:p>
        </w:tc>
        <w:tc>
          <w:tcPr>
            <w:tcW w:w="936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gridSpan w:val="4"/>
            <w:shd w:val="clear" w:color="auto" w:fill="CCEEFF"/>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99"/>
              </w:rPr>
              <w:t>73</w:t>
            </w: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194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7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200" w:type="dxa"/>
            <w:vAlign w:val="bottom"/>
            <w:shd w:val="clear" w:color="auto" w:fill="CCEEFF"/>
          </w:tcPr>
          <w:p>
            <w:pPr>
              <w:spacing w:after="0"/>
              <w:rPr>
                <w:sz w:val="18"/>
                <w:szCs w:val="18"/>
                <w:color w:val="auto"/>
              </w:rPr>
            </w:pPr>
          </w:p>
        </w:tc>
        <w:tc>
          <w:tcPr>
            <w:tcW w:w="936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gridSpan w:val="4"/>
            <w:shd w:val="clear" w:color="auto" w:fill="CCEEFF"/>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99"/>
              </w:rPr>
              <w:t>73</w:t>
            </w: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80" w:type="dxa"/>
            <w:vAlign w:val="bottom"/>
            <w:tcBorders>
              <w:top w:val="single" w:sz="8" w:color="0000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194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7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200" w:type="dxa"/>
            <w:vAlign w:val="bottom"/>
            <w:shd w:val="clear" w:color="auto" w:fill="CCEEFF"/>
          </w:tcPr>
          <w:p>
            <w:pPr>
              <w:spacing w:after="0"/>
              <w:rPr>
                <w:sz w:val="18"/>
                <w:szCs w:val="18"/>
                <w:color w:val="auto"/>
              </w:rPr>
            </w:pPr>
          </w:p>
        </w:tc>
        <w:tc>
          <w:tcPr>
            <w:tcW w:w="936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20" w:type="dxa"/>
            <w:vAlign w:val="bottom"/>
            <w:gridSpan w:val="4"/>
            <w:shd w:val="clear" w:color="auto" w:fill="CCEEFF"/>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99"/>
              </w:rPr>
              <w:t>73</w:t>
            </w: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194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7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200" w:type="dxa"/>
            <w:vAlign w:val="bottom"/>
            <w:shd w:val="clear" w:color="auto" w:fill="CCEEFF"/>
          </w:tcPr>
          <w:p>
            <w:pPr>
              <w:spacing w:after="0"/>
              <w:rPr>
                <w:sz w:val="18"/>
                <w:szCs w:val="18"/>
                <w:color w:val="auto"/>
              </w:rPr>
            </w:pPr>
          </w:p>
        </w:tc>
        <w:tc>
          <w:tcPr>
            <w:tcW w:w="936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gridSpan w:val="4"/>
            <w:shd w:val="clear" w:color="auto" w:fill="CCEEFF"/>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99"/>
              </w:rPr>
              <w:t>73</w:t>
            </w: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194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7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200" w:type="dxa"/>
            <w:vAlign w:val="bottom"/>
            <w:shd w:val="clear" w:color="auto" w:fill="CCEEFF"/>
          </w:tcPr>
          <w:p>
            <w:pPr>
              <w:spacing w:after="0"/>
              <w:rPr>
                <w:sz w:val="18"/>
                <w:szCs w:val="18"/>
                <w:color w:val="auto"/>
              </w:rPr>
            </w:pPr>
          </w:p>
        </w:tc>
        <w:tc>
          <w:tcPr>
            <w:tcW w:w="936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520" w:type="dxa"/>
            <w:vAlign w:val="bottom"/>
            <w:gridSpan w:val="4"/>
            <w:shd w:val="clear" w:color="auto" w:fill="CCEEFF"/>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99"/>
              </w:rPr>
              <w:t>74</w:t>
            </w: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194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7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200" w:type="dxa"/>
            <w:vAlign w:val="bottom"/>
            <w:shd w:val="clear" w:color="auto" w:fill="CCEEFF"/>
          </w:tcPr>
          <w:p>
            <w:pPr>
              <w:spacing w:after="0"/>
              <w:rPr>
                <w:sz w:val="18"/>
                <w:szCs w:val="18"/>
                <w:color w:val="auto"/>
              </w:rPr>
            </w:pPr>
          </w:p>
        </w:tc>
        <w:tc>
          <w:tcPr>
            <w:tcW w:w="936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520" w:type="dxa"/>
            <w:vAlign w:val="bottom"/>
            <w:gridSpan w:val="4"/>
            <w:shd w:val="clear" w:color="auto" w:fill="CCEEFF"/>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99"/>
              </w:rPr>
              <w:t>75</w:t>
            </w: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222"/>
        </w:trPr>
        <w:tc>
          <w:tcPr>
            <w:tcW w:w="4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1080" w:type="dxa"/>
            <w:vAlign w:val="bottom"/>
            <w:tcBorders>
              <w:top w:val="single" w:sz="8" w:color="CCEEFF"/>
              <w:bottom w:val="single" w:sz="8" w:color="9A9A9A"/>
            </w:tcBorders>
          </w:tcPr>
          <w:p>
            <w:pPr>
              <w:spacing w:after="0"/>
              <w:rPr>
                <w:sz w:val="24"/>
                <w:szCs w:val="24"/>
                <w:color w:val="auto"/>
              </w:rPr>
            </w:pPr>
          </w:p>
        </w:tc>
        <w:tc>
          <w:tcPr>
            <w:tcW w:w="102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680" w:type="dxa"/>
            <w:vAlign w:val="bottom"/>
            <w:tcBorders>
              <w:top w:val="single" w:sz="8" w:color="CCEEFF"/>
              <w:bottom w:val="single" w:sz="8" w:color="9A9A9A"/>
            </w:tcBorders>
          </w:tcPr>
          <w:p>
            <w:pPr>
              <w:spacing w:after="0"/>
              <w:rPr>
                <w:sz w:val="24"/>
                <w:szCs w:val="24"/>
                <w:color w:val="auto"/>
              </w:rPr>
            </w:pPr>
          </w:p>
        </w:tc>
        <w:tc>
          <w:tcPr>
            <w:tcW w:w="194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99"/>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Securitized residential mortgage loans, at fair value - $744,893 and $766,901 pledged as collateral, respectively (1)</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7,538,748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7,999,619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loans, at fair value - $227,587 and $198,596 pledged as collateral, respectively</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199,677</w:t>
            </w:r>
          </w:p>
        </w:tc>
        <w:tc>
          <w:tcPr>
            <w:tcW w:w="0" w:type="dxa"/>
            <w:vAlign w:val="bottom"/>
          </w:tcPr>
          <w:p>
            <w:pPr>
              <w:spacing w:after="0"/>
              <w:rPr>
                <w:sz w:val="1"/>
                <w:szCs w:val="1"/>
                <w:color w:val="auto"/>
              </w:rPr>
            </w:pPr>
          </w:p>
        </w:tc>
      </w:tr>
      <w:tr>
        <w:trPr>
          <w:trHeight w:val="213"/>
        </w:trPr>
        <w:tc>
          <w:tcPr>
            <w:tcW w:w="7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Commercial loans, at fair value - $51,504 and $55,376 pledged as collateral, respectively</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55,376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Real estate securities, at fair value - $249,430 and $231,894 pledged as collateral, respectively</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279,387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260,304</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debt and equity of affiliates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61,333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57,832</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18,489</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 $0 and $319 pledged as collateral, respectively</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60,656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58,900</w:t>
            </w:r>
          </w:p>
        </w:tc>
        <w:tc>
          <w:tcPr>
            <w:tcW w:w="0" w:type="dxa"/>
            <w:vAlign w:val="bottom"/>
          </w:tcPr>
          <w:p>
            <w:pPr>
              <w:spacing w:after="0"/>
              <w:rPr>
                <w:sz w:val="1"/>
                <w:szCs w:val="1"/>
                <w:color w:val="auto"/>
              </w:rPr>
            </w:pPr>
          </w:p>
        </w:tc>
      </w:tr>
      <w:tr>
        <w:trPr>
          <w:trHeight w:val="212"/>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8,288,315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8,711,530</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Securitized debt, at fair value (1)</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6,749,708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7,177,923</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arrangements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850,231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826,394</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unsecured notes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96,458</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payable</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 (2)</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42,720</w:t>
            </w:r>
          </w:p>
        </w:tc>
        <w:tc>
          <w:tcPr>
            <w:tcW w:w="0" w:type="dxa"/>
            <w:vAlign w:val="bottom"/>
          </w:tcPr>
          <w:p>
            <w:pPr>
              <w:spacing w:after="0"/>
              <w:rPr>
                <w:sz w:val="1"/>
                <w:szCs w:val="1"/>
                <w:color w:val="auto"/>
              </w:rPr>
            </w:pPr>
          </w:p>
        </w:tc>
      </w:tr>
      <w:tr>
        <w:trPr>
          <w:trHeight w:val="207"/>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7,743,919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8,150,796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12)</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Preferred stock - $227,991 aggregate liquidation preference</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220,472</w:t>
            </w:r>
          </w:p>
        </w:tc>
        <w:tc>
          <w:tcPr>
            <w:tcW w:w="0" w:type="dxa"/>
            <w:vAlign w:val="bottom"/>
          </w:tcPr>
          <w:p>
            <w:pPr>
              <w:spacing w:after="0"/>
              <w:rPr>
                <w:sz w:val="1"/>
                <w:szCs w:val="1"/>
                <w:color w:val="auto"/>
              </w:rPr>
            </w:pPr>
          </w:p>
        </w:tc>
      </w:tr>
      <w:tr>
        <w:trPr>
          <w:trHeight w:val="162"/>
        </w:trPr>
        <w:tc>
          <w:tcPr>
            <w:tcW w:w="76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par value $0.01 per share; 450,000 shares of common stock authorized and 31,735 and 31,744</w:t>
            </w:r>
          </w:p>
        </w:tc>
        <w:tc>
          <w:tcPr>
            <w:tcW w:w="22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and outstanding at March 31, 2026 and December 31, 2025, respectively</w:t>
            </w:r>
          </w:p>
        </w:tc>
        <w:tc>
          <w:tcPr>
            <w:tcW w:w="22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840,396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840,401</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Retained earnings/(deficit)</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(516,789)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(500,456)</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544,396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560,734</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8,288,315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8,711,530</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both"/>
        <w:ind w:left="340" w:hanging="332"/>
        <w:spacing w:after="0" w:line="255"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balances relate to certain residential mortgage loans which were securitized resulting in the Company consolidating the variable interest entities that were created to facilitate these securitizations as the Company was determined to be the primary beneficiary. The "Securitized debt, at fair value" is collateralized by the "Securitized residential mortgage loans, at fair value" held within the securitization trusts. See Note 3 and Note 6 for additional details.</w:t>
      </w:r>
    </w:p>
    <w:p>
      <w:pPr>
        <w:spacing w:after="0" w:line="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7 and Note 10 for additional details on amounts payable to affiliates.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consolidated financial statements.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60" w:type="dxa"/>
            <w:vAlign w:val="bottom"/>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60" w:type="dxa"/>
            <w:vAlign w:val="bottom"/>
            <w:tcBorders>
              <w:bottom w:val="single" w:sz="8" w:color="auto"/>
            </w:tcBorders>
          </w:tcPr>
          <w:p>
            <w:pPr>
              <w:spacing w:after="0"/>
              <w:rPr>
                <w:sz w:val="18"/>
                <w:szCs w:val="18"/>
                <w:color w:val="auto"/>
              </w:rPr>
            </w:pPr>
          </w:p>
        </w:tc>
      </w:tr>
      <w:tr>
        <w:trPr>
          <w:trHeight w:val="211"/>
        </w:trPr>
        <w:tc>
          <w:tcPr>
            <w:tcW w:w="596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198"/>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1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213"/>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860" w:type="dxa"/>
            <w:vAlign w:val="bottom"/>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129,808</w:t>
            </w:r>
          </w:p>
        </w:tc>
        <w:tc>
          <w:tcPr>
            <w:tcW w:w="100" w:type="dxa"/>
            <w:vAlign w:val="bottom"/>
          </w:tcPr>
          <w:p>
            <w:pPr>
              <w:spacing w:after="0"/>
              <w:rPr>
                <w:sz w:val="18"/>
                <w:szCs w:val="18"/>
                <w:color w:val="auto"/>
              </w:rPr>
            </w:pP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109,130</w:t>
            </w:r>
          </w:p>
        </w:tc>
      </w:tr>
      <w:tr>
        <w:trPr>
          <w:trHeight w:val="21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8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109,165</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90,281</w:t>
            </w:r>
          </w:p>
        </w:tc>
      </w:tr>
      <w:tr>
        <w:trPr>
          <w:trHeight w:val="207"/>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Net Interest Income</w:t>
            </w:r>
          </w:p>
        </w:tc>
        <w:tc>
          <w:tcPr>
            <w:tcW w:w="18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20,643</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18,849</w:t>
            </w:r>
          </w:p>
        </w:tc>
      </w:tr>
      <w:tr>
        <w:trPr>
          <w:trHeight w:val="239"/>
        </w:trPr>
        <w:tc>
          <w:tcPr>
            <w:tcW w:w="59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r>
      <w:tr>
        <w:trPr>
          <w:trHeight w:val="214"/>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Income/(Loss)</w:t>
            </w:r>
          </w:p>
        </w:tc>
        <w:tc>
          <w:tcPr>
            <w:tcW w:w="1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8"/>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component of interest rate swaps</w:t>
            </w:r>
          </w:p>
        </w:tc>
        <w:tc>
          <w:tcPr>
            <w:tcW w:w="18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r>
      <w:tr>
        <w:trPr>
          <w:trHeight w:val="213"/>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realized gain/(loss)</w:t>
            </w:r>
          </w:p>
        </w:tc>
        <w:tc>
          <w:tcPr>
            <w:tcW w:w="18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unrealized gain/(loss)</w:t>
            </w:r>
          </w:p>
        </w:tc>
        <w:tc>
          <w:tcPr>
            <w:tcW w:w="18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(16,460)</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r>
      <w:tr>
        <w:trPr>
          <w:trHeight w:val="207"/>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Income/(Loss)</w:t>
            </w:r>
          </w:p>
        </w:tc>
        <w:tc>
          <w:tcPr>
            <w:tcW w:w="18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(16,176)</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1,549</w:t>
            </w:r>
          </w:p>
        </w:tc>
      </w:tr>
      <w:tr>
        <w:trPr>
          <w:trHeight w:val="239"/>
        </w:trPr>
        <w:tc>
          <w:tcPr>
            <w:tcW w:w="59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r>
      <w:tr>
        <w:trPr>
          <w:trHeight w:val="214"/>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8"/>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Management fee to affiliate (1)</w:t>
            </w:r>
          </w:p>
        </w:tc>
        <w:tc>
          <w:tcPr>
            <w:tcW w:w="18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w:t>
            </w:r>
          </w:p>
        </w:tc>
      </w:tr>
      <w:tr>
        <w:trPr>
          <w:trHeight w:val="213"/>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Non-investment related expenses (1)</w:t>
            </w:r>
          </w:p>
        </w:tc>
        <w:tc>
          <w:tcPr>
            <w:tcW w:w="18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2,656</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3,280</w:t>
            </w:r>
          </w:p>
        </w:tc>
      </w:tr>
      <w:tr>
        <w:trPr>
          <w:trHeight w:val="21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related expenses (1)</w:t>
            </w:r>
          </w:p>
        </w:tc>
        <w:tc>
          <w:tcPr>
            <w:tcW w:w="18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3,410</w:t>
            </w:r>
          </w:p>
        </w:tc>
      </w:tr>
      <w:tr>
        <w:trPr>
          <w:trHeight w:val="213"/>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Transaction related expenses (1)</w:t>
            </w:r>
          </w:p>
        </w:tc>
        <w:tc>
          <w:tcPr>
            <w:tcW w:w="18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w:t>
            </w:r>
          </w:p>
        </w:tc>
      </w:tr>
      <w:tr>
        <w:trPr>
          <w:trHeight w:val="20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Expenses</w:t>
            </w:r>
          </w:p>
        </w:tc>
        <w:tc>
          <w:tcPr>
            <w:tcW w:w="18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9,847</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10,078</w:t>
            </w:r>
          </w:p>
        </w:tc>
      </w:tr>
      <w:tr>
        <w:trPr>
          <w:trHeight w:val="239"/>
        </w:trPr>
        <w:tc>
          <w:tcPr>
            <w:tcW w:w="596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r>
      <w:tr>
        <w:trPr>
          <w:trHeight w:val="207"/>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Income/(loss) before equity in earnings/(loss) from affiliates</w:t>
            </w:r>
          </w:p>
        </w:tc>
        <w:tc>
          <w:tcPr>
            <w:tcW w:w="18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(5,380)</w:t>
            </w:r>
          </w:p>
        </w:tc>
        <w:tc>
          <w:tcPr>
            <w:tcW w:w="1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10,320</w:t>
            </w:r>
          </w:p>
        </w:tc>
      </w:tr>
      <w:tr>
        <w:trPr>
          <w:trHeight w:val="239"/>
        </w:trPr>
        <w:tc>
          <w:tcPr>
            <w:tcW w:w="59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earnings/(loss) from affiliates</w:t>
            </w:r>
          </w:p>
        </w:tc>
        <w:tc>
          <w:tcPr>
            <w:tcW w:w="18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r>
      <w:tr>
        <w:trPr>
          <w:trHeight w:val="207"/>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Income/(Loss) before Income Taxes</w:t>
            </w:r>
          </w:p>
        </w:tc>
        <w:tc>
          <w:tcPr>
            <w:tcW w:w="18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11,505</w:t>
            </w:r>
          </w:p>
        </w:tc>
      </w:tr>
      <w:tr>
        <w:trPr>
          <w:trHeight w:val="259"/>
        </w:trPr>
        <w:tc>
          <w:tcPr>
            <w:tcW w:w="596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r>
      <w:tr>
        <w:trPr>
          <w:trHeight w:val="213"/>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8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Income/(Loss)</w:t>
            </w:r>
          </w:p>
        </w:tc>
        <w:tc>
          <w:tcPr>
            <w:tcW w:w="18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11,477</w:t>
            </w:r>
          </w:p>
        </w:tc>
      </w:tr>
      <w:tr>
        <w:trPr>
          <w:trHeight w:val="256"/>
        </w:trPr>
        <w:tc>
          <w:tcPr>
            <w:tcW w:w="59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18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5,304</w:t>
            </w:r>
          </w:p>
        </w:tc>
      </w:tr>
      <w:tr>
        <w:trPr>
          <w:trHeight w:val="256"/>
        </w:trPr>
        <w:tc>
          <w:tcPr>
            <w:tcW w:w="5960" w:type="dxa"/>
            <w:vAlign w:val="bottom"/>
            <w:tcBorders>
              <w:bottom w:val="single" w:sz="8" w:color="CCEEFF"/>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r>
      <w:tr>
        <w:trPr>
          <w:trHeight w:val="235"/>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Income/(Loss) Available to Common Stockholders</w:t>
            </w:r>
          </w:p>
        </w:tc>
        <w:tc>
          <w:tcPr>
            <w:tcW w:w="1860" w:type="dxa"/>
            <w:vAlign w:val="bottom"/>
            <w:tcBorders>
              <w:bottom w:val="single" w:sz="8" w:color="auto"/>
            </w:tcBorders>
            <w:shd w:val="clear" w:color="auto" w:fill="CCEEFF"/>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(8,715)</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6,173</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9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Earnings/(Loss) Per Share of Common Stock</w:t>
            </w:r>
          </w:p>
        </w:tc>
        <w:tc>
          <w:tcPr>
            <w:tcW w:w="1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13"/>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860" w:type="dxa"/>
            <w:vAlign w:val="bottom"/>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tcPr>
          <w:p>
            <w:pPr>
              <w:spacing w:after="0"/>
              <w:rPr>
                <w:sz w:val="18"/>
                <w:szCs w:val="18"/>
                <w:color w:val="auto"/>
              </w:rPr>
            </w:pP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r>
      <w:tr>
        <w:trPr>
          <w:trHeight w:val="21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860" w:type="dxa"/>
            <w:vAlign w:val="bottom"/>
            <w:shd w:val="clear" w:color="auto" w:fill="CCEEFF"/>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r>
      <w:tr>
        <w:trPr>
          <w:trHeight w:val="256"/>
        </w:trPr>
        <w:tc>
          <w:tcPr>
            <w:tcW w:w="59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of Common Stock Outstanding</w:t>
            </w:r>
          </w:p>
        </w:tc>
        <w:tc>
          <w:tcPr>
            <w:tcW w:w="1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13"/>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8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31,738</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29,659</w:t>
            </w:r>
          </w:p>
        </w:tc>
      </w:tr>
      <w:tr>
        <w:trPr>
          <w:trHeight w:val="21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8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29,688</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Refer to Note 10 for additional details on related party transactions.</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71"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456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2026 and March 31, 2025</w:t>
            </w:r>
          </w:p>
        </w:tc>
        <w:tc>
          <w:tcPr>
            <w:tcW w:w="50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94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40" w:type="dxa"/>
            <w:vAlign w:val="bottom"/>
          </w:tcPr>
          <w:p>
            <w:pPr>
              <w:spacing w:after="0"/>
              <w:rPr>
                <w:sz w:val="23"/>
                <w:szCs w:val="23"/>
                <w:color w:val="auto"/>
              </w:rPr>
            </w:pPr>
          </w:p>
        </w:tc>
        <w:tc>
          <w:tcPr>
            <w:tcW w:w="14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23"/>
                <w:szCs w:val="23"/>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
                <w:szCs w:val="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214"/>
        </w:trPr>
        <w:tc>
          <w:tcPr>
            <w:tcW w:w="3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4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Earnings/(Deficit)</w:t>
            </w: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2026</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220,472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840,401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(500,456)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560,734</w:t>
            </w: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Grant of restricted stock and amortization of equity</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based compensation, net (1)</w:t>
            </w: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dividends declared ($0.24 per share)</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(7,617)</w:t>
            </w:r>
          </w:p>
        </w:tc>
        <w:tc>
          <w:tcPr>
            <w:tcW w:w="0" w:type="dxa"/>
            <w:vAlign w:val="bottom"/>
          </w:tcPr>
          <w:p>
            <w:pPr>
              <w:spacing w:after="0"/>
              <w:rPr>
                <w:sz w:val="1"/>
                <w:szCs w:val="1"/>
                <w:color w:val="auto"/>
              </w:rPr>
            </w:pPr>
          </w:p>
        </w:tc>
      </w:tr>
      <w:tr>
        <w:trPr>
          <w:trHeight w:val="213"/>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Preferred dividends declared (2)</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(5,154)</w:t>
            </w:r>
          </w:p>
        </w:tc>
        <w:tc>
          <w:tcPr>
            <w:tcW w:w="0" w:type="dxa"/>
            <w:vAlign w:val="bottom"/>
          </w:tcPr>
          <w:p>
            <w:pPr>
              <w:spacing w:after="0"/>
              <w:rPr>
                <w:sz w:val="1"/>
                <w:szCs w:val="1"/>
                <w:color w:val="auto"/>
              </w:rPr>
            </w:pPr>
          </w:p>
        </w:tc>
      </w:tr>
      <w:tr>
        <w:trPr>
          <w:trHeight w:val="219"/>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Income/(Loss)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w:t>
            </w:r>
          </w:p>
        </w:tc>
        <w:tc>
          <w:tcPr>
            <w:tcW w:w="0" w:type="dxa"/>
            <w:vAlign w:val="bottom"/>
          </w:tcPr>
          <w:p>
            <w:pPr>
              <w:spacing w:after="0"/>
              <w:rPr>
                <w:sz w:val="1"/>
                <w:szCs w:val="1"/>
                <w:color w:val="auto"/>
              </w:rPr>
            </w:pPr>
          </w:p>
        </w:tc>
      </w:tr>
      <w:tr>
        <w:trPr>
          <w:trHeight w:val="207"/>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31,735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220,472</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840,396</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(516,789)</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544,396</w:t>
            </w:r>
          </w:p>
        </w:tc>
        <w:tc>
          <w:tcPr>
            <w:tcW w:w="0" w:type="dxa"/>
            <w:vAlign w:val="bottom"/>
          </w:tcPr>
          <w:p>
            <w:pPr>
              <w:spacing w:after="0"/>
              <w:rPr>
                <w:sz w:val="1"/>
                <w:szCs w:val="1"/>
                <w:color w:val="auto"/>
              </w:rPr>
            </w:pPr>
          </w:p>
        </w:tc>
      </w:tr>
      <w:tr>
        <w:trPr>
          <w:trHeight w:val="385"/>
        </w:trPr>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4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40" w:type="dxa"/>
            <w:vAlign w:val="bottom"/>
          </w:tcPr>
          <w:p>
            <w:pPr>
              <w:spacing w:after="0"/>
              <w:rPr>
                <w:sz w:val="24"/>
                <w:szCs w:val="24"/>
                <w:color w:val="auto"/>
              </w:rPr>
            </w:pPr>
          </w:p>
        </w:tc>
        <w:tc>
          <w:tcPr>
            <w:tcW w:w="14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24"/>
                <w:szCs w:val="24"/>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
                <w:szCs w:val="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214"/>
        </w:trPr>
        <w:tc>
          <w:tcPr>
            <w:tcW w:w="3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4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Earnings/(Deficit)</w:t>
            </w: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2025</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29,640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220,472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824,380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(501,725)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543,423</w:t>
            </w: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Grant of restricted stock and amortization of equity</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13"/>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based compensation</w:t>
            </w: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dividends declared ($0.20 per share)</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(5,932)</w:t>
            </w:r>
          </w:p>
        </w:tc>
        <w:tc>
          <w:tcPr>
            <w:tcW w:w="0" w:type="dxa"/>
            <w:vAlign w:val="bottom"/>
          </w:tcPr>
          <w:p>
            <w:pPr>
              <w:spacing w:after="0"/>
              <w:rPr>
                <w:sz w:val="1"/>
                <w:szCs w:val="1"/>
                <w:color w:val="auto"/>
              </w:rPr>
            </w:pPr>
          </w:p>
        </w:tc>
      </w:tr>
      <w:tr>
        <w:trPr>
          <w:trHeight w:val="213"/>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Preferred dividends declared (2)</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w:t>
            </w:r>
          </w:p>
        </w:tc>
        <w:tc>
          <w:tcPr>
            <w:tcW w:w="0" w:type="dxa"/>
            <w:vAlign w:val="bottom"/>
          </w:tcPr>
          <w:p>
            <w:pPr>
              <w:spacing w:after="0"/>
              <w:rPr>
                <w:sz w:val="1"/>
                <w:szCs w:val="1"/>
                <w:color w:val="auto"/>
              </w:rPr>
            </w:pPr>
          </w:p>
        </w:tc>
      </w:tr>
      <w:tr>
        <w:trPr>
          <w:trHeight w:val="219"/>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Income/(Loss)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11,477</w:t>
            </w:r>
          </w:p>
        </w:tc>
        <w:tc>
          <w:tcPr>
            <w:tcW w:w="0" w:type="dxa"/>
            <w:vAlign w:val="bottom"/>
          </w:tcPr>
          <w:p>
            <w:pPr>
              <w:spacing w:after="0"/>
              <w:rPr>
                <w:sz w:val="1"/>
                <w:szCs w:val="1"/>
                <w:color w:val="auto"/>
              </w:rPr>
            </w:pPr>
          </w:p>
        </w:tc>
      </w:tr>
      <w:tr>
        <w:trPr>
          <w:trHeight w:val="207"/>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29,659</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220,472</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824,587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(501,486)</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543,870</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40" w:hanging="332"/>
        <w:spacing w:after="0" w:line="258"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months ended March 31, 2026, the Company retired 19 thousand shares of common stock to pay $0.2 million of withholding taxes on the net settlement of equity based compensation.</w:t>
      </w:r>
    </w:p>
    <w:p>
      <w:pPr>
        <w:ind w:left="340" w:right="20" w:hanging="332"/>
        <w:spacing w:after="0" w:line="275"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March 31, 2026 and 2025, dividends totaling $0.51563 and $0.51563 per share of Series A Preferred Stock, $0.50 and $0.50 per share of Series B Preferred Stock, and $0.652391 and $0.693062 per share of Series C Preferred Stock outstanding were declared,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consolidated financial statements.</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198"/>
        </w:trPr>
        <w:tc>
          <w:tcPr>
            <w:tcW w:w="7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213"/>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Net income/(loss)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11,477</w:t>
            </w:r>
          </w:p>
        </w:tc>
      </w:tr>
      <w:tr>
        <w:trPr>
          <w:trHeight w:val="21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income/(loss) to net cash provided by (used in) operating activities: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7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amortization of premium/(discount)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3,605</w:t>
            </w:r>
          </w:p>
        </w:tc>
      </w:tr>
      <w:tr>
        <w:trPr>
          <w:trHeight w:val="21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realized (gain)/loss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7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unrealized (gain)/loss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r>
      <w:tr>
        <w:trPr>
          <w:trHeight w:val="21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Grant of restricted stock and amortization of equity based compensation</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213"/>
        </w:trPr>
        <w:tc>
          <w:tcPr>
            <w:tcW w:w="7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Equity in (earnings)/loss from affiliates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w:t>
            </w:r>
          </w:p>
        </w:tc>
      </w:tr>
      <w:tr>
        <w:trPr>
          <w:trHeight w:val="21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operating assets/liabilities: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7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r>
      <w:tr>
        <w:trPr>
          <w:trHeight w:val="21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w:t>
            </w:r>
          </w:p>
        </w:tc>
      </w:tr>
      <w:tr>
        <w:trPr>
          <w:trHeight w:val="207"/>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20,341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11,997</w:t>
            </w:r>
          </w:p>
        </w:tc>
      </w:tr>
      <w:tr>
        <w:trPr>
          <w:trHeight w:val="199"/>
        </w:trPr>
        <w:tc>
          <w:tcPr>
            <w:tcW w:w="7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4"/>
        </w:trPr>
        <w:tc>
          <w:tcPr>
            <w:tcW w:w="7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8"/>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residential mortgage loans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(497,417)</w:t>
            </w:r>
          </w:p>
        </w:tc>
      </w:tr>
      <w:tr>
        <w:trPr>
          <w:trHeight w:val="213"/>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real estate securities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(26,064)</w:t>
            </w:r>
          </w:p>
        </w:tc>
      </w:tr>
      <w:tr>
        <w:trPr>
          <w:trHeight w:val="21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sales of residential mortgage loans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20,428</w:t>
            </w:r>
          </w:p>
        </w:tc>
      </w:tr>
      <w:tr>
        <w:trPr>
          <w:trHeight w:val="213"/>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sales of real estate securities</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2,672</w:t>
            </w:r>
          </w:p>
        </w:tc>
      </w:tr>
      <w:tr>
        <w:trPr>
          <w:trHeight w:val="21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Principal repayments on residential mortgage loans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187,762</w:t>
            </w:r>
          </w:p>
        </w:tc>
      </w:tr>
      <w:tr>
        <w:trPr>
          <w:trHeight w:val="213"/>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Principal repayments on real estate securities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2,404</w:t>
            </w:r>
          </w:p>
        </w:tc>
      </w:tr>
      <w:tr>
        <w:trPr>
          <w:trHeight w:val="21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Principal funding on residential mortgage loans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w:t>
            </w:r>
          </w:p>
        </w:tc>
      </w:tr>
      <w:tr>
        <w:trPr>
          <w:trHeight w:val="213"/>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received in excess of income from investments in debt and equity of affiliates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2,097</w:t>
            </w:r>
          </w:p>
        </w:tc>
      </w:tr>
      <w:tr>
        <w:trPr>
          <w:trHeight w:val="21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settlement of interest rate swaps and other instruments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(6,436)</w:t>
            </w:r>
          </w:p>
        </w:tc>
      </w:tr>
      <w:tr>
        <w:trPr>
          <w:trHeight w:val="213"/>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Cash flows provided by other investing activities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w:t>
            </w:r>
          </w:p>
        </w:tc>
      </w:tr>
      <w:tr>
        <w:trPr>
          <w:trHeight w:val="21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used in other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326,897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(314,725)</w:t>
            </w:r>
          </w:p>
        </w:tc>
      </w:tr>
      <w:tr>
        <w:trPr>
          <w:trHeight w:val="185"/>
        </w:trPr>
        <w:tc>
          <w:tcPr>
            <w:tcW w:w="7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4"/>
        </w:trPr>
        <w:tc>
          <w:tcPr>
            <w:tcW w:w="7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8"/>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borrowings under (repayments of) financing arrangements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67,868</w:t>
            </w:r>
          </w:p>
        </w:tc>
      </w:tr>
      <w:tr>
        <w:trPr>
          <w:trHeight w:val="213"/>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Principal repayments on fixed-rate long-term financing arrangements</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w:t>
            </w:r>
          </w:p>
        </w:tc>
      </w:tr>
      <w:tr>
        <w:trPr>
          <w:trHeight w:val="21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financing costs paid</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securitized debt</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410,678</w:t>
            </w:r>
          </w:p>
        </w:tc>
      </w:tr>
      <w:tr>
        <w:trPr>
          <w:trHeight w:val="21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Principal repayments on securitized debt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(366,991)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(171,109)</w:t>
            </w:r>
          </w:p>
        </w:tc>
      </w:tr>
      <w:tr>
        <w:trPr>
          <w:trHeight w:val="213"/>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Withholding taxes paid on the net settlement of equity based compensation</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(5,632)</w:t>
            </w:r>
          </w:p>
        </w:tc>
      </w:tr>
      <w:tr>
        <w:trPr>
          <w:trHeight w:val="213"/>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Dividends paid on preferred stock</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(5,306)</w:t>
            </w:r>
          </w:p>
        </w:tc>
      </w:tr>
      <w:tr>
        <w:trPr>
          <w:trHeight w:val="21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(355,837)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293,377</w:t>
            </w:r>
          </w:p>
        </w:tc>
      </w:tr>
      <w:tr>
        <w:trPr>
          <w:trHeight w:val="239"/>
        </w:trPr>
        <w:tc>
          <w:tcPr>
            <w:tcW w:w="7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cash and cash equivalents and restricted cash</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(9,351)</w:t>
            </w:r>
          </w:p>
        </w:tc>
      </w:tr>
      <w:tr>
        <w:trPr>
          <w:trHeight w:val="213"/>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Period</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138,568</w:t>
            </w:r>
          </w:p>
        </w:tc>
      </w:tr>
      <w:tr>
        <w:trPr>
          <w:trHeight w:val="21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End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129,217</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6" w:name="page7"/>
    <w:bookmarkEnd w:id="6"/>
    <w:tbl>
      <w:tblPr>
        <w:tblLayout w:type="fixed"/>
        <w:tblInd w:w="4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198"/>
        </w:trPr>
        <w:tc>
          <w:tcPr>
            <w:tcW w:w="7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213"/>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107,676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84,764</w:t>
            </w:r>
          </w:p>
        </w:tc>
      </w:tr>
      <w:tr>
        <w:trPr>
          <w:trHeight w:val="21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57"/>
        </w:trPr>
        <w:tc>
          <w:tcPr>
            <w:tcW w:w="7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financing and investing activities: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Transfer from residential mortgage loans to securitized residential mortgage loans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430,970</w:t>
            </w:r>
          </w:p>
        </w:tc>
      </w:tr>
      <w:tr>
        <w:trPr>
          <w:trHeight w:val="21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dividends declared but not paid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5,932</w:t>
            </w:r>
          </w:p>
        </w:tc>
      </w:tr>
      <w:tr>
        <w:trPr>
          <w:trHeight w:val="210"/>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Transfer from residential mortgage loans to other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3,743</w:t>
            </w:r>
          </w:p>
        </w:tc>
      </w:tr>
    </w:tbl>
    <w:p>
      <w:pPr>
        <w:spacing w:after="0" w:line="329"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6"/>
          <w:szCs w:val="16"/>
          <w:color w:val="auto"/>
        </w:rPr>
        <w:t>The following table provides a reconciliation of cash and cash equivalents and restricted cash reported within the consolidated balance sheets that sum to the total of the same such amounts shown in the consolidated statements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12"/>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49,307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115,549</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18,415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13,668</w:t>
            </w:r>
          </w:p>
        </w:tc>
      </w:tr>
      <w:tr>
        <w:trPr>
          <w:trHeight w:val="237"/>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 shown in the consolidated statements of cash flows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129,217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4"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TPG Mortgage Investment Trust, Inc. (the "Company" or "MITT") is a residential mortgage REIT with a focus on investing in a diversified risk-adjusted portfolio of residential mortgage-related assets in the U.S. mortgage market. The Company’s investment activities primarily include acquiring and securitizing newly-originated residential mortgage loans within the non-agency segment of the housing market. The Company obtains its residential mortgage loans through Arc Home, LLC ("Arc Home"), a residential mortgage loan originator in which the Company owned an approximate 66.0% interest as of March 31, 2026, and through other third-party origination partners.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assets, excluding its ownership in Arc Home, include Residential Investments, Agency RMBS and Legacy WMC Commercial Investments. Currently, its Residential Investments primarily consist of Non-Agency Loans, Agency-Eligible Loans, Home Equity Loans, and Non-Agency RMBS collateralized by these loan types. The Company may invest in other types of residential mortgage loans and other mortgage related assets. The Company's asset classes are primarily comprised of the following:</w:t>
      </w:r>
    </w:p>
    <w:p>
      <w:pPr>
        <w:sectPr>
          <w:pgSz w:w="11900" w:h="16838" w:orient="portrait"/>
          <w:cols w:equalWidth="0" w:num="1">
            <w:col w:w="11240"/>
          </w:cols>
          <w:pgMar w:left="320" w:top="1170"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 Class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Residential Investments</w:t>
      </w: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Non-Agency Loans</w:t>
      </w:r>
      <w:r>
        <w:rPr>
          <w:rFonts w:ascii="Times New Roman" w:cs="Times New Roman" w:eastAsia="Times New Roman" w:hAnsi="Times New Roman"/>
          <w:sz w:val="23"/>
          <w:szCs w:val="23"/>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Agency-Eligible Loans</w:t>
      </w:r>
      <w:r>
        <w:rPr>
          <w:rFonts w:ascii="Times New Roman" w:cs="Times New Roman" w:eastAsia="Times New Roman" w:hAnsi="Times New Roman"/>
          <w:sz w:val="23"/>
          <w:szCs w:val="23"/>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Home Equity Loans</w:t>
      </w:r>
      <w:r>
        <w:rPr>
          <w:rFonts w:ascii="Times New Roman" w:cs="Times New Roman" w:eastAsia="Times New Roman" w:hAnsi="Times New Roman"/>
          <w:sz w:val="23"/>
          <w:szCs w:val="23"/>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40" w:right="20"/>
        <w:spacing w:after="0" w:line="250" w:lineRule="auto"/>
        <w:rPr>
          <w:sz w:val="20"/>
          <w:szCs w:val="20"/>
          <w:color w:val="auto"/>
        </w:rPr>
      </w:pPr>
      <w:r>
        <w:rPr>
          <w:rFonts w:ascii="Times New Roman" w:cs="Times New Roman" w:eastAsia="Times New Roman" w:hAnsi="Times New Roman"/>
          <w:sz w:val="18"/>
          <w:szCs w:val="18"/>
          <w:color w:val="auto"/>
        </w:rPr>
        <w:t>Re- and Non-Performing Loans</w:t>
      </w:r>
      <w:r>
        <w:rPr>
          <w:rFonts w:ascii="Times New Roman" w:cs="Times New Roman" w:eastAsia="Times New Roman" w:hAnsi="Times New Roman"/>
          <w:sz w:val="23"/>
          <w:szCs w:val="23"/>
          <w:color w:val="auto"/>
          <w:vertAlign w:val="superscript"/>
        </w:rPr>
        <w:t>(1)</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Non-Agency RMBS</w:t>
      </w:r>
      <w:r>
        <w:rPr>
          <w:rFonts w:ascii="Times New Roman" w:cs="Times New Roman" w:eastAsia="Times New Roman" w:hAnsi="Times New Roman"/>
          <w:sz w:val="23"/>
          <w:szCs w:val="23"/>
          <w:color w:val="auto"/>
          <w:vertAlign w:val="superscript"/>
        </w:rPr>
        <w:t>(2)</w:t>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Agency RMBS</w:t>
      </w:r>
      <w:r>
        <w:rPr>
          <w:rFonts w:ascii="Times New Roman" w:cs="Times New Roman" w:eastAsia="Times New Roman" w:hAnsi="Times New Roman"/>
          <w:sz w:val="23"/>
          <w:szCs w:val="23"/>
          <w:b w:val="1"/>
          <w:bCs w:val="1"/>
          <w:color w:val="auto"/>
          <w:vertAlign w:val="superscript"/>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19685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0" w:lineRule="exact"/>
        <w:rPr>
          <w:sz w:val="20"/>
          <w:szCs w:val="20"/>
          <w:color w:val="auto"/>
        </w:rPr>
      </w:pPr>
    </w:p>
    <w:p>
      <w:pPr>
        <w:jc w:val="both"/>
        <w:ind w:left="160" w:right="20" w:hanging="157"/>
        <w:spacing w:after="0" w:line="242" w:lineRule="auto"/>
        <w:tabs>
          <w:tab w:leader="none" w:pos="1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Non-Agency Loans are loans that do not conform to the underwriting guidelines of a government-sponsored enterprise ("GSE"). Non-Agency Loans consist of Qualified mortgage loans ("QM Loans") and Non-Qualified mortgage loans ("Non-QM Loans") which are collateralized by a first lien mortgaged property. QM Loans are residential mortgage loans that comply with the Ability-To-Repay rules and related guidelines of the Consumer Financial Protection Bureau.</w:t>
      </w:r>
    </w:p>
    <w:p>
      <w:pPr>
        <w:spacing w:after="0" w:line="36" w:lineRule="exact"/>
        <w:rPr>
          <w:rFonts w:ascii="Times New Roman" w:cs="Times New Roman" w:eastAsia="Times New Roman" w:hAnsi="Times New Roman"/>
          <w:sz w:val="18"/>
          <w:szCs w:val="18"/>
          <w:color w:val="auto"/>
        </w:rPr>
      </w:pPr>
    </w:p>
    <w:p>
      <w:pPr>
        <w:jc w:val="both"/>
        <w:ind w:left="160" w:right="20" w:hanging="157"/>
        <w:spacing w:after="0" w:line="261" w:lineRule="auto"/>
        <w:tabs>
          <w:tab w:leader="none" w:pos="1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Agency-Eligible Loans are loans that are collateralized by a first lien mortgaged property and are primarily secured by investment properties. These loans are underwritten in accordance with GSE guidelines, but are not guaranteed by a GSE. Although these loans are underwritten in accordance with GSE guidelines and can be delivered to Fannie Mae and Freddie Mac, the Company includes these loans within its Non-Agency securitizations.</w:t>
      </w:r>
    </w:p>
    <w:p>
      <w:pPr>
        <w:spacing w:after="0" w:line="4" w:lineRule="exact"/>
        <w:rPr>
          <w:rFonts w:ascii="Times New Roman" w:cs="Times New Roman" w:eastAsia="Times New Roman" w:hAnsi="Times New Roman"/>
          <w:sz w:val="18"/>
          <w:szCs w:val="18"/>
          <w:color w:val="auto"/>
        </w:rPr>
      </w:pPr>
    </w:p>
    <w:p>
      <w:pPr>
        <w:jc w:val="both"/>
        <w:ind w:left="160" w:right="20" w:hanging="157"/>
        <w:spacing w:after="0" w:line="241" w:lineRule="auto"/>
        <w:tabs>
          <w:tab w:leader="none" w:pos="1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 Equity Loans consist of revolving lines of credit and closed-end loans secured primarily by second liens on residential mortgaged properties. These products provide borrowers with access to home equity without requiring the payoff of an existing mortgage. Revolving lines of credit generally feature an initial draw period of 3 to 5 years, after which the balances convert to 15- or 25-year amortizing loans. Closed-end home equity loans are primarily fixed-rate obligations where the full principal amount is funded at origination and repaid through a fully amortizing schedule with original terms to maturity ranging from 10 to 30 years.</w:t>
      </w:r>
    </w:p>
    <w:p>
      <w:pPr>
        <w:spacing w:after="0" w:line="35" w:lineRule="exact"/>
        <w:rPr>
          <w:rFonts w:ascii="Times New Roman" w:cs="Times New Roman" w:eastAsia="Times New Roman" w:hAnsi="Times New Roman"/>
          <w:sz w:val="18"/>
          <w:szCs w:val="18"/>
          <w:color w:val="auto"/>
        </w:rPr>
      </w:pPr>
    </w:p>
    <w:p>
      <w:pPr>
        <w:ind w:left="160" w:right="20" w:hanging="157"/>
        <w:spacing w:after="0" w:line="281" w:lineRule="auto"/>
        <w:tabs>
          <w:tab w:leader="none" w:pos="1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re-performing, and non-performing loans are residential mortgage loans collateralized by a first lien mortgaged property.</w:t>
      </w:r>
    </w:p>
    <w:p>
      <w:pPr>
        <w:spacing w:after="0" w:line="1" w:lineRule="exact"/>
        <w:rPr>
          <w:rFonts w:ascii="Times New Roman" w:cs="Times New Roman" w:eastAsia="Times New Roman" w:hAnsi="Times New Roman"/>
          <w:sz w:val="18"/>
          <w:szCs w:val="18"/>
          <w:color w:val="auto"/>
        </w:rPr>
      </w:pPr>
    </w:p>
    <w:p>
      <w:pPr>
        <w:jc w:val="both"/>
        <w:ind w:left="160" w:right="20" w:hanging="157"/>
        <w:spacing w:after="0" w:line="266" w:lineRule="auto"/>
        <w:tabs>
          <w:tab w:leader="none" w:pos="1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Non-Agency Residential Mortgage-Backed Securities ("RMBS") represent fixed- and floating-rate RMBS issued by entities other than U.S. GSEs or agencies of the U.S. government. Non-Agency RMBS are primarily secured by Non-QM, Agency-Eligible, Home Equity, and Prime Jumbo Loans.</w:t>
      </w:r>
    </w:p>
    <w:p>
      <w:pPr>
        <w:spacing w:after="0" w:line="13" w:lineRule="exact"/>
        <w:rPr>
          <w:rFonts w:ascii="Times New Roman" w:cs="Times New Roman" w:eastAsia="Times New Roman" w:hAnsi="Times New Roman"/>
          <w:sz w:val="18"/>
          <w:szCs w:val="18"/>
          <w:color w:val="auto"/>
        </w:rPr>
      </w:pPr>
    </w:p>
    <w:p>
      <w:pPr>
        <w:ind w:left="160" w:right="20" w:hanging="157"/>
        <w:spacing w:after="0" w:line="282" w:lineRule="auto"/>
        <w:tabs>
          <w:tab w:leader="none" w:pos="1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Agency RMBS represent interests in pools of residential mortgage loans guaranteed by a GSE such as Fannie Mae or Freddie Mac, or an agency of the U.S. Government such as Ginnie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-2456815</wp:posOffset>
            </wp:positionV>
            <wp:extent cx="7132320" cy="582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82930"/>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-1068070</wp:posOffset>
            </wp:positionV>
            <wp:extent cx="71323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-313690</wp:posOffset>
            </wp:positionV>
            <wp:extent cx="71323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2060" w:space="420"/>
            <w:col w:w="8760"/>
          </w:cols>
          <w:pgMar w:left="320" w:top="117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Legacy WMC Commercial Investments</w:t>
      </w:r>
      <w:r>
        <w:rPr>
          <w:rFonts w:ascii="Times New Roman" w:cs="Times New Roman" w:eastAsia="Times New Roman" w:hAnsi="Times New Roman"/>
          <w:sz w:val="23"/>
          <w:szCs w:val="23"/>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Loans</w:t>
            </w:r>
          </w:p>
        </w:tc>
        <w:tc>
          <w:tcPr>
            <w:tcW w:w="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loans represent first lien commercial mortgage loan participations.</w:t>
            </w:r>
          </w:p>
        </w:tc>
      </w:tr>
      <w:tr>
        <w:trPr>
          <w:trHeight w:val="20"/>
        </w:trPr>
        <w:tc>
          <w:tcPr>
            <w:tcW w:w="2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r>
      <w:tr>
        <w:trPr>
          <w:trHeight w:val="225"/>
        </w:trPr>
        <w:tc>
          <w:tcPr>
            <w:tcW w:w="2040" w:type="dxa"/>
            <w:vAlign w:val="bottom"/>
            <w:shd w:val="clear" w:color="auto" w:fill="CCEEFF"/>
          </w:tcPr>
          <w:p>
            <w:pPr>
              <w:ind w:left="240"/>
              <w:spacing w:after="0" w:line="224" w:lineRule="exact"/>
              <w:rPr>
                <w:sz w:val="20"/>
                <w:szCs w:val="20"/>
                <w:color w:val="auto"/>
              </w:rPr>
            </w:pPr>
            <w:r>
              <w:rPr>
                <w:rFonts w:ascii="Times New Roman" w:cs="Times New Roman" w:eastAsia="Times New Roman" w:hAnsi="Times New Roman"/>
                <w:sz w:val="18"/>
                <w:szCs w:val="18"/>
                <w:color w:val="auto"/>
              </w:rPr>
              <w:t>CMBS</w:t>
            </w:r>
            <w:r>
              <w:rPr>
                <w:rFonts w:ascii="Times New Roman" w:cs="Times New Roman" w:eastAsia="Times New Roman" w:hAnsi="Times New Roman"/>
                <w:sz w:val="23"/>
                <w:szCs w:val="23"/>
                <w:color w:val="auto"/>
                <w:vertAlign w:val="superscript"/>
              </w:rPr>
              <w:t>(2)</w:t>
            </w:r>
          </w:p>
        </w:tc>
        <w:tc>
          <w:tcPr>
            <w:tcW w:w="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 Mortgage-Backed Securities ("CMBS") represent fixed-rate and floating-rate CMBS, secured by, or</w:t>
            </w:r>
          </w:p>
        </w:tc>
      </w:tr>
      <w:tr>
        <w:trPr>
          <w:trHeight w:val="234"/>
        </w:trPr>
        <w:tc>
          <w:tcPr>
            <w:tcW w:w="20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evidencing an ownership interest in, a single commercial mortgage loan or a pool of commercial mortgage loans.</w:t>
            </w:r>
          </w:p>
        </w:tc>
      </w:tr>
      <w:tr>
        <w:trPr>
          <w:trHeight w:val="27"/>
        </w:trPr>
        <w:tc>
          <w:tcPr>
            <w:tcW w:w="20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64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ind w:left="660" w:hanging="328"/>
        <w:spacing w:after="0" w:line="282"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investments are included in the "Securitized residential mortgage loans, at fair value" or "Residential mortgage loans, at fair value" line items on the consolidated balance sheets.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96"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investments are included in the "Real estate securities, at fair value" line item on the consolidated balance sheets.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investments include commercial loans and CMBS (collectively, the "Legacy WMC Commercial Investments") that were acquired in connection with the acquisition of Western Asset Mortgage Capital Corporation (“WMC”) on December 6, 2023. The Company expects to either hold the Legacy WMC Commercial Investments until maturity or opportunistically exit these investments.</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conducts its business through two reportable segments: (i) Loans and Securities and (ii) Arc Home. This reflects how the Company manages its business and analyzes and reports its results of operations. Refer to Note 13 for additional details on segment reporting.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was incorporated in the state of Maryland on March 1, 2011 and commenced operations in July 2011. The Company conducts its operations to qualify and be taxed as a real estate investment trust ("REIT") under the Internal Revenue Code of 1986, as amended (the "Code"). The Company is externally managed by AG REIT Management, LLC, a Delaware limited liability company (the "Manager"), a wholly-owned subsidiary of TPG Inc. ("TPG"). The Manager has delegated to Angelo, Gordon &amp; Co., L.P. ("TPG Angelo Gordon"), an affiliate of TPG, the overall responsibility of its day-to-day duties and obligations arising under the management agreement.</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its wholly-owned subsidiaries, and certain variable interest entities. All intercompany balances and transactions have been eliminated in consolidation.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and basis of presentation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and related notes have been prepared on the accrual basis of accounting in accordance with accounting principles generally accepted in the United States of America ("GAAP") for interim financial reporting and the instructions to Form 10-Q and Rule 8-03 of Regulation S-X. In the opinion of management, all adjustments considered necessary for a fair presentation of the Company’s financial position, results of operations, and cash flows have been included for the interim period and are of a normal and recurring nature. The operating results presented for interim periods are not necessarily indicative of the results that may be expected for any other interim period or for the entire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been no significant changes to the Company's accounting policies included in Note 2 to the consolidated financial statements of the Company’s Annual Report on Form 10-K (“Form 10-K”) for the year ended December 31, 2025. These unaudited consolidated financial statements and related notes should be read in conjunction with the consolidated financial statements and related notes for the year ended December 31, 2025 included in the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amounts reported in the consolidated financial statements and accompanying notes. Actual results may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consolidation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the Company has a variable interest in an entity, it is required to determine whether the entity is a variable interest entity ("VIE") or a voting interest entity ("VOE"), the classification of which will determine the consolidation model that the Company is required to follow when determining whether it should consolidate the entity. When an entity does not possess the characteristics of a VIE, the Company will determine whether it has a controlling financial interest and meets the criteria for consolidation under the voting interest entity model.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entity is a VIE if the equity investors (i) do not have sufficient equity at risk for the entity to finance its activities without additional subordinated financial support, (ii) are unable to direct the entity’s activities or (iii) are not exposed to the entity’s losses or entitled to its residual returns. VIEs within the scope of Accounting Standards Codification ("ASC") 810-10,</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"Consolidation" are required to be consolidated by their primary beneficiary. The primary beneficiary of a VIE is determined to be the party that has both the power to direct the activities of a VIE that most significantly impact the VIE’s economic performance and the obligation to absorb losses or the right to receive benefits from the VIE that could potentially be significant to the VIE. This determination can sometimes involve complex and subjective analyses. Further, ASC 810-10 also requires ongoing assessments of whether an enterprise is the primary beneficiary of a VIE. In accordance with ASC 810-10, all transferees, including variable interest entities, must be evaluated for consolidation. If the Company determines that consolidation is not required, it will then assess whether the transfer of the underlying assets would qualify as a sale, should be accounted for as secured financings under GAAP, or should be accounted for as an equity method investment, depending on the circumstances.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Special Purpose Entity ("SPE") is an entity designed to fulfill a specific limited need of the company that organized it. SPEs are often used to facilitate transactions that involve securitizing financial assets. The objective of such transactions may include obtaining non-recourse financing, obtaining liquidity or refinancing the underlying securitized financial assets on improved terms. Securitization involves transferring assets to an SPE to convert all or a portion of those assets into cash before they would have been realized in the normal course of business through the SPE’s issuance of debt or equity instruments. Investors in an SPE usually have recourse only to the assets in the SPE and depending on the overall structure of the transaction, may benefit from various forms of credit enhancement, such as over-collateralization in the form of excess assets in the SPE, priority with respect to receipt of cash flows relative to holders of other debt or equity instruments issued by the SPE, or a line of credit or other form of liquidity agreement that is designed with the objective of ensuring that investors receive principal and/or interest cash flow on the investment in accordance with the terms of their investment agreement.</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enters into securitization transactions collateralized by its Non-Agency Loans/Agency-Eligible Loans, Home Equity Loans, and re- and non-performing loans (the trusts in which these loans are deposited are referred to as "Non-Agency VIEs", "Home Equity VIEs", and "RPL/NPL VIEs", respectively), which may result in the Company consolidating the respective VIEs that are created to facilitate these securitizations. Based on the evaluations of each VIE, the Company may conclude that the VIEs should be consolidated and, as a result, transferred assets of these VIEs would be determined to be secured borrowings. Upon consolidation, the Company elected the fair value option pursuant to ASC 825 for the assets and liabilities of the Non-Agency VIEs, Home Equity VIEs, and RPL/NPL VIEs. Electing the fair value option allows the Company to record changes in fair value in the consolidated statement of operations, which, in management's view, more appropriately reflects the results of operations for a particular reporting period as all activities will be recorded in a similar manner. The Company applied the guidance under ASC 810-10 (Measuring the Financial Assets and the Financial Liabilities of a Consolidated Collateralized Financing Entity) whereby the Company determines whether the fair value of the assets or liabilities of the Non-Agency VIEs, Home Equity VIEs, and RPL/NPL VIEs are more observable as a basis for measuring the less observable financial instruments. The Company has determined that the fair value of the liabilities of the Non-Agency VIEs, Home Equity VIEs, and RPL/NPL VIEs are more observable since the prices for these liabilities are more easily determined as similar instruments trade more frequently on a relative basis than the individual assets of the VIEs. See Note 3 for more detail regarding the Non-Agency VIEs, Home Equity VIEs, and RPL/NPL VIEs.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Transfers of financial assets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may periodically enter into transactions in which it transfers assets to a third-party. Upon a transfer of financial assets, the Company will sometimes retain or acquire senior or subordinated interests in the related assets. Pursuant to ASC 860-10, "Transfers and Servicing", a determination must be made as to whether a transferor has surrendered control over transferred financial assets. That determination must consider the transferor’s continuing involvement in the transferred financial asset, including all arrangements or agreements made contemporaneously with, or in contemplation of, the transfer, even if they were not entered into at the time of the transfer. The financial components approach under ASC 860-10 limits the circumstances in which a financial asset, or portion of a financial asset, should be derecognized when the transferor has not transferred the entire original financial asset to an entity that is not consolidated with the transferor in the financial statements being presented and/or when the transferor has continuing involvement with the transferred financial asset. It defines the term "participating interest" to establish specific conditions for reporting a transfer of a portion of a financial asset as a sale.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ASC 860-10, after a transfer of financial assets that meets the criteria for treatment as a sale—legal isolation, ability of transferee to pledge or exchange the transferred assets without constraint and transferred control—an entity recognizes the financial and servicing assets it acquired or retained and the liabilities it has incurred, derecognizes financial assets it has sold and derecognizes liabilities when extinguished. The transferor would then determine the gain or loss on sale of financial assets by allocating the carrying value of the underlying mortgage between securities or loans sold and the interests retained based on their fair value. The gain or loss on sale is the difference between the cash proceeds from the sale and the amount allocated to</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securities or loans sold. When a transfer of financial assets does not qualify for sale accounting, ASC 860-10 requires the transfer to be accounted for as a secured borrowing with a pledge of collateral.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securitize mortgage loans it holds if such financing is available. These transactions will be recorded in accordance with ASC 860-10 and will be accounted for as either a "sale" and the loans will be removed from the consolidated balance sheets or as a "financing" and will be classified as "Securitized residential mortgage loans, at fair value" on the consolidated balance sheets, depending upon the structure of the securitization transaction. ASC 860-10 is a standard that may require the Company to exercise significant judgment in determining whether a transaction should be recorded as a "sale" or a "financing."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disaggregation</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Expense Disaggregation Disclosures (Subtopic 220- 40)", and in January 2025, the FASB issued ASU 2025-01, "Income Statement - Reporting Comprehensive Income - Expense Disaggregation Disclosures (Subtopic 220-40): Clarifying the Effective Date". This standard requires public companies to disclose additional information about specific expense categories in the notes to financial statements at interim and annual reporting periods. The new standard, as clarified by ASU 2025-01, is effective for annual reporting periods beginning after December 15, 2026, and interim reporting periods beginning after December 15, 2027, with early adoption permitted. The Company is currently evaluating the potential impact upon adoption, but does not expect the adoption of the new standard to have a material effect on its consolidated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Reporting</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which amends the guidance in ASC 270, Interim Reporting. This standard enhances interim disclosure requirements by clarifying the information that must be presented in quarterly periods, including improved transparency regarding significant events, accounting policy updates, and material developments that occur between annual reporting dates. This ASU also aligns certain interim reporting requirements more closely with annual disclosure objectives to promote consistency and comparability. The amendments are effective for interim periods beginning after December 15, 2027, with early adoption permitted. The Company is currently evaluating the potential impact upon adoption, but does not expect the adoption of the new standard to have a material effect on its consolidated financial statements.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mortgage loans</w:t>
      </w:r>
    </w:p>
    <w:p>
      <w:pPr>
        <w:spacing w:after="0" w:line="25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The tables below detail information regarding the Company’s residential mortgage loan portfolio by collateral type as of March 31, 2026 and December 31, 2025 ($ in thousands). The gross unrealized gains/(losses) in the table below represent inception to date gains/(losses) since acquisition.</w:t>
      </w: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Unpaid</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Premium</w:t>
            </w: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00" w:type="dxa"/>
            <w:vAlign w:val="bottom"/>
          </w:tcPr>
          <w:p>
            <w:pPr>
              <w:spacing w:after="0"/>
              <w:rPr>
                <w:sz w:val="12"/>
                <w:szCs w:val="12"/>
                <w:color w:val="auto"/>
              </w:rPr>
            </w:pPr>
          </w:p>
        </w:tc>
        <w:tc>
          <w:tcPr>
            <w:tcW w:w="10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Yield (1)</w:t>
            </w:r>
          </w:p>
        </w:tc>
        <w:tc>
          <w:tcPr>
            <w:tcW w:w="820" w:type="dxa"/>
            <w:vAlign w:val="bottom"/>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198"/>
        </w:trPr>
        <w:tc>
          <w:tcPr>
            <w:tcW w:w="23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1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8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(Years) (2)</w:t>
            </w:r>
          </w:p>
        </w:tc>
        <w:tc>
          <w:tcPr>
            <w:tcW w:w="0" w:type="dxa"/>
            <w:vAlign w:val="bottom"/>
          </w:tcPr>
          <w:p>
            <w:pPr>
              <w:spacing w:after="0"/>
              <w:rPr>
                <w:sz w:val="1"/>
                <w:szCs w:val="1"/>
                <w:color w:val="auto"/>
              </w:rPr>
            </w:pPr>
          </w:p>
        </w:tc>
      </w:tr>
      <w:tr>
        <w:trPr>
          <w:trHeight w:val="188"/>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Securitized residential mortgage loans, at</w:t>
            </w:r>
          </w:p>
        </w:tc>
        <w:tc>
          <w:tcPr>
            <w:tcW w:w="940" w:type="dxa"/>
            <w:vAlign w:val="bottom"/>
            <w:tcBorders>
              <w:top w:val="single" w:sz="8" w:color="auto"/>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fair value (3)</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Non-Agency Loans (4)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6,728,033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59,696</w:t>
            </w:r>
          </w:p>
        </w:tc>
        <w:tc>
          <w:tcPr>
            <w:tcW w:w="12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6,787,729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58,492</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(302,960)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6,543,261</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5.71 %</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Home Equity Loans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798,646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856,797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864,198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7.40 %</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Re- and Non-Performing Loans</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152,632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143,346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(12,057)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131,289</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4.21 %</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6.04 %</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0" w:type="dxa"/>
            <w:vAlign w:val="bottom"/>
          </w:tcPr>
          <w:p>
            <w:pPr>
              <w:spacing w:after="0"/>
              <w:rPr>
                <w:sz w:val="1"/>
                <w:szCs w:val="1"/>
                <w:color w:val="auto"/>
              </w:rPr>
            </w:pPr>
          </w:p>
        </w:tc>
      </w:tr>
      <w:tr>
        <w:trPr>
          <w:trHeight w:val="126"/>
        </w:trPr>
        <w:tc>
          <w:tcPr>
            <w:tcW w:w="23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Total Securitized residential mortgage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7,679,311</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108,561</w:t>
            </w:r>
          </w:p>
        </w:tc>
        <w:tc>
          <w:tcPr>
            <w:tcW w:w="12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7,787,872</w:t>
            </w:r>
          </w:p>
        </w:tc>
        <w:tc>
          <w:tcPr>
            <w:tcW w:w="1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69,440</w:t>
            </w:r>
          </w:p>
        </w:tc>
        <w:tc>
          <w:tcPr>
            <w:tcW w:w="12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(318,564)</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7,538,748</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6.22 %</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5.90 %</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at fair value</w:t>
            </w:r>
          </w:p>
        </w:tc>
        <w:tc>
          <w:tcPr>
            <w:tcW w:w="14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 loans, at fair value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Agency-Eligible 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20,951</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2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21,238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21,487</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6.41 %</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Home Equity Loans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173,207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7.71 %</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Non-Agency Loans</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33,660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34,247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32,893</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4.81 %</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 and Non-Performing Loans</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19"/>
        </w:trPr>
        <w:tc>
          <w:tcPr>
            <w:tcW w:w="238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Total Residential mortgage loans, at fair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222,294</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6,127</w:t>
            </w:r>
          </w:p>
        </w:tc>
        <w:tc>
          <w:tcPr>
            <w:tcW w:w="120" w:type="dxa"/>
            <w:vAlign w:val="bottom"/>
          </w:tcPr>
          <w:p>
            <w:pPr>
              <w:spacing w:after="0"/>
              <w:rPr>
                <w:sz w:val="10"/>
                <w:szCs w:val="10"/>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228,421</w:t>
            </w:r>
          </w:p>
        </w:tc>
        <w:tc>
          <w:tcPr>
            <w:tcW w:w="12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120" w:type="dxa"/>
            <w:vAlign w:val="bottom"/>
          </w:tcPr>
          <w:p>
            <w:pPr>
              <w:spacing w:after="0"/>
              <w:rPr>
                <w:sz w:val="10"/>
                <w:szCs w:val="10"/>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228,524</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8.20 %</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7.48 %</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193"/>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value</w:t>
            </w:r>
          </w:p>
        </w:tc>
        <w:tc>
          <w:tcPr>
            <w:tcW w:w="1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3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 of March 31, 2026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7,901,605</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114,688</w:t>
            </w:r>
          </w:p>
        </w:tc>
        <w:tc>
          <w:tcPr>
            <w:tcW w:w="12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8,016,293</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70,909</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(319,930)</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7,767,272</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6.27 %</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5.94 %</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0" w:type="dxa"/>
            <w:vAlign w:val="bottom"/>
          </w:tcPr>
          <w:p>
            <w:pPr>
              <w:spacing w:after="0"/>
              <w:rPr>
                <w:sz w:val="1"/>
                <w:szCs w:val="1"/>
                <w:color w:val="auto"/>
              </w:rPr>
            </w:pPr>
          </w:p>
        </w:tc>
      </w:tr>
      <w:tr>
        <w:trPr>
          <w:trHeight w:val="409"/>
        </w:trPr>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Unpaid</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Premium</w:t>
            </w: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00" w:type="dxa"/>
            <w:vAlign w:val="bottom"/>
          </w:tcPr>
          <w:p>
            <w:pPr>
              <w:spacing w:after="0"/>
              <w:rPr>
                <w:sz w:val="12"/>
                <w:szCs w:val="12"/>
                <w:color w:val="auto"/>
              </w:rPr>
            </w:pPr>
          </w:p>
        </w:tc>
        <w:tc>
          <w:tcPr>
            <w:tcW w:w="10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Yield (1)</w:t>
            </w:r>
          </w:p>
        </w:tc>
        <w:tc>
          <w:tcPr>
            <w:tcW w:w="820" w:type="dxa"/>
            <w:vAlign w:val="bottom"/>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198"/>
        </w:trPr>
        <w:tc>
          <w:tcPr>
            <w:tcW w:w="23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1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8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(Years) (2)</w:t>
            </w:r>
          </w:p>
        </w:tc>
        <w:tc>
          <w:tcPr>
            <w:tcW w:w="0" w:type="dxa"/>
            <w:vAlign w:val="bottom"/>
          </w:tcPr>
          <w:p>
            <w:pPr>
              <w:spacing w:after="0"/>
              <w:rPr>
                <w:sz w:val="1"/>
                <w:szCs w:val="1"/>
                <w:color w:val="auto"/>
              </w:rPr>
            </w:pPr>
          </w:p>
        </w:tc>
      </w:tr>
      <w:tr>
        <w:trPr>
          <w:trHeight w:val="188"/>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Securitized residential mortgage loans, at</w:t>
            </w:r>
          </w:p>
        </w:tc>
        <w:tc>
          <w:tcPr>
            <w:tcW w:w="940" w:type="dxa"/>
            <w:vAlign w:val="bottom"/>
            <w:tcBorders>
              <w:top w:val="single" w:sz="8" w:color="auto"/>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fair value (3)</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Non-Agency Loans (4)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7,026,365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59,755</w:t>
            </w:r>
          </w:p>
        </w:tc>
        <w:tc>
          <w:tcPr>
            <w:tcW w:w="12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7,086,120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84,870</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(266,118)</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6,904,872</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5.74 %</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Home Equity Loans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874,718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935,959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960,533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7.70 %</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Re- and Non-Performing Loans</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155,984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(9,693)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146,291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(12,077)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134,214</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4.22 %</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5.93 %</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0" w:type="dxa"/>
            <w:vAlign w:val="bottom"/>
          </w:tcPr>
          <w:p>
            <w:pPr>
              <w:spacing w:after="0"/>
              <w:rPr>
                <w:sz w:val="1"/>
                <w:szCs w:val="1"/>
                <w:color w:val="auto"/>
              </w:rPr>
            </w:pPr>
          </w:p>
        </w:tc>
      </w:tr>
      <w:tr>
        <w:trPr>
          <w:trHeight w:val="126"/>
        </w:trPr>
        <w:tc>
          <w:tcPr>
            <w:tcW w:w="23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Total Securitized residential mortgage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8,057,067</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111,303</w:t>
            </w:r>
          </w:p>
        </w:tc>
        <w:tc>
          <w:tcPr>
            <w:tcW w:w="12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8,168,370</w:t>
            </w:r>
          </w:p>
        </w:tc>
        <w:tc>
          <w:tcPr>
            <w:tcW w:w="1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109,444</w:t>
            </w:r>
          </w:p>
        </w:tc>
        <w:tc>
          <w:tcPr>
            <w:tcW w:w="12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(278,195)</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7,999,619</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6.27 %</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5.97 %</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at fair value</w:t>
            </w:r>
          </w:p>
        </w:tc>
        <w:tc>
          <w:tcPr>
            <w:tcW w:w="14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 loans, at fair value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Agency-Eligible 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2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21,149</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6.34 %</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Home Equity Loans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142,339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7.77 %</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Non-Agency Loans</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36,578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35,108</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3.62 %</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 and Non-Performing Loans</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19"/>
        </w:trPr>
        <w:tc>
          <w:tcPr>
            <w:tcW w:w="238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Total Residential mortgage loans, at fair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194,046</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6,181</w:t>
            </w:r>
          </w:p>
        </w:tc>
        <w:tc>
          <w:tcPr>
            <w:tcW w:w="120" w:type="dxa"/>
            <w:vAlign w:val="bottom"/>
          </w:tcPr>
          <w:p>
            <w:pPr>
              <w:spacing w:after="0"/>
              <w:rPr>
                <w:sz w:val="10"/>
                <w:szCs w:val="10"/>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200,227</w:t>
            </w:r>
          </w:p>
        </w:tc>
        <w:tc>
          <w:tcPr>
            <w:tcW w:w="12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120" w:type="dxa"/>
            <w:vAlign w:val="bottom"/>
          </w:tcPr>
          <w:p>
            <w:pPr>
              <w:spacing w:after="0"/>
              <w:rPr>
                <w:sz w:val="10"/>
                <w:szCs w:val="10"/>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(2,167)</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199,677</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8.27 %</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7.22 %</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193"/>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value</w:t>
            </w:r>
          </w:p>
        </w:tc>
        <w:tc>
          <w:tcPr>
            <w:tcW w:w="1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3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 of December 31,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8,251,113</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117,484</w:t>
            </w:r>
          </w:p>
        </w:tc>
        <w:tc>
          <w:tcPr>
            <w:tcW w:w="12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8,368,597</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111,061</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(280,362)</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8,199,296</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6.32 %</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7"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yields are calculated based on the amortized cost of the underlying loans.</w:t>
      </w:r>
    </w:p>
    <w:p>
      <w:pPr>
        <w:spacing w:after="0" w:line="11" w:lineRule="exact"/>
        <w:rPr>
          <w:rFonts w:ascii="Times New Roman" w:cs="Times New Roman" w:eastAsia="Times New Roman" w:hAnsi="Times New Roman"/>
          <w:sz w:val="14"/>
          <w:szCs w:val="14"/>
          <w:color w:val="auto"/>
        </w:rPr>
      </w:pPr>
    </w:p>
    <w:p>
      <w:pPr>
        <w:ind w:left="660" w:hanging="328"/>
        <w:spacing w:after="0" w:line="261" w:lineRule="auto"/>
        <w:tabs>
          <w:tab w:leader="none" w:pos="65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is based on projected life. Typically, actual maturities are shorter than stated contractual maturities. Maturities are affected by the lives of the underlying mortgage loans, periodic payments of principal, and prepayments of principal.</w:t>
      </w:r>
    </w:p>
    <w:p>
      <w:pPr>
        <w:ind w:left="640" w:hanging="30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the "Variable interest entities" section below for additional details related to the assets and liabilities of VIEs consolidated on the Company's consolidated balance sheets.</w:t>
      </w:r>
    </w:p>
    <w:p>
      <w:pPr>
        <w:spacing w:after="0" w:line="14"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Securitized Non-Agency Loans include loans that were considered to be Agency-Eligible prior to the Company's securitization.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regarding the delinquency status of the Company's residential mortgage loans ($ in thousands).</w:t>
      </w:r>
    </w:p>
    <w:p>
      <w:pPr>
        <w:spacing w:after="0" w:line="57"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12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Unpaid Principal</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Aging by Unpaid Principal Balance (1)</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40" w:type="dxa"/>
            <w:vAlign w:val="bottom"/>
            <w:gridSpan w:val="3"/>
            <w:vMerge w:val="continue"/>
          </w:tcPr>
          <w:p>
            <w:pPr>
              <w:spacing w:after="0"/>
              <w:rPr>
                <w:sz w:val="2"/>
                <w:szCs w:val="2"/>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Loan Count (1)</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1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180" w:type="dxa"/>
            <w:vAlign w:val="bottom"/>
          </w:tcPr>
          <w:p>
            <w:pPr>
              <w:spacing w:after="0"/>
              <w:rPr>
                <w:sz w:val="16"/>
                <w:szCs w:val="16"/>
                <w:color w:val="auto"/>
              </w:rPr>
            </w:pPr>
          </w:p>
        </w:tc>
        <w:tc>
          <w:tcPr>
            <w:tcW w:w="11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90+ Days (2)</w:t>
            </w:r>
          </w:p>
        </w:tc>
        <w:tc>
          <w:tcPr>
            <w:tcW w:w="0" w:type="dxa"/>
            <w:vAlign w:val="bottom"/>
          </w:tcPr>
          <w:p>
            <w:pPr>
              <w:spacing w:after="0"/>
              <w:rPr>
                <w:sz w:val="1"/>
                <w:szCs w:val="1"/>
                <w:color w:val="auto"/>
              </w:rPr>
            </w:pPr>
          </w:p>
        </w:tc>
      </w:tr>
      <w:tr>
        <w:trPr>
          <w:trHeight w:val="188"/>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Securitized residential mortgage loans</w:t>
            </w: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Non-Agency Loans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6,728,033</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17,787</w:t>
            </w:r>
          </w:p>
        </w:tc>
        <w:tc>
          <w:tcPr>
            <w:tcW w:w="8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6,527,852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87,383</w:t>
            </w:r>
          </w:p>
        </w:tc>
        <w:tc>
          <w:tcPr>
            <w:tcW w:w="8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38,094</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74,704</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Home Equity Loans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798,646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790,746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2,957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3,932</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Re- and Non-Performing Loans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152,632</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124,533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11,410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3,443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13,246</w:t>
            </w: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Securitized residential mortgage loans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7,679,311</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28,686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7,443,131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101,750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42,548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91,882</w:t>
            </w:r>
          </w:p>
        </w:tc>
        <w:tc>
          <w:tcPr>
            <w:tcW w:w="0" w:type="dxa"/>
            <w:vAlign w:val="bottom"/>
          </w:tcPr>
          <w:p>
            <w:pPr>
              <w:spacing w:after="0"/>
              <w:rPr>
                <w:sz w:val="1"/>
                <w:szCs w:val="1"/>
                <w:color w:val="auto"/>
              </w:rPr>
            </w:pPr>
          </w:p>
        </w:tc>
      </w:tr>
      <w:tr>
        <w:trPr>
          <w:trHeight w:val="196"/>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mortgage loans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Agency-Eligible Loans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20,497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Home Equity Loans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166,703</w:t>
            </w:r>
          </w:p>
        </w:tc>
        <w:tc>
          <w:tcPr>
            <w:tcW w:w="10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1,677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166,334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Non-Agency Loans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33,660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17,538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12,977</w:t>
            </w:r>
          </w:p>
        </w:tc>
        <w:tc>
          <w:tcPr>
            <w:tcW w:w="0" w:type="dxa"/>
            <w:vAlign w:val="bottom"/>
          </w:tcPr>
          <w:p>
            <w:pPr>
              <w:spacing w:after="0"/>
              <w:rPr>
                <w:sz w:val="1"/>
                <w:szCs w:val="1"/>
                <w:color w:val="auto"/>
              </w:rPr>
            </w:pPr>
          </w:p>
        </w:tc>
      </w:tr>
      <w:tr>
        <w:trPr>
          <w:trHeight w:val="196"/>
        </w:trPr>
        <w:tc>
          <w:tcPr>
            <w:tcW w:w="3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 and Non-Performing Loans (1)</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100" w:type="dxa"/>
            <w:vAlign w:val="bottom"/>
          </w:tcPr>
          <w:p>
            <w:pPr>
              <w:spacing w:after="0"/>
              <w:rPr>
                <w:sz w:val="17"/>
                <w:szCs w:val="17"/>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7"/>
                <w:szCs w:val="17"/>
                <w:color w:val="auto"/>
              </w:rPr>
            </w:pPr>
          </w:p>
        </w:tc>
        <w:tc>
          <w:tcPr>
            <w:tcW w:w="11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7"/>
                <w:szCs w:val="17"/>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Pr>
          <w:p>
            <w:pPr>
              <w:spacing w:after="0"/>
              <w:rPr>
                <w:sz w:val="17"/>
                <w:szCs w:val="17"/>
                <w:color w:val="auto"/>
              </w:rPr>
            </w:pPr>
          </w:p>
        </w:tc>
        <w:tc>
          <w:tcPr>
            <w:tcW w:w="116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N/A</w:t>
            </w:r>
          </w:p>
        </w:tc>
        <w:tc>
          <w:tcPr>
            <w:tcW w:w="18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0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Residential mortgage loans</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222,294</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1,765</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204,369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2,337</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1,600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13,008</w:t>
            </w:r>
          </w:p>
        </w:tc>
        <w:tc>
          <w:tcPr>
            <w:tcW w:w="0" w:type="dxa"/>
            <w:vAlign w:val="bottom"/>
          </w:tcPr>
          <w:p>
            <w:pPr>
              <w:spacing w:after="0"/>
              <w:rPr>
                <w:sz w:val="1"/>
                <w:szCs w:val="1"/>
                <w:color w:val="auto"/>
              </w:rPr>
            </w:pPr>
          </w:p>
        </w:tc>
      </w:tr>
      <w:tr>
        <w:trPr>
          <w:trHeight w:val="189"/>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 of March 31, 2026</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7,901,605</w:t>
            </w:r>
          </w:p>
        </w:tc>
        <w:tc>
          <w:tcPr>
            <w:tcW w:w="10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30,451</w:t>
            </w:r>
          </w:p>
        </w:tc>
        <w:tc>
          <w:tcPr>
            <w:tcW w:w="8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7,647,500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104,087</w:t>
            </w:r>
          </w:p>
        </w:tc>
        <w:tc>
          <w:tcPr>
            <w:tcW w:w="8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44,148</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104,890</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Percent of Unpaid Principal Balance (1)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bl>
    <w:p>
      <w:pPr>
        <w:spacing w:after="0" w:line="218"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12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Unpaid Principal</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Aging by Unpaid Principal Balance (1)</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40" w:type="dxa"/>
            <w:vAlign w:val="bottom"/>
            <w:gridSpan w:val="3"/>
            <w:vMerge w:val="continue"/>
          </w:tcPr>
          <w:p>
            <w:pPr>
              <w:spacing w:after="0"/>
              <w:rPr>
                <w:sz w:val="2"/>
                <w:szCs w:val="2"/>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Loan Count (1)</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1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180" w:type="dxa"/>
            <w:vAlign w:val="bottom"/>
          </w:tcPr>
          <w:p>
            <w:pPr>
              <w:spacing w:after="0"/>
              <w:rPr>
                <w:sz w:val="16"/>
                <w:szCs w:val="16"/>
                <w:color w:val="auto"/>
              </w:rPr>
            </w:pPr>
          </w:p>
        </w:tc>
        <w:tc>
          <w:tcPr>
            <w:tcW w:w="11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90+ Days (2)</w:t>
            </w:r>
          </w:p>
        </w:tc>
        <w:tc>
          <w:tcPr>
            <w:tcW w:w="0" w:type="dxa"/>
            <w:vAlign w:val="bottom"/>
          </w:tcPr>
          <w:p>
            <w:pPr>
              <w:spacing w:after="0"/>
              <w:rPr>
                <w:sz w:val="1"/>
                <w:szCs w:val="1"/>
                <w:color w:val="auto"/>
              </w:rPr>
            </w:pPr>
          </w:p>
        </w:tc>
      </w:tr>
      <w:tr>
        <w:trPr>
          <w:trHeight w:val="188"/>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Securitized residential mortgage loans</w:t>
            </w: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Non-Agency Loans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7,026,365</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18,430</w:t>
            </w:r>
          </w:p>
        </w:tc>
        <w:tc>
          <w:tcPr>
            <w:tcW w:w="8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6,833,324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76,326</w:t>
            </w:r>
          </w:p>
        </w:tc>
        <w:tc>
          <w:tcPr>
            <w:tcW w:w="8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32,323</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84,392</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Home Equity Loans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874,718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869,432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2,963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489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1,834</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Re- and Non-Performing Loans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155,984</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123,901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14,730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5,247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12,106</w:t>
            </w: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Securitized residential mortgage loans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8,057,067</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30,102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7,826,657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94,019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38,059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98,332</w:t>
            </w:r>
          </w:p>
        </w:tc>
        <w:tc>
          <w:tcPr>
            <w:tcW w:w="0" w:type="dxa"/>
            <w:vAlign w:val="bottom"/>
          </w:tcPr>
          <w:p>
            <w:pPr>
              <w:spacing w:after="0"/>
              <w:rPr>
                <w:sz w:val="1"/>
                <w:szCs w:val="1"/>
                <w:color w:val="auto"/>
              </w:rPr>
            </w:pPr>
          </w:p>
        </w:tc>
      </w:tr>
      <w:tr>
        <w:trPr>
          <w:trHeight w:val="196"/>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mortgage loans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Agency-Eligible Loans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19,825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Home Equity Loans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135,804</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135,773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Non-Agency Loans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36,578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16,468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17,554</w:t>
            </w:r>
          </w:p>
        </w:tc>
        <w:tc>
          <w:tcPr>
            <w:tcW w:w="0" w:type="dxa"/>
            <w:vAlign w:val="bottom"/>
          </w:tcPr>
          <w:p>
            <w:pPr>
              <w:spacing w:after="0"/>
              <w:rPr>
                <w:sz w:val="1"/>
                <w:szCs w:val="1"/>
                <w:color w:val="auto"/>
              </w:rPr>
            </w:pPr>
          </w:p>
        </w:tc>
      </w:tr>
      <w:tr>
        <w:trPr>
          <w:trHeight w:val="196"/>
        </w:trPr>
        <w:tc>
          <w:tcPr>
            <w:tcW w:w="3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 and Non-Performing Loans (1)</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00" w:type="dxa"/>
            <w:vAlign w:val="bottom"/>
          </w:tcPr>
          <w:p>
            <w:pPr>
              <w:spacing w:after="0"/>
              <w:rPr>
                <w:sz w:val="17"/>
                <w:szCs w:val="17"/>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7"/>
                <w:szCs w:val="17"/>
                <w:color w:val="auto"/>
              </w:rPr>
            </w:pPr>
          </w:p>
        </w:tc>
        <w:tc>
          <w:tcPr>
            <w:tcW w:w="11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7"/>
                <w:szCs w:val="17"/>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Pr>
          <w:p>
            <w:pPr>
              <w:spacing w:after="0"/>
              <w:rPr>
                <w:sz w:val="17"/>
                <w:szCs w:val="17"/>
                <w:color w:val="auto"/>
              </w:rPr>
            </w:pPr>
          </w:p>
        </w:tc>
        <w:tc>
          <w:tcPr>
            <w:tcW w:w="116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N/A</w:t>
            </w:r>
          </w:p>
        </w:tc>
        <w:tc>
          <w:tcPr>
            <w:tcW w:w="18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0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Residential mortgage loans</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194,046</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1,459</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172,066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2,143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1,112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17,585</w:t>
            </w:r>
          </w:p>
        </w:tc>
        <w:tc>
          <w:tcPr>
            <w:tcW w:w="0" w:type="dxa"/>
            <w:vAlign w:val="bottom"/>
          </w:tcPr>
          <w:p>
            <w:pPr>
              <w:spacing w:after="0"/>
              <w:rPr>
                <w:sz w:val="1"/>
                <w:szCs w:val="1"/>
                <w:color w:val="auto"/>
              </w:rPr>
            </w:pPr>
          </w:p>
        </w:tc>
      </w:tr>
      <w:tr>
        <w:trPr>
          <w:trHeight w:val="189"/>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 of December 31, 2025</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8,251,113</w:t>
            </w:r>
          </w:p>
        </w:tc>
        <w:tc>
          <w:tcPr>
            <w:tcW w:w="10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31,561</w:t>
            </w:r>
          </w:p>
        </w:tc>
        <w:tc>
          <w:tcPr>
            <w:tcW w:w="8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7,998,723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96,162</w:t>
            </w:r>
          </w:p>
        </w:tc>
        <w:tc>
          <w:tcPr>
            <w:tcW w:w="8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39,171</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115,917</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Percent of Unpaid Principal Balance (1)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60" w:right="20" w:hanging="328"/>
        <w:spacing w:after="0" w:line="261" w:lineRule="auto"/>
        <w:tabs>
          <w:tab w:leader="none" w:pos="65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count and aging data exclude the Re- and Non-Performing Loans subcategory of Residential mortgage loans above as there may be limited data available regarding the underlying collateral of these residual positions.</w:t>
      </w:r>
    </w:p>
    <w:p>
      <w:pPr>
        <w:jc w:val="both"/>
        <w:ind w:left="660" w:hanging="328"/>
        <w:spacing w:after="0" w:line="248" w:lineRule="auto"/>
        <w:tabs>
          <w:tab w:leader="none" w:pos="65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loans that either have a delinquency status greater than 90 days or are in the process of foreclosure. As of March 31, 2026, the $104.9 million of unpaid principal balance included securitized residential mortgage loans and residential mortgage loans that were 90+ days delinquent with a fair value of $41.9 million and loans in the process of foreclosure with a fair value of $58.3 million. As of December 31, 2025, the $115.9 million of unpaid principal balance included securitized residential mortgage loans and residential mortgage loans that were 90+ days delinquent with a fair value of $54.0 million and loans in the process of foreclosure with a fair value of $57.1 million.</w:t>
      </w: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6.2% and 6.4%, respectively, of the unpaid principal balance of the Company's securitized residential mortgage loans and residential mortgage loans were adjustable rate mortgages.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the Company purchased residential mortgage loans, as detailed below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211"/>
        </w:trPr>
        <w:tc>
          <w:tcPr>
            <w:tcW w:w="2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500" w:type="dxa"/>
            <w:vAlign w:val="bottom"/>
            <w:tcBorders>
              <w:bottom w:val="single" w:sz="8" w:color="auto"/>
            </w:tcBorders>
          </w:tcPr>
          <w:p>
            <w:pPr>
              <w:spacing w:after="0"/>
              <w:rPr>
                <w:sz w:val="18"/>
                <w:szCs w:val="18"/>
                <w:color w:val="auto"/>
              </w:rPr>
            </w:pPr>
          </w:p>
        </w:tc>
      </w:tr>
      <w:tr>
        <w:trPr>
          <w:trHeight w:val="209"/>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Unpaid Principal Balance</w:t>
            </w:r>
          </w:p>
        </w:tc>
        <w:tc>
          <w:tcPr>
            <w:tcW w:w="520" w:type="dxa"/>
            <w:vAlign w:val="bottom"/>
          </w:tcPr>
          <w:p>
            <w:pPr>
              <w:spacing w:after="0"/>
              <w:rPr>
                <w:sz w:val="18"/>
                <w:szCs w:val="18"/>
                <w:color w:val="auto"/>
              </w:rPr>
            </w:pPr>
          </w:p>
        </w:tc>
        <w:tc>
          <w:tcPr>
            <w:tcW w:w="14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7"/>
              </w:rPr>
              <w:t>Fair Value (1)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Unpaid Principal Balance</w:t>
            </w:r>
          </w:p>
        </w:tc>
        <w:tc>
          <w:tcPr>
            <w:tcW w:w="520" w:type="dxa"/>
            <w:vAlign w:val="bottom"/>
          </w:tcPr>
          <w:p>
            <w:pPr>
              <w:spacing w:after="0"/>
              <w:rPr>
                <w:sz w:val="18"/>
                <w:szCs w:val="18"/>
                <w:color w:val="auto"/>
              </w:rPr>
            </w:pPr>
          </w:p>
        </w:tc>
        <w:tc>
          <w:tcPr>
            <w:tcW w:w="15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9"/>
              </w:rPr>
              <w:t>Fair Value (1)</w:t>
            </w:r>
          </w:p>
        </w:tc>
      </w:tr>
      <w:tr>
        <w:trPr>
          <w:trHeight w:val="211"/>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Agency-Eligible Loans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361,538</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366,768</w:t>
            </w:r>
          </w:p>
        </w:tc>
      </w:tr>
      <w:tr>
        <w:trPr>
          <w:trHeight w:val="213"/>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Home Equity Loans</w:t>
            </w: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83,491</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86,383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123,276</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128,240</w:t>
            </w:r>
          </w:p>
        </w:tc>
      </w:tr>
      <w:tr>
        <w:trPr>
          <w:trHeight w:val="212"/>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83,966</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484,814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495,008</w:t>
            </w:r>
          </w:p>
        </w:tc>
      </w:tr>
    </w:tbl>
    <w:p>
      <w:pPr>
        <w:spacing w:after="0" w:line="8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6"/>
          <w:szCs w:val="16"/>
          <w:color w:val="auto"/>
        </w:rPr>
        <w:t>(1)</w:t>
        <w:tab/>
        <w:t>Fair value represents purchase price at acquisition.</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the Company sold residential mortgage loans as detailed below ($ in thousands).</w:t>
      </w:r>
    </w:p>
    <w:p>
      <w:pPr>
        <w:spacing w:after="0" w:line="52" w:lineRule="exact"/>
        <w:rPr>
          <w:sz w:val="20"/>
          <w:szCs w:val="20"/>
          <w:color w:val="auto"/>
        </w:rPr>
      </w:pPr>
    </w:p>
    <w:tbl>
      <w:tblPr>
        <w:tblLayout w:type="fixed"/>
        <w:tblInd w:w="1620" w:type="dxa"/>
        <w:tblCellMar>
          <w:top w:w="0" w:type="dxa"/>
          <w:left w:w="0" w:type="dxa"/>
          <w:bottom w:w="0" w:type="dxa"/>
          <w:right w:w="0" w:type="dxa"/>
        </w:tblCellMar>
      </w:tblPr>
      <w:tr>
        <w:trPr>
          <w:trHeight w:val="215"/>
        </w:trPr>
        <w:tc>
          <w:tcPr>
            <w:tcW w:w="34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460" w:type="dxa"/>
            <w:vAlign w:val="bottom"/>
          </w:tcPr>
          <w:p>
            <w:pPr>
              <w:spacing w:after="0"/>
              <w:rPr>
                <w:sz w:val="13"/>
                <w:szCs w:val="13"/>
                <w:color w:val="auto"/>
              </w:rPr>
            </w:pPr>
          </w:p>
        </w:tc>
        <w:tc>
          <w:tcPr>
            <w:tcW w:w="112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6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Proceeds</w:t>
            </w: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Realized Gains</w:t>
            </w:r>
          </w:p>
        </w:tc>
        <w:tc>
          <w:tcPr>
            <w:tcW w:w="180" w:type="dxa"/>
            <w:vAlign w:val="bottom"/>
          </w:tcPr>
          <w:p>
            <w:pPr>
              <w:spacing w:after="0"/>
              <w:rPr>
                <w:sz w:val="13"/>
                <w:szCs w:val="13"/>
                <w:color w:val="auto"/>
              </w:rPr>
            </w:pPr>
          </w:p>
        </w:tc>
        <w:tc>
          <w:tcPr>
            <w:tcW w:w="900" w:type="dxa"/>
            <w:vAlign w:val="bottom"/>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Realized</w:t>
            </w:r>
          </w:p>
        </w:tc>
        <w:tc>
          <w:tcPr>
            <w:tcW w:w="0" w:type="dxa"/>
            <w:vAlign w:val="bottom"/>
          </w:tcPr>
          <w:p>
            <w:pPr>
              <w:spacing w:after="0"/>
              <w:rPr>
                <w:sz w:val="1"/>
                <w:szCs w:val="1"/>
                <w:color w:val="auto"/>
              </w:rPr>
            </w:pPr>
          </w:p>
        </w:tc>
      </w:tr>
      <w:tr>
        <w:trPr>
          <w:trHeight w:val="214"/>
        </w:trPr>
        <w:tc>
          <w:tcPr>
            <w:tcW w:w="346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198"/>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Home Equity Loans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49,375</w:t>
            </w:r>
          </w:p>
        </w:tc>
        <w:tc>
          <w:tcPr>
            <w:tcW w:w="8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73"/>
        </w:trPr>
        <w:tc>
          <w:tcPr>
            <w:tcW w:w="3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Non-Agency Loans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0" w:type="dxa"/>
            <w:vAlign w:val="bottom"/>
          </w:tcPr>
          <w:p>
            <w:pPr>
              <w:spacing w:after="0"/>
              <w:rPr>
                <w:sz w:val="1"/>
                <w:szCs w:val="1"/>
                <w:color w:val="auto"/>
              </w:rPr>
            </w:pPr>
          </w:p>
        </w:tc>
      </w:tr>
      <w:tr>
        <w:trPr>
          <w:trHeight w:val="213"/>
        </w:trPr>
        <w:tc>
          <w:tcPr>
            <w:tcW w:w="3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Re- and Non-Performing Loans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residential mortgage loan portfolio consists of mortgage loans on residential real estate located throughout the United States. The following is a summary of the geographic concentration of credit risk as of March 31, 2026 and December 31, 2025 and includes states where the exposure is greater than 5% of the fair value of the Company's residential mortgage loan portfolio.</w:t>
      </w:r>
    </w:p>
    <w:p>
      <w:pPr>
        <w:spacing w:after="0" w:line="3" w:lineRule="exact"/>
        <w:rPr>
          <w:sz w:val="20"/>
          <w:szCs w:val="20"/>
          <w:color w:val="auto"/>
        </w:rPr>
      </w:pPr>
    </w:p>
    <w:tbl>
      <w:tblPr>
        <w:tblLayout w:type="fixed"/>
        <w:tblInd w:w="1200" w:type="dxa"/>
        <w:tblCellMar>
          <w:top w:w="0" w:type="dxa"/>
          <w:left w:w="0" w:type="dxa"/>
          <w:bottom w:w="0" w:type="dxa"/>
          <w:right w:w="0" w:type="dxa"/>
        </w:tblCellMar>
      </w:tblPr>
      <w:tr>
        <w:trPr>
          <w:trHeight w:val="215"/>
        </w:trPr>
        <w:tc>
          <w:tcPr>
            <w:tcW w:w="4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Geographic Concentration of Credit Risk (1)</w:t>
            </w:r>
          </w:p>
        </w:tc>
        <w:tc>
          <w:tcPr>
            <w:tcW w:w="232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43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California</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13"/>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Florida</w:t>
            </w: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New York</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13"/>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Texas</w:t>
            </w: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r>
    </w:tbl>
    <w:p>
      <w:pPr>
        <w:spacing w:after="0" w:line="81" w:lineRule="exact"/>
        <w:rPr>
          <w:sz w:val="20"/>
          <w:szCs w:val="20"/>
          <w:color w:val="auto"/>
        </w:rPr>
      </w:pPr>
    </w:p>
    <w:p>
      <w:pPr>
        <w:ind w:left="660" w:right="20" w:hanging="328"/>
        <w:spacing w:after="0" w:line="298"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the Re- and Non-Performing Loans subcategory of Residential mortgage loans above as there may be limited data available regarding the underlying collateral of these residual positions.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securitization transactions collateralized by its Non-Agency Loans/Agency-Eligible Loans, Home Equity Loans, and re- and non-performing loans, of which the securitization trusts are considered VIEs. The Company was determined to be the primary beneficiary of the VIEs and, as a result, consolidated the assets and liabilities of the VIEs on its consolidated balance sheets. In a securitization transaction, a pool of loans is transferred to a wholly-owned subsidiary of the Company and the loans are deposited into a newly created securitization trust. The securitization trust issues various classes of mortgage pass-through certificates backed by the cash flows from the underlying residential mortgage loans (the "Certificates"). As the sponsor of the securitization, the Company retains certain Certificates issued by the securitization trusts in order to satisfy risk retention rules, which generally require the sponsor to retain at least 5% of the fair value of the Certificates issued in the securitization. The Company's continuing involvement in these securitization trusts represents its retained Certificates and the ability to purchase all of the outstanding Certificates upon the occurrence of certain events through an optional redemption right held by the Company. The Company has also engaged a related party of the Manager and subsidiary of TPG to act as the servicing administrator of certain securitization trusts.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following table details the carrying value related to the assets and liabilities of the Company’s consolidated VIEs as of March 31, 2026 and December 31, 2025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Non-Agency VIEs</w:t>
            </w:r>
          </w:p>
        </w:tc>
        <w:tc>
          <w:tcPr>
            <w:tcW w:w="140" w:type="dxa"/>
            <w:vAlign w:val="bottom"/>
          </w:tcPr>
          <w:p>
            <w:pPr>
              <w:spacing w:after="0"/>
              <w:rPr>
                <w:sz w:val="18"/>
                <w:szCs w:val="18"/>
                <w:color w:val="auto"/>
              </w:rPr>
            </w:pPr>
          </w:p>
        </w:tc>
        <w:tc>
          <w:tcPr>
            <w:tcW w:w="21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Home Equity VIEs</w:t>
            </w:r>
          </w:p>
        </w:tc>
        <w:tc>
          <w:tcPr>
            <w:tcW w:w="140" w:type="dxa"/>
            <w:vAlign w:val="bottom"/>
          </w:tcPr>
          <w:p>
            <w:pPr>
              <w:spacing w:after="0"/>
              <w:rPr>
                <w:sz w:val="18"/>
                <w:szCs w:val="18"/>
                <w:color w:val="auto"/>
              </w:rPr>
            </w:pPr>
          </w:p>
        </w:tc>
        <w:tc>
          <w:tcPr>
            <w:tcW w:w="212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RPL/NPL VIEs</w:t>
            </w:r>
          </w:p>
        </w:tc>
        <w:tc>
          <w:tcPr>
            <w:tcW w:w="1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 VIEs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040" w:type="dxa"/>
            <w:vAlign w:val="bottom"/>
            <w:tcBorders>
              <w:top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040" w:type="dxa"/>
            <w:vAlign w:val="bottom"/>
            <w:tcBorders>
              <w:top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040" w:type="dxa"/>
            <w:vAlign w:val="bottom"/>
            <w:tcBorders>
              <w:top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040" w:type="dxa"/>
            <w:vAlign w:val="bottom"/>
            <w:tcBorders>
              <w:top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2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2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Securitized residential mortgage</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6,543,261</w:t>
            </w:r>
          </w:p>
        </w:tc>
        <w:tc>
          <w:tcPr>
            <w:tcW w:w="8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6,904,872</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864,198</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960,533</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131,289</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134,214</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7,538,748</w:t>
            </w:r>
          </w:p>
        </w:tc>
        <w:tc>
          <w:tcPr>
            <w:tcW w:w="100" w:type="dxa"/>
            <w:vAlign w:val="bottom"/>
          </w:tcPr>
          <w:p>
            <w:pPr>
              <w:spacing w:after="0"/>
              <w:rPr>
                <w:sz w:val="14"/>
                <w:szCs w:val="14"/>
                <w:color w:val="auto"/>
              </w:rPr>
            </w:pPr>
          </w:p>
        </w:tc>
        <w:tc>
          <w:tcPr>
            <w:tcW w:w="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7,999,619</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at fair value (1)</w:t>
            </w:r>
          </w:p>
        </w:tc>
        <w:tc>
          <w:tcPr>
            <w:tcW w:w="1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0" w:type="dxa"/>
            <w:vAlign w:val="bottom"/>
          </w:tcPr>
          <w:p>
            <w:pPr>
              <w:spacing w:after="0"/>
              <w:rPr>
                <w:sz w:val="1"/>
                <w:szCs w:val="1"/>
                <w:color w:val="auto"/>
              </w:rPr>
            </w:pPr>
          </w:p>
        </w:tc>
      </w:tr>
      <w:tr>
        <w:trPr>
          <w:trHeight w:val="213"/>
        </w:trPr>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35,521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37,711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48,210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51,356</w:t>
            </w:r>
          </w:p>
        </w:tc>
        <w:tc>
          <w:tcPr>
            <w:tcW w:w="0" w:type="dxa"/>
            <w:vAlign w:val="bottom"/>
          </w:tcPr>
          <w:p>
            <w:pPr>
              <w:spacing w:after="0"/>
              <w:rPr>
                <w:sz w:val="1"/>
                <w:szCs w:val="1"/>
                <w:color w:val="auto"/>
              </w:rPr>
            </w:pPr>
          </w:p>
        </w:tc>
      </w:tr>
      <w:tr>
        <w:trPr>
          <w:trHeight w:val="212"/>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6,578,794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6,942,583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872,615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969,716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7,588,035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8,052,042</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Securitized debt, at fair value (1)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5,922,951</w:t>
            </w:r>
          </w:p>
        </w:tc>
        <w:tc>
          <w:tcPr>
            <w:tcW w:w="8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6,265,540</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735,458</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817,889</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91,299</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94,494</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6,749,708</w:t>
            </w:r>
          </w:p>
        </w:tc>
        <w:tc>
          <w:tcPr>
            <w:tcW w:w="100" w:type="dxa"/>
            <w:vAlign w:val="bottom"/>
          </w:tcPr>
          <w:p>
            <w:pPr>
              <w:spacing w:after="0"/>
              <w:rPr>
                <w:sz w:val="14"/>
                <w:szCs w:val="14"/>
                <w:color w:val="auto"/>
              </w:rPr>
            </w:pPr>
          </w:p>
        </w:tc>
        <w:tc>
          <w:tcPr>
            <w:tcW w:w="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7,177,923</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30,900</w:t>
            </w:r>
          </w:p>
        </w:tc>
        <w:tc>
          <w:tcPr>
            <w:tcW w:w="0" w:type="dxa"/>
            <w:vAlign w:val="bottom"/>
          </w:tcPr>
          <w:p>
            <w:pPr>
              <w:spacing w:after="0"/>
              <w:rPr>
                <w:sz w:val="1"/>
                <w:szCs w:val="1"/>
                <w:color w:val="auto"/>
              </w:rPr>
            </w:pPr>
          </w:p>
        </w:tc>
      </w:tr>
      <w:tr>
        <w:trPr>
          <w:trHeight w:val="207"/>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5,948,201</w:t>
            </w:r>
          </w:p>
        </w:tc>
        <w:tc>
          <w:tcPr>
            <w:tcW w:w="8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6,291,669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739,565</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822,386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91,565</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94,768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6,779,331</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7,208,823</w:t>
            </w:r>
          </w:p>
        </w:tc>
        <w:tc>
          <w:tcPr>
            <w:tcW w:w="0" w:type="dxa"/>
            <w:vAlign w:val="bottom"/>
          </w:tcPr>
          <w:p>
            <w:pPr>
              <w:spacing w:after="0"/>
              <w:rPr>
                <w:sz w:val="1"/>
                <w:szCs w:val="1"/>
                <w:color w:val="auto"/>
              </w:rPr>
            </w:pPr>
          </w:p>
        </w:tc>
      </w:tr>
      <w:tr>
        <w:trPr>
          <w:trHeight w:val="151"/>
        </w:trPr>
        <w:tc>
          <w:tcPr>
            <w:tcW w:w="22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 (3)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630,593</w:t>
            </w:r>
          </w:p>
        </w:tc>
        <w:tc>
          <w:tcPr>
            <w:tcW w:w="8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650,914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133,050</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147,330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45,061</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44,975</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808,704</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843,219</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Securitized residential mortgage loans in Non-Agency VIEs include loans that were considered to be Agency-Eligible prior to the Company's securitization.</w:t>
      </w:r>
    </w:p>
    <w:p>
      <w:pPr>
        <w:spacing w:after="0" w:line="23" w:lineRule="exact"/>
        <w:rPr>
          <w:rFonts w:ascii="Times New Roman" w:cs="Times New Roman" w:eastAsia="Times New Roman" w:hAnsi="Times New Roman"/>
          <w:sz w:val="16"/>
          <w:szCs w:val="16"/>
          <w:color w:val="auto"/>
        </w:rPr>
      </w:pPr>
    </w:p>
    <w:p>
      <w:pPr>
        <w:jc w:val="both"/>
        <w:ind w:left="660" w:hanging="328"/>
        <w:spacing w:after="0" w:line="252"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the securitized debt have no recourse to the general credit of the Company. The Company generally has no obligation to provide any other explicit or implicit support to the VIEs. Refer to Note 12 for commitments related to the undrawn portion of a borrowers’ home equity line of credit for which the Company may be required to fund.</w:t>
      </w:r>
    </w:p>
    <w:p>
      <w:pPr>
        <w:ind w:left="660" w:hanging="328"/>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had outstanding financing arrangements collateralized by the Company's retained interests in its VIEs. Refer to Note 6 for additional information.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WMC Commercial loans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tables below detail information regarding the Company's Legacy WMC Commercial loan portfolio as of March 31, 2026 and December 31, 2025 ($ in thousands). The gross unrealized gains/(losses) in the table below represent inception to date gains/(losses) since acquisition.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Unpaid</w:t>
            </w: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Premium /</w:t>
            </w:r>
          </w:p>
        </w:tc>
        <w:tc>
          <w:tcPr>
            <w:tcW w:w="100" w:type="dxa"/>
            <w:vAlign w:val="bottom"/>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00" w:type="dxa"/>
            <w:vAlign w:val="bottom"/>
          </w:tcPr>
          <w:p>
            <w:pPr>
              <w:spacing w:after="0"/>
              <w:rPr>
                <w:sz w:val="10"/>
                <w:szCs w:val="10"/>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Loan (1)(2)</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Yield (3)</w:t>
            </w: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LTV (4)</w:t>
            </w:r>
          </w:p>
        </w:tc>
        <w:tc>
          <w:tcPr>
            <w:tcW w:w="100" w:type="dxa"/>
            <w:vAlign w:val="bottom"/>
          </w:tcPr>
          <w:p>
            <w:pPr>
              <w:spacing w:after="0"/>
              <w:rPr>
                <w:sz w:val="12"/>
                <w:szCs w:val="12"/>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198"/>
        </w:trPr>
        <w:tc>
          <w:tcPr>
            <w:tcW w:w="9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 (3)</w:t>
            </w:r>
          </w:p>
        </w:tc>
        <w:tc>
          <w:tcPr>
            <w:tcW w:w="100" w:type="dxa"/>
            <w:vAlign w:val="bottom"/>
          </w:tcPr>
          <w:p>
            <w:pPr>
              <w:spacing w:after="0"/>
              <w:rPr>
                <w:sz w:val="17"/>
                <w:szCs w:val="17"/>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(3)</w:t>
            </w: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A (5)</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7,259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5,922</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7.87 %</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61.63 %</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IL, FL</w:t>
            </w:r>
          </w:p>
        </w:tc>
        <w:tc>
          <w:tcPr>
            <w:tcW w:w="0" w:type="dxa"/>
            <w:vAlign w:val="bottom"/>
          </w:tcPr>
          <w:p>
            <w:pPr>
              <w:spacing w:after="0"/>
              <w:rPr>
                <w:sz w:val="1"/>
                <w:szCs w:val="1"/>
                <w:color w:val="auto"/>
              </w:rPr>
            </w:pPr>
          </w:p>
        </w:tc>
      </w:tr>
      <w:tr>
        <w:trPr>
          <w:trHeight w:val="195"/>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Loan B (5)</w:t>
            </w: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13,206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10,773</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7.87 %</w:t>
            </w:r>
          </w:p>
        </w:tc>
        <w:tc>
          <w:tcPr>
            <w:tcW w:w="10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Pr>
          <w:p>
            <w:pPr>
              <w:spacing w:after="0"/>
              <w:rPr>
                <w:sz w:val="16"/>
                <w:szCs w:val="16"/>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75.33 %</w:t>
            </w:r>
          </w:p>
        </w:tc>
        <w:tc>
          <w:tcPr>
            <w:tcW w:w="100" w:type="dxa"/>
            <w:vAlign w:val="bottom"/>
          </w:tcPr>
          <w:p>
            <w:pPr>
              <w:spacing w:after="0"/>
              <w:rPr>
                <w:sz w:val="16"/>
                <w:szCs w:val="16"/>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w:t>
            </w:r>
          </w:p>
        </w:tc>
        <w:tc>
          <w:tcPr>
            <w:tcW w:w="0" w:type="dxa"/>
            <w:vAlign w:val="bottom"/>
          </w:tcPr>
          <w:p>
            <w:pPr>
              <w:spacing w:after="0"/>
              <w:rPr>
                <w:sz w:val="1"/>
                <w:szCs w:val="1"/>
                <w:color w:val="auto"/>
              </w:rPr>
            </w:pPr>
          </w:p>
        </w:tc>
      </w:tr>
      <w:tr>
        <w:trPr>
          <w:trHeight w:val="210"/>
        </w:trPr>
        <w:tc>
          <w:tcPr>
            <w:tcW w:w="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C (5)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24,535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7.87 %</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77.22 %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NY</w:t>
            </w:r>
          </w:p>
        </w:tc>
        <w:tc>
          <w:tcPr>
            <w:tcW w:w="0" w:type="dxa"/>
            <w:vAlign w:val="bottom"/>
          </w:tcPr>
          <w:p>
            <w:pPr>
              <w:spacing w:after="0"/>
              <w:rPr>
                <w:sz w:val="1"/>
                <w:szCs w:val="1"/>
                <w:color w:val="auto"/>
              </w:rPr>
            </w:pPr>
          </w:p>
        </w:tc>
      </w:tr>
      <w:tr>
        <w:trPr>
          <w:trHeight w:val="196"/>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Loan D (6)</w:t>
            </w:r>
          </w:p>
        </w:tc>
        <w:tc>
          <w:tcPr>
            <w:tcW w:w="1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22,204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14,795</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7.05 %</w:t>
            </w:r>
          </w:p>
        </w:tc>
        <w:tc>
          <w:tcPr>
            <w:tcW w:w="100" w:type="dxa"/>
            <w:vAlign w:val="bottom"/>
          </w:tcPr>
          <w:p>
            <w:pPr>
              <w:spacing w:after="0"/>
              <w:rPr>
                <w:sz w:val="17"/>
                <w:szCs w:val="17"/>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Pr>
          <w:p>
            <w:pPr>
              <w:spacing w:after="0"/>
              <w:rPr>
                <w:sz w:val="17"/>
                <w:szCs w:val="17"/>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42.50 %</w:t>
            </w:r>
          </w:p>
        </w:tc>
        <w:tc>
          <w:tcPr>
            <w:tcW w:w="100" w:type="dxa"/>
            <w:vAlign w:val="bottom"/>
          </w:tcPr>
          <w:p>
            <w:pPr>
              <w:spacing w:after="0"/>
              <w:rPr>
                <w:sz w:val="17"/>
                <w:szCs w:val="17"/>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CT</w:t>
            </w:r>
          </w:p>
        </w:tc>
        <w:tc>
          <w:tcPr>
            <w:tcW w:w="0" w:type="dxa"/>
            <w:vAlign w:val="bottom"/>
          </w:tcPr>
          <w:p>
            <w:pPr>
              <w:spacing w:after="0"/>
              <w:rPr>
                <w:sz w:val="1"/>
                <w:szCs w:val="1"/>
                <w:color w:val="auto"/>
              </w:rPr>
            </w:pPr>
          </w:p>
        </w:tc>
      </w:tr>
      <w:tr>
        <w:trPr>
          <w:trHeight w:val="203"/>
        </w:trPr>
        <w:tc>
          <w:tcPr>
            <w:tcW w:w="96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67,204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66,019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51,504</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7.60 %</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65.06 %</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4"/>
        </w:trPr>
        <w:tc>
          <w:tcPr>
            <w:tcW w:w="19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Unpaid</w:t>
            </w: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Premium /</w:t>
            </w:r>
          </w:p>
        </w:tc>
        <w:tc>
          <w:tcPr>
            <w:tcW w:w="100" w:type="dxa"/>
            <w:vAlign w:val="bottom"/>
          </w:tcPr>
          <w:p>
            <w:pPr>
              <w:spacing w:after="0"/>
              <w:rPr>
                <w:sz w:val="13"/>
                <w:szCs w:val="13"/>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00" w:type="dxa"/>
            <w:vAlign w:val="bottom"/>
          </w:tcPr>
          <w:p>
            <w:pPr>
              <w:spacing w:after="0"/>
              <w:rPr>
                <w:sz w:val="13"/>
                <w:szCs w:val="13"/>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Loan (1)(2)</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Yield (3)</w:t>
            </w: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LTV (4)</w:t>
            </w:r>
          </w:p>
        </w:tc>
        <w:tc>
          <w:tcPr>
            <w:tcW w:w="100" w:type="dxa"/>
            <w:vAlign w:val="bottom"/>
          </w:tcPr>
          <w:p>
            <w:pPr>
              <w:spacing w:after="0"/>
              <w:rPr>
                <w:sz w:val="12"/>
                <w:szCs w:val="12"/>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196"/>
        </w:trPr>
        <w:tc>
          <w:tcPr>
            <w:tcW w:w="9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 (3)</w:t>
            </w:r>
          </w:p>
        </w:tc>
        <w:tc>
          <w:tcPr>
            <w:tcW w:w="100" w:type="dxa"/>
            <w:vAlign w:val="bottom"/>
          </w:tcPr>
          <w:p>
            <w:pPr>
              <w:spacing w:after="0"/>
              <w:rPr>
                <w:sz w:val="17"/>
                <w:szCs w:val="17"/>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(3)</w:t>
            </w: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A (5)</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7,259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6,546</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7.98 %</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61.63 %</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IL, FL</w:t>
            </w:r>
          </w:p>
        </w:tc>
        <w:tc>
          <w:tcPr>
            <w:tcW w:w="0" w:type="dxa"/>
            <w:vAlign w:val="bottom"/>
          </w:tcPr>
          <w:p>
            <w:pPr>
              <w:spacing w:after="0"/>
              <w:rPr>
                <w:sz w:val="1"/>
                <w:szCs w:val="1"/>
                <w:color w:val="auto"/>
              </w:rPr>
            </w:pPr>
          </w:p>
        </w:tc>
      </w:tr>
      <w:tr>
        <w:trPr>
          <w:trHeight w:val="195"/>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Loan B (5)</w:t>
            </w: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13,206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11,910</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7.98 %</w:t>
            </w:r>
          </w:p>
        </w:tc>
        <w:tc>
          <w:tcPr>
            <w:tcW w:w="10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Pr>
          <w:p>
            <w:pPr>
              <w:spacing w:after="0"/>
              <w:rPr>
                <w:sz w:val="16"/>
                <w:szCs w:val="16"/>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75.33 %</w:t>
            </w:r>
          </w:p>
        </w:tc>
        <w:tc>
          <w:tcPr>
            <w:tcW w:w="100" w:type="dxa"/>
            <w:vAlign w:val="bottom"/>
          </w:tcPr>
          <w:p>
            <w:pPr>
              <w:spacing w:after="0"/>
              <w:rPr>
                <w:sz w:val="16"/>
                <w:szCs w:val="16"/>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w:t>
            </w:r>
          </w:p>
        </w:tc>
        <w:tc>
          <w:tcPr>
            <w:tcW w:w="0" w:type="dxa"/>
            <w:vAlign w:val="bottom"/>
          </w:tcPr>
          <w:p>
            <w:pPr>
              <w:spacing w:after="0"/>
              <w:rPr>
                <w:sz w:val="1"/>
                <w:szCs w:val="1"/>
                <w:color w:val="auto"/>
              </w:rPr>
            </w:pPr>
          </w:p>
        </w:tc>
      </w:tr>
      <w:tr>
        <w:trPr>
          <w:trHeight w:val="210"/>
        </w:trPr>
        <w:tc>
          <w:tcPr>
            <w:tcW w:w="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C (5)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24,535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7.98 %</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77.22 %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NY</w:t>
            </w:r>
          </w:p>
        </w:tc>
        <w:tc>
          <w:tcPr>
            <w:tcW w:w="0" w:type="dxa"/>
            <w:vAlign w:val="bottom"/>
          </w:tcPr>
          <w:p>
            <w:pPr>
              <w:spacing w:after="0"/>
              <w:rPr>
                <w:sz w:val="1"/>
                <w:szCs w:val="1"/>
                <w:color w:val="auto"/>
              </w:rPr>
            </w:pPr>
          </w:p>
        </w:tc>
      </w:tr>
      <w:tr>
        <w:trPr>
          <w:trHeight w:val="196"/>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Loan D (6)</w:t>
            </w:r>
          </w:p>
        </w:tc>
        <w:tc>
          <w:tcPr>
            <w:tcW w:w="1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22,204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14,794</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7.16 %</w:t>
            </w:r>
          </w:p>
        </w:tc>
        <w:tc>
          <w:tcPr>
            <w:tcW w:w="100" w:type="dxa"/>
            <w:vAlign w:val="bottom"/>
          </w:tcPr>
          <w:p>
            <w:pPr>
              <w:spacing w:after="0"/>
              <w:rPr>
                <w:sz w:val="17"/>
                <w:szCs w:val="17"/>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Pr>
          <w:p>
            <w:pPr>
              <w:spacing w:after="0"/>
              <w:rPr>
                <w:sz w:val="17"/>
                <w:szCs w:val="17"/>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42.50 %</w:t>
            </w:r>
          </w:p>
        </w:tc>
        <w:tc>
          <w:tcPr>
            <w:tcW w:w="100" w:type="dxa"/>
            <w:vAlign w:val="bottom"/>
          </w:tcPr>
          <w:p>
            <w:pPr>
              <w:spacing w:after="0"/>
              <w:rPr>
                <w:sz w:val="17"/>
                <w:szCs w:val="17"/>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CT</w:t>
            </w:r>
          </w:p>
        </w:tc>
        <w:tc>
          <w:tcPr>
            <w:tcW w:w="0" w:type="dxa"/>
            <w:vAlign w:val="bottom"/>
          </w:tcPr>
          <w:p>
            <w:pPr>
              <w:spacing w:after="0"/>
              <w:rPr>
                <w:sz w:val="1"/>
                <w:szCs w:val="1"/>
                <w:color w:val="auto"/>
              </w:rPr>
            </w:pPr>
          </w:p>
        </w:tc>
      </w:tr>
      <w:tr>
        <w:trPr>
          <w:trHeight w:val="203"/>
        </w:trPr>
        <w:tc>
          <w:tcPr>
            <w:tcW w:w="96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67,204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66,413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55,376</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7.71 %</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65.69 %</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the contractual right to receive a balloon payment for each loan.</w:t>
      </w:r>
    </w:p>
    <w:p>
      <w:pPr>
        <w:spacing w:after="0" w:line="26"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commercial loan investment is a first mortgage loan.</w:t>
      </w:r>
    </w:p>
    <w:p>
      <w:pPr>
        <w:spacing w:after="0" w:line="15" w:lineRule="exact"/>
        <w:rPr>
          <w:rFonts w:ascii="Times New Roman" w:cs="Times New Roman" w:eastAsia="Times New Roman" w:hAnsi="Times New Roman"/>
          <w:sz w:val="16"/>
          <w:szCs w:val="16"/>
          <w:color w:val="auto"/>
        </w:rPr>
      </w:pPr>
    </w:p>
    <w:p>
      <w:pPr>
        <w:jc w:val="both"/>
        <w:ind w:left="660" w:hanging="328"/>
        <w:spacing w:after="0" w:line="252"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borrowers for the Company’s Legacy WMC Commercial Loans are in maturity default as of March 31, 2026 and December 31, 2025. See footnotes 5 and 6 for further details related to each loan. In March 2026, the Company extended the maturity of its financing arrangement collateralized by Legacy WMC Commercial Loans to September 19, 2026. All proceeds from asset paydowns or sales will be applied to reduce the outstanding balance, which was $25.4 million as of March 31, 2026.</w:t>
      </w:r>
    </w:p>
    <w:p>
      <w:pPr>
        <w:ind w:left="660" w:hanging="328"/>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LTV at acquisition of WMC. The total LTV on commercial loans is presented based on fair value.</w:t>
      </w:r>
    </w:p>
    <w:p>
      <w:pPr>
        <w:spacing w:after="0" w:line="15" w:lineRule="exact"/>
        <w:rPr>
          <w:rFonts w:ascii="Times New Roman" w:cs="Times New Roman" w:eastAsia="Times New Roman" w:hAnsi="Times New Roman"/>
          <w:sz w:val="16"/>
          <w:szCs w:val="16"/>
          <w:color w:val="auto"/>
        </w:rPr>
      </w:pPr>
    </w:p>
    <w:p>
      <w:pPr>
        <w:jc w:val="both"/>
        <w:ind w:left="660" w:hanging="328"/>
        <w:spacing w:after="0" w:line="253"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Loans A, B, and C have a floating rate coupon equal to 4.20% plus one-month SOFR and are collateralized by hotels. During the second quarter 2025, these loans entered maturity default and were placed on non-accrual. Following a period of forbearance, the lender parties and the borrower are pursuing consensual sales of the hotels, which may include transferring title of all or certain of the properties to the lender parties via a deed-in-lieu of foreclosure to facilitate the sales. The Company expects the sales of the underlying hotels which collateralize Loan A to be completed in the second half of 2026. There are no assurances that sales can be completed in the manner or within the time anticipated or at all.</w:t>
      </w:r>
    </w:p>
    <w:p>
      <w:pPr>
        <w:spacing w:after="0" w:line="2" w:lineRule="exact"/>
        <w:rPr>
          <w:rFonts w:ascii="Times New Roman" w:cs="Times New Roman" w:eastAsia="Times New Roman" w:hAnsi="Times New Roman"/>
          <w:sz w:val="16"/>
          <w:szCs w:val="16"/>
          <w:color w:val="auto"/>
        </w:rPr>
      </w:pPr>
    </w:p>
    <w:p>
      <w:pPr>
        <w:jc w:val="both"/>
        <w:ind w:left="660" w:hanging="328"/>
        <w:spacing w:after="0" w:line="256"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 D has a floating rate coupon equal to 3.38% plus one-month SOFR and is collateralized by a retail property. During the third quarter 2025, the loan entered maturity default. The property is generating positive cash flow and, as of the date of this report, the Company has continued to receive interest payments from the property’s cash flows. The lender parties are actively engaged with a third party commercial sales advisor to sell the property, however there are no assurances that a sale can be completed.</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Real Estate Securities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tables detail the Company’s real estate securities portfolio by collateral type as of March 31, 2026 and December 31, 2025 ($ in thousands). The Company’s real estate securities include its interest in VIEs in which the Company has concluded that it is not the primary beneficiary and, as a result, did not consolidate the VIEs. The gross unrealized gains/(losses) in the tables below represent inception to date unrealized gains/(losses) since acquisition.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Current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Premium/</w:t>
            </w:r>
          </w:p>
        </w:tc>
        <w:tc>
          <w:tcPr>
            <w:tcW w:w="100" w:type="dxa"/>
            <w:vAlign w:val="bottom"/>
          </w:tcPr>
          <w:p>
            <w:pPr>
              <w:spacing w:after="0"/>
              <w:rPr>
                <w:sz w:val="13"/>
                <w:szCs w:val="13"/>
                <w:color w:val="auto"/>
              </w:rPr>
            </w:pPr>
          </w:p>
        </w:tc>
        <w:tc>
          <w:tcPr>
            <w:tcW w:w="92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3"/>
                <w:szCs w:val="13"/>
                <w:color w:val="auto"/>
              </w:rPr>
            </w:pP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3"/>
                <w:szCs w:val="13"/>
                <w:color w:val="auto"/>
              </w:rPr>
            </w:pPr>
          </w:p>
        </w:tc>
        <w:tc>
          <w:tcPr>
            <w:tcW w:w="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Coupon (3)</w:t>
            </w:r>
          </w:p>
        </w:tc>
        <w:tc>
          <w:tcPr>
            <w:tcW w:w="80" w:type="dxa"/>
            <w:vAlign w:val="bottom"/>
          </w:tcPr>
          <w:p>
            <w:pPr>
              <w:spacing w:after="0"/>
              <w:rPr>
                <w:sz w:val="13"/>
                <w:szCs w:val="13"/>
                <w:color w:val="auto"/>
              </w:rPr>
            </w:pPr>
          </w:p>
        </w:tc>
        <w:tc>
          <w:tcPr>
            <w:tcW w:w="96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Yield (4)</w:t>
            </w:r>
          </w:p>
        </w:tc>
        <w:tc>
          <w:tcPr>
            <w:tcW w:w="86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b w:val="1"/>
                <w:bCs w:val="1"/>
                <w:color w:val="auto"/>
                <w:w w:val="97"/>
              </w:rPr>
              <w:t>Life (Years)</w:t>
            </w:r>
          </w:p>
        </w:tc>
        <w:tc>
          <w:tcPr>
            <w:tcW w:w="0" w:type="dxa"/>
            <w:vAlign w:val="bottom"/>
          </w:tcPr>
          <w:p>
            <w:pPr>
              <w:spacing w:after="0"/>
              <w:rPr>
                <w:sz w:val="1"/>
                <w:szCs w:val="1"/>
                <w:color w:val="auto"/>
              </w:rPr>
            </w:pPr>
          </w:p>
        </w:tc>
      </w:tr>
      <w:tr>
        <w:trPr>
          <w:trHeight w:val="196"/>
        </w:trPr>
        <w:tc>
          <w:tcPr>
            <w:tcW w:w="23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Face (1)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(Discount) (1)</w:t>
            </w: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5"/>
            <w:vMerge w:val="continue"/>
          </w:tcPr>
          <w:p>
            <w:pPr>
              <w:spacing w:after="0"/>
              <w:rPr>
                <w:sz w:val="17"/>
                <w:szCs w:val="17"/>
                <w:color w:val="auto"/>
              </w:rPr>
            </w:pPr>
          </w:p>
        </w:tc>
        <w:tc>
          <w:tcPr>
            <w:tcW w:w="8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RMBS</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Non-QM Loans (6)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48,814</w:t>
            </w:r>
          </w:p>
        </w:tc>
        <w:tc>
          <w:tcPr>
            <w:tcW w:w="20" w:type="dxa"/>
            <w:vAlign w:val="bottom"/>
          </w:tcPr>
          <w:p>
            <w:pPr>
              <w:spacing w:after="0"/>
              <w:rPr>
                <w:sz w:val="16"/>
                <w:szCs w:val="16"/>
                <w:color w:val="auto"/>
              </w:rPr>
            </w:pP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48,501</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40" w:type="dxa"/>
            <w:vAlign w:val="bottom"/>
          </w:tcPr>
          <w:p>
            <w:pPr>
              <w:spacing w:after="0"/>
              <w:rPr>
                <w:sz w:val="16"/>
                <w:szCs w:val="16"/>
                <w:color w:val="auto"/>
              </w:rPr>
            </w:pPr>
          </w:p>
        </w:tc>
        <w:tc>
          <w:tcPr>
            <w:tcW w:w="26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47,010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3.30 %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6.40 %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Agency-Eligible Loans (7)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Home Equity Loans (7)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106,195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123,278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128,849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5.47 %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9.40 %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Prime Jumbo Loans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Non-Agency RMBS</w:t>
            </w: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202,050</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215,241</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9,041</w:t>
            </w:r>
          </w:p>
        </w:tc>
        <w:tc>
          <w:tcPr>
            <w:tcW w:w="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221,477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4.25 %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8.33 %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Legacy WMC CMBS (8)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82,573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46,866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42,250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5.92 %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16.66 %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Agency RMBS Interest Only</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4.54 %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8.06 %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 of March 31, 2026</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284,623</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(45,763)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278,131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14,693</w:t>
            </w: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279,387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4.62 %</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9.72 %</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2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940" w:type="dxa"/>
            <w:vAlign w:val="bottom"/>
            <w:gridSpan w:val="4"/>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40" w:type="dxa"/>
            <w:vAlign w:val="bottom"/>
            <w:gridSpan w:val="4"/>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Current Face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Premium /</w:t>
            </w:r>
          </w:p>
        </w:tc>
        <w:tc>
          <w:tcPr>
            <w:tcW w:w="100" w:type="dxa"/>
            <w:vAlign w:val="bottom"/>
          </w:tcPr>
          <w:p>
            <w:pPr>
              <w:spacing w:after="0"/>
              <w:rPr>
                <w:sz w:val="13"/>
                <w:szCs w:val="13"/>
                <w:color w:val="auto"/>
              </w:rPr>
            </w:pPr>
          </w:p>
        </w:tc>
        <w:tc>
          <w:tcPr>
            <w:tcW w:w="9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3"/>
                <w:szCs w:val="13"/>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3"/>
                <w:szCs w:val="13"/>
                <w:color w:val="auto"/>
              </w:rPr>
            </w:pPr>
          </w:p>
        </w:tc>
        <w:tc>
          <w:tcPr>
            <w:tcW w:w="9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Coupon (3)</w:t>
            </w:r>
          </w:p>
        </w:tc>
        <w:tc>
          <w:tcPr>
            <w:tcW w:w="80" w:type="dxa"/>
            <w:vAlign w:val="bottom"/>
          </w:tcPr>
          <w:p>
            <w:pPr>
              <w:spacing w:after="0"/>
              <w:rPr>
                <w:sz w:val="13"/>
                <w:szCs w:val="13"/>
                <w:color w:val="auto"/>
              </w:rPr>
            </w:pPr>
          </w:p>
        </w:tc>
        <w:tc>
          <w:tcPr>
            <w:tcW w:w="960" w:type="dxa"/>
            <w:vAlign w:val="bottom"/>
            <w:gridSpan w:val="5"/>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Yield (4)</w:t>
            </w:r>
          </w:p>
        </w:tc>
        <w:tc>
          <w:tcPr>
            <w:tcW w:w="86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195"/>
        </w:trPr>
        <w:tc>
          <w:tcPr>
            <w:tcW w:w="23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(Discount) (1)</w:t>
            </w:r>
          </w:p>
        </w:tc>
        <w:tc>
          <w:tcPr>
            <w:tcW w:w="1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5"/>
            <w:vMerge w:val="continue"/>
          </w:tcPr>
          <w:p>
            <w:pPr>
              <w:spacing w:after="0"/>
              <w:rPr>
                <w:sz w:val="16"/>
                <w:szCs w:val="16"/>
                <w:color w:val="auto"/>
              </w:rPr>
            </w:pPr>
          </w:p>
        </w:tc>
        <w:tc>
          <w:tcPr>
            <w:tcW w:w="8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RMBS</w:t>
            </w: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Non-QM Loans (6)</w:t>
            </w:r>
          </w:p>
        </w:tc>
        <w:tc>
          <w:tcPr>
            <w:tcW w:w="2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48,814</w:t>
            </w: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48,526</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816</w:t>
            </w:r>
          </w:p>
        </w:tc>
        <w:tc>
          <w:tcPr>
            <w:tcW w:w="40" w:type="dxa"/>
            <w:vAlign w:val="bottom"/>
          </w:tcPr>
          <w:p>
            <w:pPr>
              <w:spacing w:after="0"/>
              <w:rPr>
                <w:sz w:val="16"/>
                <w:szCs w:val="16"/>
                <w:color w:val="auto"/>
              </w:rPr>
            </w:pPr>
          </w:p>
        </w:tc>
        <w:tc>
          <w:tcPr>
            <w:tcW w:w="26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46,963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3.11 %</w:t>
            </w:r>
          </w:p>
        </w:tc>
        <w:tc>
          <w:tcPr>
            <w:tcW w:w="2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6.66 %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Agency-Eligible Loans (7)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1,841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3.57 %</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6.74</w:t>
            </w:r>
          </w:p>
        </w:tc>
        <w:tc>
          <w:tcPr>
            <w:tcW w:w="0" w:type="dxa"/>
            <w:vAlign w:val="bottom"/>
          </w:tcPr>
          <w:p>
            <w:pPr>
              <w:spacing w:after="0"/>
              <w:rPr>
                <w:sz w:val="1"/>
                <w:szCs w:val="1"/>
                <w:color w:val="auto"/>
              </w:rPr>
            </w:pPr>
          </w:p>
        </w:tc>
      </w:tr>
      <w:tr>
        <w:trPr>
          <w:trHeight w:val="195"/>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Home Equity Loans (7)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84,647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7,514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106,942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5.55 %</w:t>
            </w:r>
          </w:p>
        </w:tc>
        <w:tc>
          <w:tcPr>
            <w:tcW w:w="2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10.47 %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Prime Jumbo Loans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4.49 %</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18.36</w:t>
            </w:r>
          </w:p>
        </w:tc>
        <w:tc>
          <w:tcPr>
            <w:tcW w:w="0" w:type="dxa"/>
            <w:vAlign w:val="bottom"/>
          </w:tcPr>
          <w:p>
            <w:pPr>
              <w:spacing w:after="0"/>
              <w:rPr>
                <w:sz w:val="1"/>
                <w:szCs w:val="1"/>
                <w:color w:val="auto"/>
              </w:rPr>
            </w:pPr>
          </w:p>
        </w:tc>
      </w:tr>
      <w:tr>
        <w:trPr>
          <w:trHeight w:val="189"/>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Non-Agency RMBS</w:t>
            </w: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182,208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193,222</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10,844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201,381</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4.09 %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8.82 %</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5.39</w:t>
            </w:r>
          </w:p>
        </w:tc>
        <w:tc>
          <w:tcPr>
            <w:tcW w:w="0" w:type="dxa"/>
            <w:vAlign w:val="bottom"/>
          </w:tcPr>
          <w:p>
            <w:pPr>
              <w:spacing w:after="0"/>
              <w:rPr>
                <w:sz w:val="1"/>
                <w:szCs w:val="1"/>
                <w:color w:val="auto"/>
              </w:rPr>
            </w:pPr>
          </w:p>
        </w:tc>
      </w:tr>
      <w:tr>
        <w:trPr>
          <w:trHeight w:val="223"/>
        </w:trPr>
        <w:tc>
          <w:tcPr>
            <w:tcW w:w="2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Legacy WMC CMBS (8)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82,962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5,814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42,565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5.95 %</w:t>
            </w:r>
          </w:p>
        </w:tc>
        <w:tc>
          <w:tcPr>
            <w:tcW w:w="2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15.30 %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223"/>
        </w:trPr>
        <w:tc>
          <w:tcPr>
            <w:tcW w:w="2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Agency RMBS Interest Only</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4.57 %</w:t>
            </w:r>
          </w:p>
        </w:tc>
        <w:tc>
          <w:tcPr>
            <w:tcW w:w="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7.30 %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r>
        <w:trPr>
          <w:trHeight w:val="203"/>
        </w:trPr>
        <w:tc>
          <w:tcPr>
            <w:tcW w:w="2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 of December 31, 2025</w:t>
            </w:r>
          </w:p>
        </w:tc>
        <w:tc>
          <w:tcPr>
            <w:tcW w:w="200" w:type="dxa"/>
            <w:vAlign w:val="bottom"/>
            <w:tcBorders>
              <w:top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265,170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(45,465)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255,799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16,907</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(12,402)</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260,304</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4.55 %</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9.89 %</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660" w:hanging="328"/>
        <w:spacing w:after="0" w:line="268" w:lineRule="auto"/>
        <w:tabs>
          <w:tab w:leader="none" w:pos="6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Face and Premium/(Discount) exclude Interest Only securities, which have no principal balances and bear interest based on a notional value. The notional value is used solely to determine interest distributions on the interest only classes of securities. As of March 31, 2026, the notional balance of the Non-QM Loans, Agency-Eligible Loans, Home Equity Loans, and Agency RMBS Interest Only line items were $63.2 million, $37.8 million, $290.8 million, and $82.7 million, respectively. As of December 31, 2025, the notional value of the Non-QM Loans, Agency-Eligible Loans, Home Equity Loans, and Agency RMBS Interest Only line items were $66.3 million, $40.4 million, $249.1 million, and $85.0 million, respectively.</w:t>
      </w:r>
    </w:p>
    <w:p>
      <w:pPr>
        <w:spacing w:after="0" w:line="157" w:lineRule="exact"/>
        <w:rPr>
          <w:rFonts w:ascii="Times New Roman" w:cs="Times New Roman" w:eastAsia="Times New Roman" w:hAnsi="Times New Roman"/>
          <w:sz w:val="14"/>
          <w:szCs w:val="14"/>
          <w:color w:val="auto"/>
        </w:rPr>
      </w:pPr>
    </w:p>
    <w:p>
      <w:pPr>
        <w:jc w:val="both"/>
        <w:ind w:left="660" w:right="20" w:hanging="328"/>
        <w:spacing w:after="0" w:line="256" w:lineRule="auto"/>
        <w:tabs>
          <w:tab w:leader="none" w:pos="6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securities held in unconsolidated VIEs represents the Company’s maximum loss exposure in unconsolidated VIEs. The Company generally has no obligation to provide any other explicit or implicit support to unconsolidated VIEs. Refer to Note 12 for commitments related to the undrawn portion of a borrowers' home equity line of credit for which the Company may be required to fund.</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residual investments with a zero coupon rate are excluded from this calculation.</w:t>
      </w:r>
    </w:p>
    <w:p>
      <w:pPr>
        <w:spacing w:after="0" w:line="1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yields are calculated based on the amortized cost of the underlying securities.</w:t>
      </w:r>
    </w:p>
    <w:p>
      <w:pPr>
        <w:spacing w:after="0" w:line="14"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maturities may be shorter or longer than stated contractual maturities. Maturities are affected by prepayments of principal.</w:t>
      </w:r>
    </w:p>
    <w:p>
      <w:pPr>
        <w:spacing w:after="0" w:line="14" w:lineRule="exact"/>
        <w:rPr>
          <w:rFonts w:ascii="Times New Roman" w:cs="Times New Roman" w:eastAsia="Times New Roman" w:hAnsi="Times New Roman"/>
          <w:sz w:val="14"/>
          <w:szCs w:val="14"/>
          <w:color w:val="auto"/>
        </w:rPr>
      </w:pPr>
    </w:p>
    <w:p>
      <w:pPr>
        <w:jc w:val="both"/>
        <w:ind w:left="660" w:hanging="328"/>
        <w:spacing w:after="0" w:line="256" w:lineRule="auto"/>
        <w:tabs>
          <w:tab w:leader="none" w:pos="6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Non-Agency RMBS include securities issued under Gold Creek Asset Trust ("GCAT"), which is the TPG securitization shelf under which the Company or private funds under the management of TPG securitize loans. These securities were retained from rated Non-QM Loan securitizations the Company participated in alongside private funds managed by TPG. The Company’s interest in the retained tranches represents its continuing involvement in these securitization trusts. As of March 31, 2026 and December 31, 2025, the Company’s Non-QM Loans includes $42.4 million and $42.4 million of retained securities from these transactions, respectively.</w:t>
      </w:r>
    </w:p>
    <w:p>
      <w:pPr>
        <w:spacing w:after="0" w:line="1" w:lineRule="exact"/>
        <w:rPr>
          <w:rFonts w:ascii="Times New Roman" w:cs="Times New Roman" w:eastAsia="Times New Roman" w:hAnsi="Times New Roman"/>
          <w:sz w:val="14"/>
          <w:szCs w:val="14"/>
          <w:color w:val="auto"/>
        </w:rPr>
      </w:pPr>
    </w:p>
    <w:p>
      <w:pPr>
        <w:jc w:val="both"/>
        <w:ind w:left="660" w:hanging="328"/>
        <w:spacing w:after="0" w:line="262" w:lineRule="auto"/>
        <w:tabs>
          <w:tab w:leader="none" w:pos="6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certain Non-Agency RMBS, the Company acted as a co-sponsor alongside an unrelated third party of rated securitizations. As the co-sponsor, the Company retained an "eligible vertical interest" to comply with risk retention rules which consists of at least 5% of each class of securities issued in the securitizations and represents the Company’s continuing involvement in these securitization trusts. The remaining tranches were sold to third parties and certain private funds managed by TPG or its affiliates, or were retained by the Company. As of March 31, 2026 and December 31, 2025, the Company’s Agency-Eligible Loans includes $40.3 million and $42.2 million of retained securities from these transactions, respectively. As of March 31, 2026 and December 31, 2025, the Company’s Home Equity Loans includes $102.7 million and $78.7 million of retained securities from these transactions, respectively.</w:t>
      </w:r>
    </w:p>
    <w:p>
      <w:pPr>
        <w:spacing w:after="0" w:line="160" w:lineRule="exact"/>
        <w:rPr>
          <w:rFonts w:ascii="Times New Roman" w:cs="Times New Roman" w:eastAsia="Times New Roman" w:hAnsi="Times New Roman"/>
          <w:sz w:val="14"/>
          <w:szCs w:val="14"/>
          <w:color w:val="auto"/>
        </w:rPr>
      </w:pPr>
    </w:p>
    <w:p>
      <w:pPr>
        <w:ind w:left="660" w:right="20" w:hanging="328"/>
        <w:spacing w:after="0" w:line="283" w:lineRule="auto"/>
        <w:tabs>
          <w:tab w:leader="none" w:pos="6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and December 31, 2025, there are Legacy WMC CMBS with an unpaid principal balance of $23.5 million and $23.5 million, respectively, and a fair value of $5.1 million and $6.3 million, respectively, which are on non-accrual or cost recovery status.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9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real estate securities according to their projected weighted average life classifications as of March 31, 2026 and December 31, 2025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6"/>
                <w:szCs w:val="16"/>
                <w:color w:val="auto"/>
              </w:rPr>
            </w:pPr>
          </w:p>
        </w:tc>
        <w:tc>
          <w:tcPr>
            <w:tcW w:w="21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Non-Agency RMBS</w:t>
            </w:r>
          </w:p>
        </w:tc>
        <w:tc>
          <w:tcPr>
            <w:tcW w:w="140" w:type="dxa"/>
            <w:vAlign w:val="bottom"/>
          </w:tcPr>
          <w:p>
            <w:pPr>
              <w:spacing w:after="0"/>
              <w:rPr>
                <w:sz w:val="16"/>
                <w:szCs w:val="16"/>
                <w:color w:val="auto"/>
              </w:rPr>
            </w:pPr>
          </w:p>
        </w:tc>
        <w:tc>
          <w:tcPr>
            <w:tcW w:w="21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Legacy WMC CMBS</w:t>
            </w:r>
          </w:p>
        </w:tc>
        <w:tc>
          <w:tcPr>
            <w:tcW w:w="140" w:type="dxa"/>
            <w:vAlign w:val="bottom"/>
          </w:tcPr>
          <w:p>
            <w:pPr>
              <w:spacing w:after="0"/>
              <w:rPr>
                <w:sz w:val="16"/>
                <w:szCs w:val="16"/>
                <w:color w:val="auto"/>
              </w:rPr>
            </w:pPr>
          </w:p>
        </w:tc>
        <w:tc>
          <w:tcPr>
            <w:tcW w:w="21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Agency RMBS</w:t>
            </w:r>
          </w:p>
        </w:tc>
        <w:tc>
          <w:tcPr>
            <w:tcW w:w="160" w:type="dxa"/>
            <w:vAlign w:val="bottom"/>
          </w:tcPr>
          <w:p>
            <w:pPr>
              <w:spacing w:after="0"/>
              <w:rPr>
                <w:sz w:val="16"/>
                <w:szCs w:val="16"/>
                <w:color w:val="auto"/>
              </w:rPr>
            </w:pPr>
          </w:p>
        </w:tc>
        <w:tc>
          <w:tcPr>
            <w:tcW w:w="210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Real Estate Securities Total</w:t>
            </w:r>
          </w:p>
        </w:tc>
        <w:tc>
          <w:tcPr>
            <w:tcW w:w="0" w:type="dxa"/>
            <w:vAlign w:val="bottom"/>
          </w:tcPr>
          <w:p>
            <w:pPr>
              <w:spacing w:after="0"/>
              <w:rPr>
                <w:sz w:val="1"/>
                <w:szCs w:val="1"/>
                <w:color w:val="auto"/>
              </w:rPr>
            </w:pPr>
          </w:p>
        </w:tc>
      </w:tr>
      <w:tr>
        <w:trPr>
          <w:trHeight w:val="23"/>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Life (1)</w:t>
            </w:r>
          </w:p>
        </w:tc>
        <w:tc>
          <w:tcPr>
            <w:tcW w:w="140" w:type="dxa"/>
            <w:vAlign w:val="bottom"/>
          </w:tcPr>
          <w:p>
            <w:pPr>
              <w:spacing w:after="0"/>
              <w:rPr>
                <w:sz w:val="24"/>
                <w:szCs w:val="24"/>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24"/>
                <w:szCs w:val="24"/>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24"/>
                <w:szCs w:val="24"/>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24"/>
                <w:szCs w:val="24"/>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24"/>
                <w:szCs w:val="24"/>
                <w:color w:val="auto"/>
              </w:rPr>
            </w:pPr>
          </w:p>
        </w:tc>
        <w:tc>
          <w:tcPr>
            <w:tcW w:w="9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0" w:type="dxa"/>
            <w:vAlign w:val="bottom"/>
          </w:tcPr>
          <w:p>
            <w:pPr>
              <w:spacing w:after="0"/>
              <w:rPr>
                <w:sz w:val="1"/>
                <w:szCs w:val="1"/>
                <w:color w:val="auto"/>
              </w:rPr>
            </w:pPr>
          </w:p>
        </w:tc>
      </w:tr>
      <w:tr>
        <w:trPr>
          <w:trHeight w:val="196"/>
        </w:trPr>
        <w:tc>
          <w:tcPr>
            <w:tcW w:w="22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0" w:type="dxa"/>
            <w:vAlign w:val="bottom"/>
          </w:tcPr>
          <w:p>
            <w:pPr>
              <w:spacing w:after="0"/>
              <w:rPr>
                <w:sz w:val="1"/>
                <w:szCs w:val="1"/>
                <w:color w:val="auto"/>
              </w:rPr>
            </w:pPr>
          </w:p>
        </w:tc>
      </w:tr>
      <w:tr>
        <w:trPr>
          <w:trHeight w:val="202"/>
        </w:trPr>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or equal to one year</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4,694</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8,617</w:t>
            </w:r>
          </w:p>
        </w:tc>
        <w:tc>
          <w:tcPr>
            <w:tcW w:w="0" w:type="dxa"/>
            <w:vAlign w:val="bottom"/>
          </w:tcPr>
          <w:p>
            <w:pPr>
              <w:spacing w:after="0"/>
              <w:rPr>
                <w:sz w:val="1"/>
                <w:szCs w:val="1"/>
                <w:color w:val="auto"/>
              </w:rPr>
            </w:pPr>
          </w:p>
        </w:tc>
      </w:tr>
      <w:tr>
        <w:trPr>
          <w:trHeight w:val="135"/>
        </w:trPr>
        <w:tc>
          <w:tcPr>
            <w:tcW w:w="22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Greater than one year and less than</w:t>
            </w:r>
          </w:p>
        </w:tc>
        <w:tc>
          <w:tcPr>
            <w:tcW w:w="1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155,310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153,971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37,556</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38,249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193,492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192,799</w:t>
            </w:r>
          </w:p>
        </w:tc>
        <w:tc>
          <w:tcPr>
            <w:tcW w:w="0" w:type="dxa"/>
            <w:vAlign w:val="bottom"/>
          </w:tcPr>
          <w:p>
            <w:pPr>
              <w:spacing w:after="0"/>
              <w:rPr>
                <w:sz w:val="1"/>
                <w:szCs w:val="1"/>
                <w:color w:val="auto"/>
              </w:rPr>
            </w:pPr>
          </w:p>
        </w:tc>
      </w:tr>
      <w:tr>
        <w:trPr>
          <w:trHeight w:val="195"/>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or equal to five years</w:t>
            </w: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Greater than five years and less</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44,475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59,509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55,785</w:t>
            </w:r>
          </w:p>
        </w:tc>
        <w:tc>
          <w:tcPr>
            <w:tcW w:w="0" w:type="dxa"/>
            <w:vAlign w:val="bottom"/>
          </w:tcPr>
          <w:p>
            <w:pPr>
              <w:spacing w:after="0"/>
              <w:rPr>
                <w:sz w:val="1"/>
                <w:szCs w:val="1"/>
                <w:color w:val="auto"/>
              </w:rPr>
            </w:pPr>
          </w:p>
        </w:tc>
      </w:tr>
      <w:tr>
        <w:trPr>
          <w:trHeight w:val="203"/>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than or equal to ten years</w:t>
            </w: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Greater than ten years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20,930</w:t>
            </w: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 of March 31, 2026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221,477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215,241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42,250</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46,866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279,387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278,131</w:t>
            </w:r>
          </w:p>
        </w:tc>
        <w:tc>
          <w:tcPr>
            <w:tcW w:w="0" w:type="dxa"/>
            <w:vAlign w:val="bottom"/>
          </w:tcPr>
          <w:p>
            <w:pPr>
              <w:spacing w:after="0"/>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21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Non-Agency RMBS</w:t>
            </w:r>
          </w:p>
        </w:tc>
        <w:tc>
          <w:tcPr>
            <w:tcW w:w="140" w:type="dxa"/>
            <w:vAlign w:val="bottom"/>
          </w:tcPr>
          <w:p>
            <w:pPr>
              <w:spacing w:after="0"/>
              <w:rPr>
                <w:sz w:val="16"/>
                <w:szCs w:val="16"/>
                <w:color w:val="auto"/>
              </w:rPr>
            </w:pPr>
          </w:p>
        </w:tc>
        <w:tc>
          <w:tcPr>
            <w:tcW w:w="21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Legacy WMC CMBS</w:t>
            </w:r>
          </w:p>
        </w:tc>
        <w:tc>
          <w:tcPr>
            <w:tcW w:w="140" w:type="dxa"/>
            <w:vAlign w:val="bottom"/>
          </w:tcPr>
          <w:p>
            <w:pPr>
              <w:spacing w:after="0"/>
              <w:rPr>
                <w:sz w:val="16"/>
                <w:szCs w:val="16"/>
                <w:color w:val="auto"/>
              </w:rPr>
            </w:pPr>
          </w:p>
        </w:tc>
        <w:tc>
          <w:tcPr>
            <w:tcW w:w="21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Agency RMBS</w:t>
            </w:r>
          </w:p>
        </w:tc>
        <w:tc>
          <w:tcPr>
            <w:tcW w:w="160" w:type="dxa"/>
            <w:vAlign w:val="bottom"/>
          </w:tcPr>
          <w:p>
            <w:pPr>
              <w:spacing w:after="0"/>
              <w:rPr>
                <w:sz w:val="16"/>
                <w:szCs w:val="16"/>
                <w:color w:val="auto"/>
              </w:rPr>
            </w:pPr>
          </w:p>
        </w:tc>
        <w:tc>
          <w:tcPr>
            <w:tcW w:w="210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Real Estate Securities Total</w:t>
            </w:r>
          </w:p>
        </w:tc>
        <w:tc>
          <w:tcPr>
            <w:tcW w:w="0" w:type="dxa"/>
            <w:vAlign w:val="bottom"/>
          </w:tcPr>
          <w:p>
            <w:pPr>
              <w:spacing w:after="0"/>
              <w:rPr>
                <w:sz w:val="1"/>
                <w:szCs w:val="1"/>
                <w:color w:val="auto"/>
              </w:rPr>
            </w:pPr>
          </w:p>
        </w:tc>
      </w:tr>
      <w:tr>
        <w:trPr>
          <w:trHeight w:val="23"/>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6"/>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Life (1)</w:t>
            </w:r>
          </w:p>
        </w:tc>
        <w:tc>
          <w:tcPr>
            <w:tcW w:w="140" w:type="dxa"/>
            <w:vAlign w:val="bottom"/>
          </w:tcPr>
          <w:p>
            <w:pPr>
              <w:spacing w:after="0"/>
              <w:rPr>
                <w:sz w:val="24"/>
                <w:szCs w:val="24"/>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24"/>
                <w:szCs w:val="24"/>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24"/>
                <w:szCs w:val="24"/>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24"/>
                <w:szCs w:val="24"/>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24"/>
                <w:szCs w:val="24"/>
                <w:color w:val="auto"/>
              </w:rPr>
            </w:pPr>
          </w:p>
        </w:tc>
        <w:tc>
          <w:tcPr>
            <w:tcW w:w="9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0" w:type="dxa"/>
            <w:vAlign w:val="bottom"/>
          </w:tcPr>
          <w:p>
            <w:pPr>
              <w:spacing w:after="0"/>
              <w:rPr>
                <w:sz w:val="1"/>
                <w:szCs w:val="1"/>
                <w:color w:val="auto"/>
              </w:rPr>
            </w:pPr>
          </w:p>
        </w:tc>
      </w:tr>
      <w:tr>
        <w:trPr>
          <w:trHeight w:val="195"/>
        </w:trPr>
        <w:tc>
          <w:tcPr>
            <w:tcW w:w="2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0" w:type="dxa"/>
            <w:vAlign w:val="bottom"/>
          </w:tcPr>
          <w:p>
            <w:pPr>
              <w:spacing w:after="0"/>
              <w:rPr>
                <w:sz w:val="1"/>
                <w:szCs w:val="1"/>
                <w:color w:val="auto"/>
              </w:rPr>
            </w:pPr>
          </w:p>
        </w:tc>
      </w:tr>
      <w:tr>
        <w:trPr>
          <w:trHeight w:val="201"/>
        </w:trPr>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or equal to one year</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4,921</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8,589</w:t>
            </w:r>
          </w:p>
        </w:tc>
        <w:tc>
          <w:tcPr>
            <w:tcW w:w="0" w:type="dxa"/>
            <w:vAlign w:val="bottom"/>
          </w:tcPr>
          <w:p>
            <w:pPr>
              <w:spacing w:after="0"/>
              <w:rPr>
                <w:sz w:val="1"/>
                <w:szCs w:val="1"/>
                <w:color w:val="auto"/>
              </w:rPr>
            </w:pPr>
          </w:p>
        </w:tc>
      </w:tr>
      <w:tr>
        <w:trPr>
          <w:trHeight w:val="139"/>
        </w:trPr>
        <w:tc>
          <w:tcPr>
            <w:tcW w:w="22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Greater than one year and less than</w:t>
            </w: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98,432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96,270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37,644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37,358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136,914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134,228</w:t>
            </w:r>
          </w:p>
        </w:tc>
        <w:tc>
          <w:tcPr>
            <w:tcW w:w="0" w:type="dxa"/>
            <w:vAlign w:val="bottom"/>
          </w:tcPr>
          <w:p>
            <w:pPr>
              <w:spacing w:after="0"/>
              <w:rPr>
                <w:sz w:val="1"/>
                <w:szCs w:val="1"/>
                <w:color w:val="auto"/>
              </w:rPr>
            </w:pPr>
          </w:p>
        </w:tc>
      </w:tr>
      <w:tr>
        <w:trPr>
          <w:trHeight w:val="19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or equal to five years</w:t>
            </w: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Greater than five years and less</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80,653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75,378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96,173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91,408</w:t>
            </w: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than or equal to ten years</w:t>
            </w: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Greater than ten years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21,574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21,574</w:t>
            </w: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 of December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201,381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193,222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42,565</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45,947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260,304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255,799</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60" w:right="20" w:hanging="328"/>
        <w:spacing w:after="0" w:line="282" w:lineRule="auto"/>
        <w:tabs>
          <w:tab w:leader="none" w:pos="65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is based on projected life. Typically, actual maturities are shorter than stated contractual maturities. Maturities are affected by the contractual lives of the underlying mortgages, periodic payments of principal and prepayments of principal.</w:t>
      </w:r>
    </w:p>
    <w:p>
      <w:pPr>
        <w:spacing w:after="0" w:line="20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Company did not sell any real estate securities during the three months ended March 31, 2026. The Company sold real estate securities during the three months ended March 31, 2025 as detailed below ($ in thousands).</w:t>
      </w:r>
    </w:p>
    <w:p>
      <w:pPr>
        <w:spacing w:after="0" w:line="1" w:lineRule="exact"/>
        <w:rPr>
          <w:sz w:val="20"/>
          <w:szCs w:val="20"/>
          <w:color w:val="auto"/>
        </w:rPr>
      </w:pPr>
    </w:p>
    <w:tbl>
      <w:tblPr>
        <w:tblLayout w:type="fixed"/>
        <w:tblInd w:w="1780" w:type="dxa"/>
        <w:tblCellMar>
          <w:top w:w="0" w:type="dxa"/>
          <w:left w:w="0" w:type="dxa"/>
          <w:bottom w:w="0" w:type="dxa"/>
          <w:right w:w="0" w:type="dxa"/>
        </w:tblCellMar>
      </w:tblPr>
      <w:tr>
        <w:trPr>
          <w:trHeight w:val="215"/>
        </w:trPr>
        <w:tc>
          <w:tcPr>
            <w:tcW w:w="28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980" w:type="dxa"/>
            <w:vAlign w:val="bottom"/>
          </w:tcPr>
          <w:p>
            <w:pPr>
              <w:jc w:val="center"/>
              <w:ind w:left="39"/>
              <w:spacing w:after="0" w:line="158"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Proceeds</w:t>
            </w: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Realized Gains</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Realized Losses</w:t>
            </w:r>
          </w:p>
        </w:tc>
        <w:tc>
          <w:tcPr>
            <w:tcW w:w="0" w:type="dxa"/>
            <w:vAlign w:val="bottom"/>
          </w:tcPr>
          <w:p>
            <w:pPr>
              <w:spacing w:after="0"/>
              <w:rPr>
                <w:sz w:val="1"/>
                <w:szCs w:val="1"/>
                <w:color w:val="auto"/>
              </w:rPr>
            </w:pPr>
          </w:p>
        </w:tc>
      </w:tr>
      <w:tr>
        <w:trPr>
          <w:trHeight w:val="214"/>
        </w:trPr>
        <w:tc>
          <w:tcPr>
            <w:tcW w:w="2820" w:type="dxa"/>
            <w:vAlign w:val="bottom"/>
          </w:tcPr>
          <w:p>
            <w:pPr>
              <w:spacing w:after="0"/>
              <w:rPr>
                <w:sz w:val="18"/>
                <w:szCs w:val="18"/>
                <w:color w:val="auto"/>
              </w:rPr>
            </w:pPr>
          </w:p>
        </w:tc>
        <w:tc>
          <w:tcPr>
            <w:tcW w:w="98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Agency RMBS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100" w:type="dxa"/>
            <w:vAlign w:val="bottom"/>
          </w:tcPr>
          <w:p>
            <w:pPr>
              <w:spacing w:after="0"/>
              <w:rPr>
                <w:sz w:val="18"/>
                <w:szCs w:val="18"/>
                <w:color w:val="auto"/>
              </w:rPr>
            </w:pPr>
          </w:p>
        </w:tc>
        <w:tc>
          <w:tcPr>
            <w:tcW w:w="78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Non-Agency RMBS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2,672</w:t>
            </w:r>
          </w:p>
        </w:tc>
        <w:tc>
          <w:tcPr>
            <w:tcW w:w="100" w:type="dxa"/>
            <w:vAlign w:val="bottom"/>
          </w:tcPr>
          <w:p>
            <w:pPr>
              <w:spacing w:after="0"/>
              <w:rPr>
                <w:sz w:val="17"/>
                <w:szCs w:val="17"/>
                <w:color w:val="auto"/>
              </w:rPr>
            </w:pPr>
          </w:p>
        </w:tc>
        <w:tc>
          <w:tcPr>
            <w:tcW w:w="78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the Company's financial instruments is determined in accordance with the provisions of ASC 820, "Fair Value Measurements and Disclosures." When possible, the Company determines fair value using third-party data sources. ASC 820 establishes a hierarchy that prioritizes the inputs to valuation techniques. Level 1 inputs are observable inputs that reflect quoted prices for identical assets or liabilities in active markets. Level 2 inputs are observable inputs other than quoted prices and may include quoted prices for similar assets and liabilities in active markets. Level 3 inputs are significant unobservable inputs. In situations where quoted prices or observable inputs are unavailable (for example, when there is little or no market activity for an investment at the end of the period), unobservable inputs may be used and reflect the Company’s assumptions about the factors that market participants would use in pricing an asset or liability, and would be based on the best information available. In certain cases, inputs used to measure fair value fall into different levels of the fair value hierarchy. In such cases, the level at which the fair value measurement falls is determined based on the lowest level input that is significant to the fair value measurement.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9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following tables present the Company’s financial instruments measured at fair value on a recurring basis as of March 31, 2026 and December 31, 2025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at March 31, 2026</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 at December 31, 2025</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8"/>
                <w:szCs w:val="18"/>
                <w:color w:val="auto"/>
              </w:rPr>
            </w:pPr>
          </w:p>
        </w:tc>
        <w:tc>
          <w:tcPr>
            <w:tcW w:w="9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Securitized residential mortgage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7,538,748</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7,538,748</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7,999,619</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7,999,619</w:t>
            </w:r>
          </w:p>
        </w:tc>
        <w:tc>
          <w:tcPr>
            <w:tcW w:w="0" w:type="dxa"/>
            <w:vAlign w:val="bottom"/>
          </w:tcPr>
          <w:p>
            <w:pPr>
              <w:spacing w:after="0"/>
              <w:rPr>
                <w:sz w:val="1"/>
                <w:szCs w:val="1"/>
                <w:color w:val="auto"/>
              </w:rPr>
            </w:pPr>
          </w:p>
        </w:tc>
      </w:tr>
      <w:tr>
        <w:trPr>
          <w:trHeight w:val="213"/>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14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199,677</w:t>
            </w:r>
          </w:p>
        </w:tc>
        <w:tc>
          <w:tcPr>
            <w:tcW w:w="0" w:type="dxa"/>
            <w:vAlign w:val="bottom"/>
          </w:tcPr>
          <w:p>
            <w:pPr>
              <w:spacing w:after="0"/>
              <w:rPr>
                <w:sz w:val="1"/>
                <w:szCs w:val="1"/>
                <w:color w:val="auto"/>
              </w:rPr>
            </w:pPr>
          </w:p>
        </w:tc>
      </w:tr>
      <w:tr>
        <w:trPr>
          <w:trHeight w:val="213"/>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Legacy WMC Commercial Loans</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55,376</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Non-Agency RMBS</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201,381</w:t>
            </w:r>
          </w:p>
        </w:tc>
        <w:tc>
          <w:tcPr>
            <w:tcW w:w="0" w:type="dxa"/>
            <w:vAlign w:val="bottom"/>
          </w:tcPr>
          <w:p>
            <w:pPr>
              <w:spacing w:after="0"/>
              <w:rPr>
                <w:sz w:val="1"/>
                <w:szCs w:val="1"/>
                <w:color w:val="auto"/>
              </w:rPr>
            </w:pPr>
          </w:p>
        </w:tc>
      </w:tr>
      <w:tr>
        <w:trPr>
          <w:trHeight w:val="213"/>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Legacy WMC CMBS</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42,565</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Agency RMBS</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16,358</w:t>
            </w:r>
          </w:p>
        </w:tc>
        <w:tc>
          <w:tcPr>
            <w:tcW w:w="0" w:type="dxa"/>
            <w:vAlign w:val="bottom"/>
          </w:tcPr>
          <w:p>
            <w:pPr>
              <w:spacing w:after="0"/>
              <w:rPr>
                <w:sz w:val="1"/>
                <w:szCs w:val="1"/>
                <w:color w:val="auto"/>
              </w:rPr>
            </w:pPr>
          </w:p>
        </w:tc>
      </w:tr>
      <w:tr>
        <w:trPr>
          <w:trHeight w:val="213"/>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assets (1)</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5,395</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equivalents (2)</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55,979</w:t>
            </w:r>
          </w:p>
        </w:tc>
        <w:tc>
          <w:tcPr>
            <w:tcW w:w="0" w:type="dxa"/>
            <w:vAlign w:val="bottom"/>
          </w:tcPr>
          <w:p>
            <w:pPr>
              <w:spacing w:after="0"/>
              <w:rPr>
                <w:sz w:val="1"/>
                <w:szCs w:val="1"/>
                <w:color w:val="auto"/>
              </w:rPr>
            </w:pPr>
          </w:p>
        </w:tc>
      </w:tr>
      <w:tr>
        <w:trPr>
          <w:trHeight w:val="213"/>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AG Arc (3)</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50,016</w:t>
            </w:r>
          </w:p>
        </w:tc>
        <w:tc>
          <w:tcPr>
            <w:tcW w:w="0" w:type="dxa"/>
            <w:vAlign w:val="bottom"/>
          </w:tcPr>
          <w:p>
            <w:pPr>
              <w:spacing w:after="0"/>
              <w:rPr>
                <w:sz w:val="1"/>
                <w:szCs w:val="1"/>
                <w:color w:val="auto"/>
              </w:rPr>
            </w:pPr>
          </w:p>
        </w:tc>
      </w:tr>
      <w:tr>
        <w:trPr>
          <w:trHeight w:val="142"/>
        </w:trPr>
        <w:tc>
          <w:tcPr>
            <w:tcW w:w="2580" w:type="dxa"/>
            <w:vAlign w:val="bottom"/>
          </w:tcPr>
          <w:p>
            <w:pPr>
              <w:ind w:left="220"/>
              <w:spacing w:after="0" w:line="142" w:lineRule="exact"/>
              <w:rPr>
                <w:sz w:val="20"/>
                <w:szCs w:val="20"/>
                <w:color w:val="auto"/>
              </w:rPr>
            </w:pPr>
            <w:r>
              <w:rPr>
                <w:rFonts w:ascii="Times New Roman" w:cs="Times New Roman" w:eastAsia="Times New Roman" w:hAnsi="Times New Roman"/>
                <w:sz w:val="16"/>
                <w:szCs w:val="16"/>
                <w:color w:val="auto"/>
              </w:rPr>
              <w:t>Total Assets Measured at Fair</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48,624</w:t>
            </w:r>
          </w:p>
        </w:tc>
        <w:tc>
          <w:tcPr>
            <w:tcW w:w="10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75,049</w:t>
            </w:r>
          </w:p>
        </w:tc>
        <w:tc>
          <w:tcPr>
            <w:tcW w:w="12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8,081,737</w:t>
            </w:r>
          </w:p>
        </w:tc>
        <w:tc>
          <w:tcPr>
            <w:tcW w:w="10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8,205,410</w:t>
            </w:r>
          </w:p>
        </w:tc>
        <w:tc>
          <w:tcPr>
            <w:tcW w:w="8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55,979</w:t>
            </w:r>
          </w:p>
        </w:tc>
        <w:tc>
          <w:tcPr>
            <w:tcW w:w="80" w:type="dxa"/>
            <w:vAlign w:val="bottom"/>
          </w:tcPr>
          <w:p>
            <w:pPr>
              <w:spacing w:after="0"/>
              <w:rPr>
                <w:sz w:val="12"/>
                <w:szCs w:val="12"/>
                <w:color w:val="auto"/>
              </w:rPr>
            </w:pPr>
          </w:p>
        </w:tc>
        <w:tc>
          <w:tcPr>
            <w:tcW w:w="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75,234</w:t>
            </w:r>
          </w:p>
        </w:tc>
        <w:tc>
          <w:tcPr>
            <w:tcW w:w="10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8,495,153</w:t>
            </w:r>
          </w:p>
        </w:tc>
        <w:tc>
          <w:tcPr>
            <w:tcW w:w="10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8,626,366</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Value</w:t>
            </w:r>
          </w:p>
        </w:tc>
        <w:tc>
          <w:tcPr>
            <w:tcW w:w="14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Securitized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(6,749,708)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(6,749,708)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(7,177,923)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(7,177,923)</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Derivative liabilities (1)</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0" w:type="dxa"/>
            <w:vAlign w:val="bottom"/>
          </w:tcPr>
          <w:p>
            <w:pPr>
              <w:spacing w:after="0"/>
              <w:rPr>
                <w:sz w:val="1"/>
                <w:szCs w:val="1"/>
                <w:color w:val="auto"/>
              </w:rPr>
            </w:pPr>
          </w:p>
        </w:tc>
      </w:tr>
      <w:tr>
        <w:trPr>
          <w:trHeight w:val="145"/>
        </w:trPr>
        <w:tc>
          <w:tcPr>
            <w:tcW w:w="2580" w:type="dxa"/>
            <w:vAlign w:val="bottom"/>
            <w:shd w:val="clear" w:color="auto" w:fill="CCEEFF"/>
          </w:tcPr>
          <w:p>
            <w:pPr>
              <w:ind w:left="220"/>
              <w:spacing w:after="0" w:line="145" w:lineRule="exact"/>
              <w:rPr>
                <w:sz w:val="20"/>
                <w:szCs w:val="20"/>
                <w:color w:val="auto"/>
              </w:rPr>
            </w:pPr>
            <w:r>
              <w:rPr>
                <w:rFonts w:ascii="Times New Roman" w:cs="Times New Roman" w:eastAsia="Times New Roman" w:hAnsi="Times New Roman"/>
                <w:sz w:val="16"/>
                <w:szCs w:val="16"/>
                <w:color w:val="auto"/>
              </w:rPr>
              <w:t>Total Liabilities Measured at Fair</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(6,749,708)</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(6,750,522)</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(7,177,923)</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(7,179,092)</w:t>
            </w:r>
          </w:p>
        </w:tc>
        <w:tc>
          <w:tcPr>
            <w:tcW w:w="0" w:type="dxa"/>
            <w:vAlign w:val="bottom"/>
          </w:tcPr>
          <w:p>
            <w:pPr>
              <w:spacing w:after="0"/>
              <w:rPr>
                <w:sz w:val="1"/>
                <w:szCs w:val="1"/>
                <w:color w:val="auto"/>
              </w:rPr>
            </w:pPr>
          </w:p>
        </w:tc>
      </w:tr>
      <w:tr>
        <w:trPr>
          <w:trHeight w:val="218"/>
        </w:trPr>
        <w:tc>
          <w:tcPr>
            <w:tcW w:w="2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Value</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left="660" w:hanging="328"/>
        <w:spacing w:after="0" w:line="256"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2026, the Company applied a reduction in fair value of $6.2 million and $0.8 million to its interest rate swap assets and liabilities, respectively, related to variation margin with a corresponding increase or decrease in restricted cash. As of December 31, 2025, the Company applied a reduction in fair value of $5.3 million and $1.2 million to its interest rate swap assets and liabilities, respectively, related to variation margin with a corresponding increase or decrease in restricted cash. Derivative assets and liabilities are included in the "Other assets" and "Other liabilities" line items on the consolidated balance sheets, respectively.</w:t>
      </w:r>
    </w:p>
    <w:p>
      <w:pPr>
        <w:spacing w:after="0" w:line="2" w:lineRule="exact"/>
        <w:rPr>
          <w:rFonts w:ascii="Times New Roman" w:cs="Times New Roman" w:eastAsia="Times New Roman" w:hAnsi="Times New Roman"/>
          <w:sz w:val="16"/>
          <w:szCs w:val="16"/>
          <w:color w:val="auto"/>
        </w:rPr>
      </w:pPr>
    </w:p>
    <w:p>
      <w:pPr>
        <w:ind w:left="660" w:hanging="328"/>
        <w:spacing w:after="0" w:line="255"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classifies highly liquid investments with original maturities of three months or less from the date of purchase as cash equivalents. Cash equivalents may include cash invested in money market funds and are carried at cost, which approximates fair value.</w:t>
      </w:r>
    </w:p>
    <w:p>
      <w:pPr>
        <w:ind w:left="660" w:hanging="328"/>
        <w:spacing w:after="0" w:line="257"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 above includes the Company's investment in AG Arc, which is included in its "Investments in debt and equity of affiliates" line item on the consolidated balance sheets, as the Company has elected the fair value option with respect to its investment pursuant to ASC 825.</w:t>
      </w:r>
    </w:p>
    <w:p>
      <w:pPr>
        <w:spacing w:after="0" w:line="2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valuation of certain of the Company’s assets and liabilities, including residential mortgage loans, securitized debt, commercial loans, certain securities, loan purchase commitments and forward purchase commitments, is determined by the Manager using third-party pricing services where available, valuation analyses from third-party pricing service providers, or model-based pricing. Third-party pricing service providers conduct independent valuation analyses based on a review of source documents, available market data, and comparable investments. The analyses provided by valuation service providers are reviewed and considered by the Manager. The evaluation considers the underlying characteristics of each loan, which are observable inputs, including: coupon, maturity date, loan age, reset date, collateral type, periodic and life cap, geography, and historical prepayment speeds. The Company also considers loan servicing data, as available, forward interest rates, general economic conditions, home price index forecasts, and valuations of the underlying properties. The variables considered most significant to the determination of the fair value of these assets and liabilities include market-implied discount rates, projections of default rates, delinquency rates, prepayment rates, loss severity, recovery rates, reperformance rates, timeline to liquidation, and, for forward purchase commitments, pull-through rates. The Company and third-party pricing service providers use loan level data and macro-economic inputs to generate loss adjusted cash flows and other information in determining the fair value. Because of the inherent uncertainty of such valuation, the fair value established for these assets and liabilities held by the Company may differ from the fair value that would have been established if a ready market existed for these mortgage loans.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Fair values for the Company’s securities and derivatives may be based upon prices obtained from third-party pricing services or broker quotations. The valuation methodology of the Company’s third-party pricing services incorporates commonly used market pricing methods, including a spread measurement to various indices, which are observable inputs. The evaluation also considers the underlying characteristics of each investment, which are also observable inputs, including: coupon, maturity date, loan age, reset date, collateral type, periodic and life cap, geography, and prepayment speeds. The Company collects and considers current market intelligence on all major markets, including benchmark security evaluations and bid-lists from various sources, when available. As part of the Company’s risk management process, the Company reviews and analyzes all prices obtained by comparing prices to recently completed transactions involving the same or similar investments on or near the reporting date. If, in the opinion of the Manager, one or more prices reported to the Company are not reliable or unavailable, the Manager reviews the fair value based on characteristics of the investment it receives from the issuer and available market information.</w:t>
      </w:r>
    </w:p>
    <w:p>
      <w:pPr>
        <w:spacing w:after="0" w:line="21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Company's investment in Arc Home is evaluated on a periodic basis using a market approach. In applying the market approach, fair value is determined by multiplying Arc Home's book value by a relevant valuation multiple observed based on a range of comparable public entities or transactions, adjusted by management as appropriate for differences between the investment and the referenced comparables. The evaluation also considers the underlying financial performance of Arc Home, general economic conditions, and relevant trends within the mortgage banking industry.</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Changes in the market environment and other events that may occur over the life of these investments may cause the gains or losses ultimately realized to be different than the valuations currently estimated. The significant unobservable inputs used in the fair value measurement of the Company’s loans and securities are yields, prepayment rates, probability of default, and loss severity in the event of default. Significant increases (decreases) in any of those inputs in isolation would result in a significantly lower (higher) fair value measurement. Generally, a change in the assumption used for the probability of default is accompanied by a directionally similar change in the assumption used for the loss severity and a directionally opposite change in the assumption used for prepayment rates. The significant unobservable input used in the fair value measurement of the Company’s investment in Arc Home is the book value multiple. Significant increases (decreases) in the multiple applied would result in a significantly higher (lower) fair value measurement.</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have any transfers of assets or liabilities between Levels 1 and 2 of the fair value hierarchy during the three months ended March 31, 2026 and 2025.</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did not have any transfers of assets or liabilities between Levels 1 or 2 and Level 3 of the fair value hierarchy during the three months ended March 31, 2026 and 2025. Transfers into the Level 3 category of the fair value hierarchy occur due to instruments exhibiting indications of reduced levels of market transparency. Transfers out of the Level 3 category of the fair value hierarchy occur due to instruments exhibiting indications of increased levels of market transparency. Indications of increases or decreases in levels of market transparency include a change in observable transactions or executable quotes involving these instruments or similar instruments. Changes in these indications could impact price transparency, and thereby cause a change in level designations in future periods.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9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tables present additional information about the Company’s assets and liabilities which are measured at fair value on a recurring basis for which the Company has utilized Level 3 inputs to determine fair value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March 31, 2026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rPr>
              <w:t>Residential</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Legacy WMC</w:t>
            </w:r>
          </w:p>
        </w:tc>
        <w:tc>
          <w:tcPr>
            <w:tcW w:w="20" w:type="dxa"/>
            <w:vAlign w:val="bottom"/>
          </w:tcPr>
          <w:p>
            <w:pPr>
              <w:spacing w:after="0"/>
              <w:rPr>
                <w:sz w:val="12"/>
                <w:szCs w:val="12"/>
                <w:color w:val="auto"/>
              </w:rPr>
            </w:pPr>
          </w:p>
        </w:tc>
        <w:tc>
          <w:tcPr>
            <w:tcW w:w="1380" w:type="dxa"/>
            <w:vAlign w:val="bottom"/>
            <w:gridSpan w:val="4"/>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Non-Agency</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Securitized</w:t>
            </w: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left="53"/>
              <w:spacing w:after="0" w:line="135" w:lineRule="exact"/>
              <w:rPr>
                <w:sz w:val="20"/>
                <w:szCs w:val="20"/>
                <w:color w:val="auto"/>
              </w:rPr>
            </w:pPr>
            <w:r>
              <w:rPr>
                <w:rFonts w:ascii="Times New Roman" w:cs="Times New Roman" w:eastAsia="Times New Roman" w:hAnsi="Times New Roman"/>
                <w:sz w:val="13"/>
                <w:szCs w:val="13"/>
                <w:b w:val="1"/>
                <w:bCs w:val="1"/>
                <w:color w:val="auto"/>
              </w:rPr>
              <w:t>Mortgage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4"/>
            <w:vMerge w:val="restart"/>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Other Assets (2)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AG Arc</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0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rPr>
              <w:t>Loans (1)</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Commercial Loans</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RMBS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Debt</w:t>
            </w:r>
          </w:p>
        </w:tc>
        <w:tc>
          <w:tcPr>
            <w:tcW w:w="0" w:type="dxa"/>
            <w:vAlign w:val="bottom"/>
          </w:tcPr>
          <w:p>
            <w:pPr>
              <w:spacing w:after="0"/>
              <w:rPr>
                <w:sz w:val="1"/>
                <w:szCs w:val="1"/>
                <w:color w:val="auto"/>
              </w:rPr>
            </w:pPr>
          </w:p>
        </w:tc>
      </w:tr>
      <w:tr>
        <w:trPr>
          <w:trHeight w:val="188"/>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8,198,215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55,376</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573"/>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191,546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50,016</w:t>
            </w: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(7,177,923)</w:t>
            </w:r>
          </w:p>
        </w:tc>
        <w:tc>
          <w:tcPr>
            <w:tcW w:w="0" w:type="dxa"/>
            <w:vAlign w:val="bottom"/>
          </w:tcPr>
          <w:p>
            <w:pPr>
              <w:spacing w:after="0"/>
              <w:rPr>
                <w:sz w:val="1"/>
                <w:szCs w:val="1"/>
                <w:color w:val="auto"/>
              </w:rPr>
            </w:pPr>
          </w:p>
        </w:tc>
      </w:tr>
      <w:tr>
        <w:trPr>
          <w:trHeight w:val="182"/>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86,737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28,651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sales or settlements</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(49,375)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Principal repayments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(386,824)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363,141</w:t>
            </w: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Principal funding</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Included in net income: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premium and discount amortization (3)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(3,122)</w:t>
            </w:r>
          </w:p>
        </w:tc>
        <w:tc>
          <w:tcPr>
            <w:tcW w:w="0" w:type="dxa"/>
            <w:vAlign w:val="bottom"/>
          </w:tcPr>
          <w:p>
            <w:pPr>
              <w:spacing w:after="0"/>
              <w:rPr>
                <w:sz w:val="1"/>
                <w:szCs w:val="1"/>
                <w:color w:val="auto"/>
              </w:rPr>
            </w:pPr>
          </w:p>
        </w:tc>
      </w:tr>
      <w:tr>
        <w:trPr>
          <w:trHeight w:val="182"/>
        </w:trPr>
        <w:tc>
          <w:tcPr>
            <w:tcW w:w="3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realized gain/(loss)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unrealized gain/(loss)</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(79,681)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68,196</w:t>
            </w:r>
          </w:p>
        </w:tc>
        <w:tc>
          <w:tcPr>
            <w:tcW w:w="0" w:type="dxa"/>
            <w:vAlign w:val="bottom"/>
          </w:tcPr>
          <w:p>
            <w:pPr>
              <w:spacing w:after="0"/>
              <w:rPr>
                <w:sz w:val="1"/>
                <w:szCs w:val="1"/>
                <w:color w:val="auto"/>
              </w:rPr>
            </w:pPr>
          </w:p>
        </w:tc>
      </w:tr>
      <w:tr>
        <w:trPr>
          <w:trHeight w:val="182"/>
        </w:trPr>
        <w:tc>
          <w:tcPr>
            <w:tcW w:w="3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 in earnings/(loss) from affiliates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(4)</w:t>
            </w: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(4,344)</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7,766,335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51,504</w:t>
            </w:r>
          </w:p>
        </w:tc>
        <w:tc>
          <w:tcPr>
            <w:tcW w:w="80" w:type="dxa"/>
            <w:vAlign w:val="bottom"/>
          </w:tcPr>
          <w:p>
            <w:pPr>
              <w:spacing w:after="0"/>
              <w:rPr>
                <w:sz w:val="15"/>
                <w:szCs w:val="15"/>
                <w:color w:val="auto"/>
              </w:rPr>
            </w:pPr>
          </w:p>
        </w:tc>
        <w:tc>
          <w:tcPr>
            <w:tcW w:w="740" w:type="dxa"/>
            <w:vAlign w:val="bottom"/>
            <w:gridSpan w:val="2"/>
          </w:tcPr>
          <w:p>
            <w:pPr>
              <w:jc w:val="right"/>
              <w:ind w:right="573"/>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211,564</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52,334</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(6,749,708)</w:t>
            </w:r>
          </w:p>
        </w:tc>
        <w:tc>
          <w:tcPr>
            <w:tcW w:w="0" w:type="dxa"/>
            <w:vAlign w:val="bottom"/>
          </w:tcPr>
          <w:p>
            <w:pPr>
              <w:spacing w:after="0"/>
              <w:rPr>
                <w:sz w:val="1"/>
                <w:szCs w:val="1"/>
                <w:color w:val="auto"/>
              </w:rPr>
            </w:pPr>
          </w:p>
        </w:tc>
      </w:tr>
      <w:tr>
        <w:trPr>
          <w:trHeight w:val="155"/>
        </w:trPr>
        <w:tc>
          <w:tcPr>
            <w:tcW w:w="3120" w:type="dxa"/>
            <w:vAlign w:val="bottom"/>
            <w:gridSpan w:val="2"/>
            <w:shd w:val="clear" w:color="auto" w:fill="CCEEFF"/>
          </w:tcPr>
          <w:p>
            <w:pPr>
              <w:spacing w:after="0"/>
              <w:rPr>
                <w:sz w:val="13"/>
                <w:szCs w:val="13"/>
                <w:color w:val="auto"/>
              </w:rPr>
            </w:pPr>
          </w:p>
        </w:tc>
        <w:tc>
          <w:tcPr>
            <w:tcW w:w="1080" w:type="dxa"/>
            <w:vAlign w:val="bottom"/>
            <w:gridSpan w:val="3"/>
            <w:shd w:val="clear" w:color="auto" w:fill="CCEEFF"/>
          </w:tcPr>
          <w:p>
            <w:pPr>
              <w:spacing w:after="0"/>
              <w:rPr>
                <w:sz w:val="13"/>
                <w:szCs w:val="13"/>
                <w:color w:val="auto"/>
              </w:rPr>
            </w:pPr>
          </w:p>
        </w:tc>
        <w:tc>
          <w:tcPr>
            <w:tcW w:w="280" w:type="dxa"/>
            <w:vAlign w:val="bottom"/>
            <w:gridSpan w:val="2"/>
            <w:shd w:val="clear" w:color="auto" w:fill="CCEEFF"/>
          </w:tcPr>
          <w:p>
            <w:pPr>
              <w:spacing w:after="0"/>
              <w:rPr>
                <w:sz w:val="13"/>
                <w:szCs w:val="13"/>
                <w:color w:val="auto"/>
              </w:rPr>
            </w:pPr>
          </w:p>
        </w:tc>
        <w:tc>
          <w:tcPr>
            <w:tcW w:w="1000" w:type="dxa"/>
            <w:vAlign w:val="bottom"/>
            <w:gridSpan w:val="3"/>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840" w:type="dxa"/>
            <w:vAlign w:val="bottom"/>
            <w:gridSpan w:val="12"/>
          </w:tcPr>
          <w:p>
            <w:pPr>
              <w:ind w:left="20"/>
              <w:spacing w:after="0"/>
              <w:rPr>
                <w:sz w:val="20"/>
                <w:szCs w:val="20"/>
                <w:color w:val="auto"/>
              </w:rPr>
            </w:pPr>
            <w:r>
              <w:rPr>
                <w:rFonts w:ascii="Times New Roman" w:cs="Times New Roman" w:eastAsia="Times New Roman" w:hAnsi="Times New Roman"/>
                <w:sz w:val="13"/>
                <w:szCs w:val="13"/>
                <w:color w:val="auto"/>
              </w:rPr>
              <w:t>Change in unrealized appreciation/(depreciation) for level 3 assets/liabilities still held as of March 31, 2026</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premium and discount amortization (3)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573"/>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(3,122)</w:t>
            </w:r>
          </w:p>
        </w:tc>
        <w:tc>
          <w:tcPr>
            <w:tcW w:w="0" w:type="dxa"/>
            <w:vAlign w:val="bottom"/>
          </w:tcPr>
          <w:p>
            <w:pPr>
              <w:spacing w:after="0"/>
              <w:rPr>
                <w:sz w:val="1"/>
                <w:szCs w:val="1"/>
                <w:color w:val="auto"/>
              </w:rPr>
            </w:pPr>
          </w:p>
        </w:tc>
      </w:tr>
      <w:tr>
        <w:trPr>
          <w:trHeight w:val="182"/>
        </w:trPr>
        <w:tc>
          <w:tcPr>
            <w:tcW w:w="3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unrealized gain/(loss)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(79,712)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(3,479)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(1,949)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68,196</w:t>
            </w: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 in earnings/(loss) from affiliates</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6"/>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March 31, 2025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Residential</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vMerge w:val="restart"/>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Legacy WMC</w:t>
            </w:r>
          </w:p>
        </w:tc>
        <w:tc>
          <w:tcPr>
            <w:tcW w:w="80" w:type="dxa"/>
            <w:vAlign w:val="bottom"/>
          </w:tcPr>
          <w:p>
            <w:pPr>
              <w:spacing w:after="0"/>
              <w:rPr>
                <w:sz w:val="12"/>
                <w:szCs w:val="12"/>
                <w:color w:val="auto"/>
              </w:rPr>
            </w:pPr>
          </w:p>
        </w:tc>
        <w:tc>
          <w:tcPr>
            <w:tcW w:w="1100" w:type="dxa"/>
            <w:vAlign w:val="bottom"/>
            <w:gridSpan w:val="4"/>
            <w:vMerge w:val="restart"/>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Non-Agency</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Securitized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Other Liabilities</w:t>
            </w: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173"/>
              <w:spacing w:after="0" w:line="135" w:lineRule="exact"/>
              <w:rPr>
                <w:sz w:val="20"/>
                <w:szCs w:val="20"/>
                <w:color w:val="auto"/>
              </w:rPr>
            </w:pPr>
            <w:r>
              <w:rPr>
                <w:rFonts w:ascii="Times New Roman" w:cs="Times New Roman" w:eastAsia="Times New Roman" w:hAnsi="Times New Roman"/>
                <w:sz w:val="13"/>
                <w:szCs w:val="13"/>
                <w:b w:val="1"/>
                <w:bCs w:val="1"/>
                <w:color w:val="auto"/>
              </w:rPr>
              <w:t>Mortgage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Other Assets (2)</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4"/>
            <w:vMerge w:val="restart"/>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AG Arc</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0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Loans (1)</w:t>
            </w: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Commercial Loans</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RMBS</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gridSpan w:val="4"/>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4"/>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Debt</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(2)</w:t>
            </w:r>
          </w:p>
        </w:tc>
        <w:tc>
          <w:tcPr>
            <w:tcW w:w="0" w:type="dxa"/>
            <w:vAlign w:val="bottom"/>
          </w:tcPr>
          <w:p>
            <w:pPr>
              <w:spacing w:after="0"/>
              <w:rPr>
                <w:sz w:val="1"/>
                <w:szCs w:val="1"/>
                <w:color w:val="auto"/>
              </w:rPr>
            </w:pPr>
          </w:p>
        </w:tc>
      </w:tr>
      <w:tr>
        <w:trPr>
          <w:trHeight w:val="188"/>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6,416,066</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67,005</w:t>
            </w:r>
          </w:p>
        </w:tc>
        <w:tc>
          <w:tcPr>
            <w:tcW w:w="36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115,533</w:t>
            </w:r>
          </w:p>
        </w:tc>
        <w:tc>
          <w:tcPr>
            <w:tcW w:w="540" w:type="dxa"/>
            <w:vAlign w:val="bottom"/>
            <w:gridSpan w:val="2"/>
            <w:shd w:val="clear" w:color="auto" w:fill="CCEEFF"/>
          </w:tcPr>
          <w:p>
            <w:pPr>
              <w:jc w:val="right"/>
              <w:ind w:right="2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(5,491,967)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0" w:type="dxa"/>
            <w:vAlign w:val="bottom"/>
          </w:tcPr>
          <w:p>
            <w:pPr>
              <w:spacing w:after="0"/>
              <w:rPr>
                <w:sz w:val="1"/>
                <w:szCs w:val="1"/>
                <w:color w:val="auto"/>
              </w:rPr>
            </w:pPr>
          </w:p>
        </w:tc>
      </w:tr>
      <w:tr>
        <w:trPr>
          <w:trHeight w:val="182"/>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494,769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25,963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Issuances of Securitized Debt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(408,670)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sales or settlements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(20,428)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Principal repayments</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(187,597)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170,775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Principal funding</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Included in net income:</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premium and discount amortization (3)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(6,807)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realized gain/(loss)</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0" w:type="dxa"/>
            <w:vAlign w:val="bottom"/>
          </w:tcPr>
          <w:p>
            <w:pPr>
              <w:spacing w:after="0"/>
              <w:rPr>
                <w:sz w:val="1"/>
                <w:szCs w:val="1"/>
                <w:color w:val="auto"/>
              </w:rPr>
            </w:pPr>
          </w:p>
        </w:tc>
      </w:tr>
      <w:tr>
        <w:trPr>
          <w:trHeight w:val="182"/>
        </w:trPr>
        <w:tc>
          <w:tcPr>
            <w:tcW w:w="3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unrealized gain/(loss)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107,843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(100,022)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 in earnings/(loss) from affiliates</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1,464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(4)</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(4,062)</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6,809,796</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65,504</w:t>
            </w:r>
          </w:p>
        </w:tc>
        <w:tc>
          <w:tcPr>
            <w:tcW w:w="36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141,118</w:t>
            </w:r>
          </w:p>
        </w:tc>
        <w:tc>
          <w:tcPr>
            <w:tcW w:w="540" w:type="dxa"/>
            <w:vAlign w:val="bottom"/>
            <w:gridSpan w:val="2"/>
            <w:shd w:val="clear" w:color="auto" w:fill="CCEEFF"/>
          </w:tcPr>
          <w:p>
            <w:pPr>
              <w:jc w:val="right"/>
              <w:ind w:right="2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(5,836,691)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200" w:type="dxa"/>
            <w:vAlign w:val="bottom"/>
            <w:gridSpan w:val="5"/>
          </w:tcPr>
          <w:p>
            <w:pPr>
              <w:spacing w:after="0"/>
              <w:rPr>
                <w:sz w:val="12"/>
                <w:szCs w:val="12"/>
                <w:color w:val="auto"/>
              </w:rPr>
            </w:pPr>
          </w:p>
        </w:tc>
        <w:tc>
          <w:tcPr>
            <w:tcW w:w="1280" w:type="dxa"/>
            <w:vAlign w:val="bottom"/>
            <w:gridSpan w:val="5"/>
          </w:tcPr>
          <w:p>
            <w:pPr>
              <w:spacing w:after="0"/>
              <w:rPr>
                <w:sz w:val="12"/>
                <w:szCs w:val="12"/>
                <w:color w:val="auto"/>
              </w:rPr>
            </w:pPr>
          </w:p>
        </w:tc>
        <w:tc>
          <w:tcPr>
            <w:tcW w:w="3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84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unrealized appreciation/(depreciation) for level 3 assets/liabilities still held as of March 31, 2025</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premium and discount amortization (3)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(6,807)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unrealized gain/(loss)</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106,986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(100,022)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 in earnings/(loss) from affiliates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5"/>
              </w:rPr>
              <w:t>1,464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Securitized residential mortgage loans.</w:t>
      </w:r>
    </w:p>
    <w:p>
      <w:pPr>
        <w:spacing w:after="0" w:line="24" w:lineRule="exact"/>
        <w:rPr>
          <w:rFonts w:ascii="Times New Roman" w:cs="Times New Roman" w:eastAsia="Times New Roman" w:hAnsi="Times New Roman"/>
          <w:sz w:val="13"/>
          <w:szCs w:val="13"/>
          <w:color w:val="auto"/>
        </w:rPr>
      </w:pPr>
    </w:p>
    <w:p>
      <w:pPr>
        <w:ind w:left="660" w:hanging="328"/>
        <w:spacing w:after="0"/>
        <w:tabs>
          <w:tab w:leader="none" w:pos="6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assets and Other liabilities include derivative forward purchase commitments and loan purchase commitments, if applicable.</w:t>
      </w:r>
    </w:p>
    <w:p>
      <w:pPr>
        <w:spacing w:after="0" w:line="12" w:lineRule="exact"/>
        <w:rPr>
          <w:rFonts w:ascii="Times New Roman" w:cs="Times New Roman" w:eastAsia="Times New Roman" w:hAnsi="Times New Roman"/>
          <w:sz w:val="13"/>
          <w:szCs w:val="13"/>
          <w:color w:val="auto"/>
        </w:rPr>
      </w:pPr>
    </w:p>
    <w:p>
      <w:pPr>
        <w:ind w:left="660" w:hanging="328"/>
        <w:spacing w:after="0"/>
        <w:tabs>
          <w:tab w:leader="none" w:pos="6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in the "Interest income" and "Interest expense" line items on the consolidated statement of operations for assets and liabilities, respectively.</w:t>
      </w:r>
    </w:p>
    <w:p>
      <w:pPr>
        <w:spacing w:after="0" w:line="12" w:lineRule="exact"/>
        <w:rPr>
          <w:rFonts w:ascii="Times New Roman" w:cs="Times New Roman" w:eastAsia="Times New Roman" w:hAnsi="Times New Roman"/>
          <w:sz w:val="13"/>
          <w:szCs w:val="13"/>
          <w:color w:val="auto"/>
        </w:rPr>
      </w:pPr>
    </w:p>
    <w:p>
      <w:pPr>
        <w:ind w:left="660" w:hanging="328"/>
        <w:spacing w:after="0"/>
        <w:tabs>
          <w:tab w:leader="none" w:pos="6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transfers of residential mortgage loans to real estate owned as well as activity related to advances.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9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following table presents a summary of quantitative information about the significant unobservable inputs used in the fair value measurement of investments for which the Company has utilized Level 3 inputs to determine fair value as of March 31, 2026 and December 31, 2025 ($ in thousands).</w:t>
      </w: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8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50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40" w:type="dxa"/>
            <w:vAlign w:val="bottom"/>
          </w:tcPr>
          <w:p>
            <w:pPr>
              <w:spacing w:after="0"/>
              <w:rPr>
                <w:sz w:val="11"/>
                <w:szCs w:val="11"/>
                <w:color w:val="auto"/>
              </w:rPr>
            </w:pPr>
          </w:p>
        </w:tc>
        <w:tc>
          <w:tcPr>
            <w:tcW w:w="540" w:type="dxa"/>
            <w:vAlign w:val="bottom"/>
          </w:tcPr>
          <w:p>
            <w:pPr>
              <w:jc w:val="center"/>
              <w:ind w:left="48"/>
              <w:spacing w:after="0" w:line="131" w:lineRule="exact"/>
              <w:rPr>
                <w:sz w:val="20"/>
                <w:szCs w:val="20"/>
                <w:color w:val="auto"/>
              </w:rPr>
            </w:pPr>
            <w:r>
              <w:rPr>
                <w:rFonts w:ascii="Times New Roman" w:cs="Times New Roman" w:eastAsia="Times New Roman" w:hAnsi="Times New Roman"/>
                <w:sz w:val="14"/>
                <w:szCs w:val="14"/>
                <w:b w:val="1"/>
                <w:bCs w:val="1"/>
                <w:color w:val="auto"/>
                <w:w w:val="99"/>
              </w:rPr>
              <w:t>Range</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jc w:val="center"/>
              <w:ind w:left="48"/>
              <w:spacing w:after="0" w:line="131" w:lineRule="exact"/>
              <w:rPr>
                <w:sz w:val="20"/>
                <w:szCs w:val="20"/>
                <w:color w:val="auto"/>
              </w:rPr>
            </w:pPr>
            <w:r>
              <w:rPr>
                <w:rFonts w:ascii="Times New Roman" w:cs="Times New Roman" w:eastAsia="Times New Roman" w:hAnsi="Times New Roman"/>
                <w:sz w:val="14"/>
                <w:szCs w:val="14"/>
                <w:b w:val="1"/>
                <w:bCs w:val="1"/>
                <w:color w:val="auto"/>
              </w:rPr>
              <w:t>Range</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820" w:type="dxa"/>
            <w:vAlign w:val="bottom"/>
            <w:gridSpan w:val="2"/>
            <w:vMerge w:val="continue"/>
          </w:tcPr>
          <w:p>
            <w:pPr>
              <w:spacing w:after="0"/>
              <w:rPr>
                <w:sz w:val="16"/>
                <w:szCs w:val="16"/>
                <w:color w:val="auto"/>
              </w:rPr>
            </w:pPr>
          </w:p>
        </w:tc>
        <w:tc>
          <w:tcPr>
            <w:tcW w:w="2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 (1)</w:t>
            </w: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 (1)</w:t>
            </w:r>
          </w:p>
        </w:tc>
        <w:tc>
          <w:tcPr>
            <w:tcW w:w="0" w:type="dxa"/>
            <w:vAlign w:val="bottom"/>
          </w:tcPr>
          <w:p>
            <w:pPr>
              <w:spacing w:after="0"/>
              <w:rPr>
                <w:sz w:val="1"/>
                <w:szCs w:val="1"/>
                <w:color w:val="auto"/>
              </w:rPr>
            </w:pPr>
          </w:p>
        </w:tc>
      </w:tr>
      <w:tr>
        <w:trPr>
          <w:trHeight w:val="189"/>
        </w:trPr>
        <w:tc>
          <w:tcPr>
            <w:tcW w:w="432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Securitized Residential Mortgage Loans</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7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Yield</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- 18.27% (5.97%)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- 18.10%</w:t>
            </w: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(5.78%)</w:t>
            </w:r>
          </w:p>
        </w:tc>
        <w:tc>
          <w:tcPr>
            <w:tcW w:w="0" w:type="dxa"/>
            <w:vAlign w:val="bottom"/>
          </w:tcPr>
          <w:p>
            <w:pPr>
              <w:spacing w:after="0"/>
              <w:rPr>
                <w:sz w:val="1"/>
                <w:szCs w:val="1"/>
                <w:color w:val="auto"/>
              </w:rPr>
            </w:pPr>
          </w:p>
        </w:tc>
      </w:tr>
      <w:tr>
        <w:trPr>
          <w:trHeight w:val="216"/>
        </w:trPr>
        <w:tc>
          <w:tcPr>
            <w:tcW w:w="1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Collateral Prepayments</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7,538,748</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 - 22.00%</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7,999,619</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 - 22.00%</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(10.09%)</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Collateral Losses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- 1.76%</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- 1.77%</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(0.09%)</w:t>
            </w:r>
          </w:p>
        </w:tc>
        <w:tc>
          <w:tcPr>
            <w:tcW w:w="0" w:type="dxa"/>
            <w:vAlign w:val="bottom"/>
          </w:tcPr>
          <w:p>
            <w:pPr>
              <w:spacing w:after="0"/>
              <w:rPr>
                <w:sz w:val="1"/>
                <w:szCs w:val="1"/>
                <w:color w:val="auto"/>
              </w:rPr>
            </w:pPr>
          </w:p>
        </w:tc>
      </w:tr>
      <w:tr>
        <w:trPr>
          <w:trHeight w:val="219"/>
        </w:trPr>
        <w:tc>
          <w:tcPr>
            <w:tcW w:w="1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Collateral Severities (2)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340" w:type="dxa"/>
            <w:vAlign w:val="bottom"/>
            <w:tcBorders>
              <w:bottom w:val="single" w:sz="8" w:color="CCEEFF"/>
            </w:tcBorders>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10.00% - 100.00% (27.88%)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CCEEFF"/>
            </w:tcBorders>
            <w:gridSpan w:val="5"/>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10.00% - 100.00% (28.23%)</w:t>
            </w:r>
          </w:p>
        </w:tc>
        <w:tc>
          <w:tcPr>
            <w:tcW w:w="0" w:type="dxa"/>
            <w:vAlign w:val="bottom"/>
          </w:tcPr>
          <w:p>
            <w:pPr>
              <w:spacing w:after="0"/>
              <w:rPr>
                <w:sz w:val="1"/>
                <w:szCs w:val="1"/>
                <w:color w:val="auto"/>
              </w:rPr>
            </w:pPr>
          </w:p>
        </w:tc>
      </w:tr>
      <w:tr>
        <w:trPr>
          <w:trHeight w:val="190"/>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Residential Mortgage Loans</w:t>
            </w:r>
          </w:p>
        </w:tc>
        <w:tc>
          <w:tcPr>
            <w:tcW w:w="1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Yield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- 11.03% (6.96%)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42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color w:val="auto"/>
              </w:rPr>
              <w:t>- 11.61% (7.08%)</w:t>
            </w:r>
          </w:p>
        </w:tc>
        <w:tc>
          <w:tcPr>
            <w:tcW w:w="0" w:type="dxa"/>
            <w:vAlign w:val="bottom"/>
          </w:tcPr>
          <w:p>
            <w:pPr>
              <w:spacing w:after="0"/>
              <w:rPr>
                <w:sz w:val="1"/>
                <w:szCs w:val="1"/>
                <w:color w:val="auto"/>
              </w:rPr>
            </w:pPr>
          </w:p>
        </w:tc>
      </w:tr>
      <w:tr>
        <w:trPr>
          <w:trHeight w:val="216"/>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Projected Collateral Prepayments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227,587</w:t>
            </w:r>
          </w:p>
        </w:tc>
        <w:tc>
          <w:tcPr>
            <w:tcW w:w="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0.99% - 36.13%</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(16.12%)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198,596</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1.98% - 33.46%</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(16.06%)</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Projected Collateral Losses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- 34.31% (1.76%)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- 18.29%</w:t>
            </w: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Projected Collateral Severities (2)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1.09% - 20.00%</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(17.61%)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4.43% - 100.00%</w:t>
            </w: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(17.79%)</w:t>
            </w:r>
          </w:p>
        </w:tc>
        <w:tc>
          <w:tcPr>
            <w:tcW w:w="0" w:type="dxa"/>
            <w:vAlign w:val="bottom"/>
          </w:tcPr>
          <w:p>
            <w:pPr>
              <w:spacing w:after="0"/>
              <w:rPr>
                <w:sz w:val="1"/>
                <w:szCs w:val="1"/>
                <w:color w:val="auto"/>
              </w:rPr>
            </w:pPr>
          </w:p>
        </w:tc>
      </w:tr>
      <w:tr>
        <w:trPr>
          <w:trHeight w:val="23"/>
        </w:trPr>
        <w:tc>
          <w:tcPr>
            <w:tcW w:w="43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Legacy WMC Commercial Loans</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7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Yield</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 - 7.31%</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 - 6.95%</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(6.68%)</w:t>
            </w:r>
          </w:p>
        </w:tc>
        <w:tc>
          <w:tcPr>
            <w:tcW w:w="0" w:type="dxa"/>
            <w:vAlign w:val="bottom"/>
          </w:tcPr>
          <w:p>
            <w:pPr>
              <w:spacing w:after="0"/>
              <w:rPr>
                <w:sz w:val="1"/>
                <w:szCs w:val="1"/>
                <w:color w:val="auto"/>
              </w:rPr>
            </w:pPr>
          </w:p>
        </w:tc>
      </w:tr>
      <w:tr>
        <w:trPr>
          <w:trHeight w:val="216"/>
        </w:trPr>
        <w:tc>
          <w:tcPr>
            <w:tcW w:w="1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Spread</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51,504</w:t>
            </w:r>
          </w:p>
        </w:tc>
        <w:tc>
          <w:tcPr>
            <w:tcW w:w="120" w:type="dxa"/>
            <w:vAlign w:val="bottom"/>
            <w:shd w:val="clear" w:color="auto" w:fill="CCEEFF"/>
          </w:tcPr>
          <w:p>
            <w:pPr>
              <w:spacing w:after="0"/>
              <w:rPr>
                <w:sz w:val="18"/>
                <w:szCs w:val="18"/>
                <w:color w:val="auto"/>
              </w:rPr>
            </w:pPr>
          </w:p>
        </w:tc>
        <w:tc>
          <w:tcPr>
            <w:tcW w:w="244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260 bps - 356 bps (288 bps)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55,376</w:t>
            </w:r>
          </w:p>
        </w:tc>
        <w:tc>
          <w:tcPr>
            <w:tcW w:w="100" w:type="dxa"/>
            <w:vAlign w:val="bottom"/>
            <w:shd w:val="clear" w:color="auto" w:fill="CCEEFF"/>
          </w:tcPr>
          <w:p>
            <w:pPr>
              <w:spacing w:after="0"/>
              <w:rPr>
                <w:sz w:val="18"/>
                <w:szCs w:val="18"/>
                <w:color w:val="auto"/>
              </w:rPr>
            </w:pPr>
          </w:p>
        </w:tc>
        <w:tc>
          <w:tcPr>
            <w:tcW w:w="220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231 bps - 325 bps (300 bps)</w:t>
            </w:r>
          </w:p>
        </w:tc>
        <w:tc>
          <w:tcPr>
            <w:tcW w:w="0" w:type="dxa"/>
            <w:vAlign w:val="bottom"/>
          </w:tcPr>
          <w:p>
            <w:pPr>
              <w:spacing w:after="0"/>
              <w:rPr>
                <w:sz w:val="1"/>
                <w:szCs w:val="1"/>
                <w:color w:val="auto"/>
              </w:rPr>
            </w:pPr>
          </w:p>
        </w:tc>
      </w:tr>
      <w:tr>
        <w:trPr>
          <w:trHeight w:val="219"/>
        </w:trPr>
        <w:tc>
          <w:tcPr>
            <w:tcW w:w="1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Recovery Percentage (3)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68.33%</w:t>
            </w:r>
          </w:p>
        </w:tc>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- 85.55% (80.60%)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68.33%</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- 93.29%</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(86.62%)</w:t>
            </w:r>
          </w:p>
        </w:tc>
        <w:tc>
          <w:tcPr>
            <w:tcW w:w="0" w:type="dxa"/>
            <w:vAlign w:val="bottom"/>
          </w:tcPr>
          <w:p>
            <w:pPr>
              <w:spacing w:after="0"/>
              <w:rPr>
                <w:sz w:val="1"/>
                <w:szCs w:val="1"/>
                <w:color w:val="auto"/>
              </w:rPr>
            </w:pPr>
          </w:p>
        </w:tc>
      </w:tr>
      <w:tr>
        <w:trPr>
          <w:trHeight w:val="190"/>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Non-Agency RMBS</w:t>
            </w:r>
          </w:p>
        </w:tc>
        <w:tc>
          <w:tcPr>
            <w:tcW w:w="1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Yield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- 16.00% (7.39%)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- 20.00%</w:t>
            </w: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(7.56%)</w:t>
            </w:r>
          </w:p>
        </w:tc>
        <w:tc>
          <w:tcPr>
            <w:tcW w:w="0" w:type="dxa"/>
            <w:vAlign w:val="bottom"/>
          </w:tcPr>
          <w:p>
            <w:pPr>
              <w:spacing w:after="0"/>
              <w:rPr>
                <w:sz w:val="1"/>
                <w:szCs w:val="1"/>
                <w:color w:val="auto"/>
              </w:rPr>
            </w:pPr>
          </w:p>
        </w:tc>
      </w:tr>
      <w:tr>
        <w:trPr>
          <w:trHeight w:val="216"/>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Projected Collateral Prepayments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211,564</w:t>
            </w:r>
          </w:p>
        </w:tc>
        <w:tc>
          <w:tcPr>
            <w:tcW w:w="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7.81% - 13.24%</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(11.02%)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191,546</w:t>
            </w:r>
          </w:p>
        </w:tc>
        <w:tc>
          <w:tcPr>
            <w:tcW w:w="2300" w:type="dxa"/>
            <w:vAlign w:val="bottom"/>
            <w:gridSpan w:val="5"/>
          </w:tcPr>
          <w:p>
            <w:pPr>
              <w:jc w:val="right"/>
              <w:ind w:right="268"/>
              <w:spacing w:after="0"/>
              <w:rPr>
                <w:sz w:val="20"/>
                <w:szCs w:val="20"/>
                <w:color w:val="auto"/>
              </w:rPr>
            </w:pPr>
            <w:r>
              <w:rPr>
                <w:rFonts w:ascii="Times New Roman" w:cs="Times New Roman" w:eastAsia="Times New Roman" w:hAnsi="Times New Roman"/>
                <w:sz w:val="14"/>
                <w:szCs w:val="14"/>
                <w:color w:val="auto"/>
              </w:rPr>
              <w:t>7.55% - 15.23% (11.23%)</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Projected Collateral Losses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 - 0.50%</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 - 0.38%</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Projected Collateral Severities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color w:val="auto"/>
              </w:rPr>
              <w:t>10.00% - 100.00% (62.04%)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00" w:type="dxa"/>
            <w:vAlign w:val="bottom"/>
            <w:gridSpan w:val="5"/>
          </w:tcPr>
          <w:p>
            <w:pPr>
              <w:jc w:val="right"/>
              <w:ind w:right="208"/>
              <w:spacing w:after="0"/>
              <w:rPr>
                <w:sz w:val="20"/>
                <w:szCs w:val="20"/>
                <w:color w:val="auto"/>
              </w:rPr>
            </w:pPr>
            <w:r>
              <w:rPr>
                <w:rFonts w:ascii="Times New Roman" w:cs="Times New Roman" w:eastAsia="Times New Roman" w:hAnsi="Times New Roman"/>
                <w:sz w:val="14"/>
                <w:szCs w:val="14"/>
                <w:color w:val="auto"/>
              </w:rPr>
              <w:t>10.00% - 100.00% (56.87%)</w:t>
            </w:r>
          </w:p>
        </w:tc>
        <w:tc>
          <w:tcPr>
            <w:tcW w:w="0" w:type="dxa"/>
            <w:vAlign w:val="bottom"/>
          </w:tcPr>
          <w:p>
            <w:pPr>
              <w:spacing w:after="0"/>
              <w:rPr>
                <w:sz w:val="1"/>
                <w:szCs w:val="1"/>
                <w:color w:val="auto"/>
              </w:rPr>
            </w:pPr>
          </w:p>
        </w:tc>
      </w:tr>
      <w:tr>
        <w:trPr>
          <w:trHeight w:val="23"/>
        </w:trPr>
        <w:tc>
          <w:tcPr>
            <w:tcW w:w="182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AG Arc</w:t>
            </w:r>
          </w:p>
        </w:tc>
        <w:tc>
          <w:tcPr>
            <w:tcW w:w="2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Comparable Multiple</w:t>
            </w: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Book Value Multiple</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52,334</w:t>
            </w:r>
          </w:p>
        </w:tc>
        <w:tc>
          <w:tcPr>
            <w:tcW w:w="120" w:type="dxa"/>
            <w:vAlign w:val="bottom"/>
            <w:tcBorders>
              <w:bottom w:val="single" w:sz="8" w:color="CCEEFF"/>
            </w:tcBorders>
            <w:shd w:val="clear" w:color="auto" w:fill="CCEEFF"/>
          </w:tcPr>
          <w:p>
            <w:pPr>
              <w:spacing w:after="0"/>
              <w:rPr>
                <w:sz w:val="16"/>
                <w:szCs w:val="16"/>
                <w:color w:val="auto"/>
              </w:rPr>
            </w:pPr>
          </w:p>
        </w:tc>
        <w:tc>
          <w:tcPr>
            <w:tcW w:w="2440" w:type="dxa"/>
            <w:vAlign w:val="bottom"/>
            <w:tcBorders>
              <w:bottom w:val="single" w:sz="8" w:color="CCEEFF"/>
            </w:tcBorders>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1.05x - 1.05x (1.05x)</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50,016</w:t>
            </w:r>
          </w:p>
        </w:tc>
        <w:tc>
          <w:tcPr>
            <w:tcW w:w="100" w:type="dxa"/>
            <w:vAlign w:val="bottom"/>
            <w:tcBorders>
              <w:bottom w:val="single" w:sz="8" w:color="CCEEFF"/>
            </w:tcBorders>
            <w:shd w:val="clear" w:color="auto" w:fill="CCEEFF"/>
          </w:tcPr>
          <w:p>
            <w:pPr>
              <w:spacing w:after="0"/>
              <w:rPr>
                <w:sz w:val="16"/>
                <w:szCs w:val="16"/>
                <w:color w:val="auto"/>
              </w:rPr>
            </w:pPr>
          </w:p>
        </w:tc>
        <w:tc>
          <w:tcPr>
            <w:tcW w:w="220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1.025x - 1.025x (1.025x)</w:t>
            </w:r>
          </w:p>
        </w:tc>
        <w:tc>
          <w:tcPr>
            <w:tcW w:w="0" w:type="dxa"/>
            <w:vAlign w:val="bottom"/>
          </w:tcPr>
          <w:p>
            <w:pPr>
              <w:spacing w:after="0"/>
              <w:rPr>
                <w:sz w:val="1"/>
                <w:szCs w:val="1"/>
                <w:color w:val="auto"/>
              </w:rPr>
            </w:pPr>
          </w:p>
        </w:tc>
      </w:tr>
      <w:tr>
        <w:trPr>
          <w:trHeight w:val="190"/>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Securitized Debt</w:t>
            </w: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Yield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- 30.00% (5.65%)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- 30.00%</w:t>
            </w: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(5.42%)</w:t>
            </w:r>
          </w:p>
        </w:tc>
        <w:tc>
          <w:tcPr>
            <w:tcW w:w="0" w:type="dxa"/>
            <w:vAlign w:val="bottom"/>
          </w:tcPr>
          <w:p>
            <w:pPr>
              <w:spacing w:after="0"/>
              <w:rPr>
                <w:sz w:val="1"/>
                <w:szCs w:val="1"/>
                <w:color w:val="auto"/>
              </w:rPr>
            </w:pPr>
          </w:p>
        </w:tc>
      </w:tr>
      <w:tr>
        <w:trPr>
          <w:trHeight w:val="216"/>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Projected Collateral Prepayments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(6,749,708)</w:t>
            </w:r>
          </w:p>
        </w:tc>
        <w:tc>
          <w:tcPr>
            <w:tcW w:w="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4.68% - 22.00%</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(10.09%)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(7,177,923)</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4.92% - 22.00%</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(10.09%)</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Projected Collateral Losses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 - 0.50%</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 - 0.50%</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Projected Collateral Severities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color w:val="auto"/>
              </w:rPr>
              <w:t>10.00% - 100.00% (27.46%)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00" w:type="dxa"/>
            <w:vAlign w:val="bottom"/>
            <w:gridSpan w:val="5"/>
          </w:tcPr>
          <w:p>
            <w:pPr>
              <w:jc w:val="right"/>
              <w:ind w:right="208"/>
              <w:spacing w:after="0"/>
              <w:rPr>
                <w:sz w:val="20"/>
                <w:szCs w:val="20"/>
                <w:color w:val="auto"/>
              </w:rPr>
            </w:pPr>
            <w:r>
              <w:rPr>
                <w:rFonts w:ascii="Times New Roman" w:cs="Times New Roman" w:eastAsia="Times New Roman" w:hAnsi="Times New Roman"/>
                <w:sz w:val="14"/>
                <w:szCs w:val="14"/>
                <w:color w:val="auto"/>
              </w:rPr>
              <w:t>10.00% - 100.00% (27.79%)</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weighted based on fair value.</w:t>
      </w:r>
    </w:p>
    <w:p>
      <w:pPr>
        <w:spacing w:after="0" w:line="17"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Projected collateral severities excludes assumed recoveries on certain residential mortgage loans.</w:t>
      </w:r>
    </w:p>
    <w:p>
      <w:pPr>
        <w:spacing w:after="0" w:line="1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proportion of the principal expected to be collected relative to the loan balances as of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Financing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Company's financing as of March 31, 2026 and December 31, 2025 ($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3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94"/>
        </w:trPr>
        <w:tc>
          <w:tcPr>
            <w:tcW w:w="3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0" w:type="dxa"/>
            <w:vAlign w:val="bottom"/>
          </w:tcPr>
          <w:p>
            <w:pPr>
              <w:spacing w:after="0"/>
              <w:rPr>
                <w:sz w:val="1"/>
                <w:szCs w:val="1"/>
                <w:color w:val="auto"/>
              </w:rPr>
            </w:pPr>
          </w:p>
        </w:tc>
      </w:tr>
      <w:tr>
        <w:trPr>
          <w:trHeight w:val="151"/>
        </w:trPr>
        <w:tc>
          <w:tcPr>
            <w:tcW w:w="3060" w:type="dxa"/>
            <w:vAlign w:val="bottom"/>
          </w:tcPr>
          <w:p>
            <w:pPr>
              <w:spacing w:after="0"/>
              <w:rPr>
                <w:sz w:val="13"/>
                <w:szCs w:val="13"/>
                <w:color w:val="auto"/>
              </w:rPr>
            </w:pP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Current Face</w:t>
            </w:r>
          </w:p>
        </w:tc>
        <w:tc>
          <w:tcPr>
            <w:tcW w:w="160" w:type="dxa"/>
            <w:vAlign w:val="bottom"/>
          </w:tcPr>
          <w:p>
            <w:pPr>
              <w:spacing w:after="0"/>
              <w:rPr>
                <w:sz w:val="13"/>
                <w:szCs w:val="13"/>
                <w:color w:val="auto"/>
              </w:rPr>
            </w:pPr>
          </w:p>
        </w:tc>
        <w:tc>
          <w:tcPr>
            <w:tcW w:w="820" w:type="dxa"/>
            <w:vAlign w:val="bottom"/>
          </w:tcPr>
          <w:p>
            <w:pPr>
              <w:jc w:val="right"/>
              <w:ind w:right="128"/>
              <w:spacing w:after="0" w:line="15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3"/>
                <w:szCs w:val="13"/>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Stated Maturity</w:t>
            </w: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Funding Cost</w:t>
            </w: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060" w:type="dxa"/>
            <w:vAlign w:val="bottom"/>
            <w:gridSpan w:val="3"/>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Collateral Fair</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195"/>
        </w:trPr>
        <w:tc>
          <w:tcPr>
            <w:tcW w:w="306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Value (1)(2)</w:t>
            </w: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Arrangements by Asset Type (3)</w:t>
            </w: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Securitized Residential Mortgage Loans (4)</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Non-Agency Loans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415,277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415,277</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Apr 2026 - Jun 2026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5.17 %</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623,149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428,657</w:t>
            </w:r>
          </w:p>
        </w:tc>
        <w:tc>
          <w:tcPr>
            <w:tcW w:w="0" w:type="dxa"/>
            <w:vAlign w:val="bottom"/>
          </w:tcPr>
          <w:p>
            <w:pPr>
              <w:spacing w:after="0"/>
              <w:rPr>
                <w:sz w:val="1"/>
                <w:szCs w:val="1"/>
                <w:color w:val="auto"/>
              </w:rPr>
            </w:pPr>
          </w:p>
        </w:tc>
      </w:tr>
      <w:tr>
        <w:trPr>
          <w:trHeight w:val="195"/>
        </w:trPr>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Home Equity Loans</w:t>
            </w:r>
          </w:p>
        </w:tc>
        <w:tc>
          <w:tcPr>
            <w:tcW w:w="2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64,826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64,826</w:t>
            </w:r>
          </w:p>
        </w:tc>
        <w:tc>
          <w:tcPr>
            <w:tcW w:w="10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Jun 2026</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4.62 %</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67,752</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 and Non-Performing Loans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27,191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27,191</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May 2026 - Jun 2026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5.72 %</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27,264</w:t>
            </w: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 Loans (5)</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Agency-Eligible Loans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19,672</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Sep 2026 - Mar 2027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5.38 %</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19,490</w:t>
            </w:r>
          </w:p>
        </w:tc>
        <w:tc>
          <w:tcPr>
            <w:tcW w:w="0" w:type="dxa"/>
            <w:vAlign w:val="bottom"/>
          </w:tcPr>
          <w:p>
            <w:pPr>
              <w:spacing w:after="0"/>
              <w:rPr>
                <w:sz w:val="1"/>
                <w:szCs w:val="1"/>
                <w:color w:val="auto"/>
              </w:rPr>
            </w:pPr>
          </w:p>
        </w:tc>
      </w:tr>
      <w:tr>
        <w:trPr>
          <w:trHeight w:val="195"/>
        </w:trPr>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Home Equity Loans (6)</w:t>
            </w:r>
          </w:p>
        </w:tc>
        <w:tc>
          <w:tcPr>
            <w:tcW w:w="2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87,343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87,343</w:t>
            </w:r>
          </w:p>
        </w:tc>
        <w:tc>
          <w:tcPr>
            <w:tcW w:w="10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Jun 2026 - Jul 2026</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6.08 %</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58,951</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Non-Agency Loans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27,227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27,227</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Jun 2026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5.47 %</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29,817</w:t>
            </w: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Legacy WMC Commercial Loans</w:t>
            </w:r>
          </w:p>
        </w:tc>
        <w:tc>
          <w:tcPr>
            <w:tcW w:w="2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25,392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25,392</w:t>
            </w:r>
          </w:p>
        </w:tc>
        <w:tc>
          <w:tcPr>
            <w:tcW w:w="10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Sep 2026</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6.43 %</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27,436</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RMBS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154,366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154,366</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Apr 2026 - Jun 2026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4.54 %</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137,386</w:t>
            </w: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Legacy WMC CMBS</w:t>
            </w:r>
          </w:p>
        </w:tc>
        <w:tc>
          <w:tcPr>
            <w:tcW w:w="2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18,540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18,540</w:t>
            </w:r>
          </w:p>
        </w:tc>
        <w:tc>
          <w:tcPr>
            <w:tcW w:w="10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May 2026 - Jun 2026</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18,540</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RMBS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10,397</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Apr 2026 - Jun 2026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4.29 %</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10,857</w:t>
            </w:r>
          </w:p>
        </w:tc>
        <w:tc>
          <w:tcPr>
            <w:tcW w:w="0" w:type="dxa"/>
            <w:vAlign w:val="bottom"/>
          </w:tcPr>
          <w:p>
            <w:pPr>
              <w:spacing w:after="0"/>
              <w:rPr>
                <w:sz w:val="1"/>
                <w:szCs w:val="1"/>
                <w:color w:val="auto"/>
              </w:rPr>
            </w:pPr>
          </w:p>
        </w:tc>
      </w:tr>
      <w:tr>
        <w:trPr>
          <w:trHeight w:val="196"/>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203"/>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Financing Arrangements</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850,231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850,231</w:t>
            </w:r>
          </w:p>
        </w:tc>
        <w:tc>
          <w:tcPr>
            <w:tcW w:w="10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5.17 %</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1,273,414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826,394</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Securitized debt, at fair value (7)(8)</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Non-Agency Loans (9)</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6,144,984</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5,922,951</w:t>
            </w:r>
          </w:p>
        </w:tc>
        <w:tc>
          <w:tcPr>
            <w:tcW w:w="10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5.37 %</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6,265,540</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Home Equity Loans (9)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712,612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735,458</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5.67 %</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817,889</w:t>
            </w:r>
          </w:p>
        </w:tc>
        <w:tc>
          <w:tcPr>
            <w:tcW w:w="0" w:type="dxa"/>
            <w:vAlign w:val="bottom"/>
          </w:tcPr>
          <w:p>
            <w:pPr>
              <w:spacing w:after="0"/>
              <w:rPr>
                <w:sz w:val="1"/>
                <w:szCs w:val="1"/>
                <w:color w:val="auto"/>
              </w:rPr>
            </w:pPr>
          </w:p>
        </w:tc>
      </w:tr>
      <w:tr>
        <w:trPr>
          <w:trHeight w:val="196"/>
        </w:trPr>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 and Non-Performing Loans</w:t>
            </w:r>
          </w:p>
        </w:tc>
        <w:tc>
          <w:tcPr>
            <w:tcW w:w="22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96,400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91,299</w:t>
            </w:r>
          </w:p>
        </w:tc>
        <w:tc>
          <w:tcPr>
            <w:tcW w:w="100" w:type="dxa"/>
            <w:vAlign w:val="bottom"/>
          </w:tcPr>
          <w:p>
            <w:pPr>
              <w:spacing w:after="0"/>
              <w:rPr>
                <w:sz w:val="17"/>
                <w:szCs w:val="17"/>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3.47 %</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94,494</w:t>
            </w:r>
          </w:p>
        </w:tc>
        <w:tc>
          <w:tcPr>
            <w:tcW w:w="0" w:type="dxa"/>
            <w:vAlign w:val="bottom"/>
          </w:tcPr>
          <w:p>
            <w:pPr>
              <w:spacing w:after="0"/>
              <w:rPr>
                <w:sz w:val="1"/>
                <w:szCs w:val="1"/>
                <w:color w:val="auto"/>
              </w:rPr>
            </w:pPr>
          </w:p>
        </w:tc>
      </w:tr>
      <w:tr>
        <w:trPr>
          <w:trHeight w:val="203"/>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Securitized Debt</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6,953,996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6,749,708</w:t>
            </w:r>
          </w:p>
        </w:tc>
        <w:tc>
          <w:tcPr>
            <w:tcW w:w="10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5.37 %</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7,177,923</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Senior Unsecured Notes (10)</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February 2029 Senior Unsecured Notes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34,500</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33,407</w:t>
            </w:r>
          </w:p>
        </w:tc>
        <w:tc>
          <w:tcPr>
            <w:tcW w:w="10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Feb 2029</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10.79 %</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33,327</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May 2029 Senior Unsecured Notes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63,248</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May 2029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10.52 %</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63,131</w:t>
            </w:r>
          </w:p>
        </w:tc>
        <w:tc>
          <w:tcPr>
            <w:tcW w:w="0" w:type="dxa"/>
            <w:vAlign w:val="bottom"/>
          </w:tcPr>
          <w:p>
            <w:pPr>
              <w:spacing w:after="0"/>
              <w:rPr>
                <w:sz w:val="1"/>
                <w:szCs w:val="1"/>
                <w:color w:val="auto"/>
              </w:rPr>
            </w:pPr>
          </w:p>
        </w:tc>
      </w:tr>
      <w:tr>
        <w:trPr>
          <w:trHeight w:val="189"/>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Senior Unsecured Notes</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99,500</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96,655</w:t>
            </w: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10.61 %</w:t>
            </w:r>
          </w:p>
        </w:tc>
        <w:tc>
          <w:tcPr>
            <w:tcW w:w="12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96,458</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Financing</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7,903,727</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7,696,594</w:t>
            </w: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2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1,273,414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8,100,775</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also had $8.0 million and $7.8 million of cash pledged under repurchase agreements as of March 31, 2026 and December 31, 2025, respectively.</w:t>
      </w:r>
    </w:p>
    <w:p>
      <w:pPr>
        <w:spacing w:after="0" w:line="17"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terms of the Company’s financing agreements, the Company's financing counterparties may, in certain cases, sell or re-hypothecate the pledged collateral.</w:t>
      </w:r>
    </w:p>
    <w:p>
      <w:pPr>
        <w:spacing w:after="0" w:line="11" w:lineRule="exact"/>
        <w:rPr>
          <w:rFonts w:ascii="Times New Roman" w:cs="Times New Roman" w:eastAsia="Times New Roman" w:hAnsi="Times New Roman"/>
          <w:sz w:val="14"/>
          <w:szCs w:val="14"/>
          <w:color w:val="auto"/>
        </w:rPr>
      </w:pPr>
    </w:p>
    <w:p>
      <w:pPr>
        <w:ind w:left="660" w:hanging="328"/>
        <w:spacing w:after="0" w:line="261" w:lineRule="auto"/>
        <w:tabs>
          <w:tab w:leader="none" w:pos="65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Financing arrangements are recorded at amortized cost on the Company's consolidated balance sheets. The fair value of the Company's financing arrangements approximates the carrying value due to their floating interest rates and short-term maturities of generally one year or less. Financing arrangements are classified as Level 2 of the fair value hierarchy.</w:t>
      </w:r>
    </w:p>
    <w:p>
      <w:pPr>
        <w:ind w:left="660" w:hanging="328"/>
        <w:spacing w:after="0" w:line="254" w:lineRule="auto"/>
        <w:tabs>
          <w:tab w:leader="none" w:pos="65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pledged as collateral under Securitized residential mortgage loans include certain of the Company's retained interests in securitizations. Refer to Note 3 for more information on the Non-Agency VIEs, Home Equity VIEs, and RPL/NPL VIEs.</w:t>
      </w:r>
    </w:p>
    <w:p>
      <w:pPr>
        <w:ind w:left="660" w:hanging="328"/>
        <w:spacing w:after="0" w:line="259" w:lineRule="auto"/>
        <w:tabs>
          <w:tab w:leader="none" w:pos="65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Residential mortgage loan financing arrangements include a maximum borrowing capacity of $1.6 billion on facilities used to finance Agency-Eligible, Home Equity and Non-Agency Loans of which $50 million is contractually committed.</w:t>
      </w:r>
    </w:p>
    <w:p>
      <w:pPr>
        <w:ind w:left="660" w:hanging="328"/>
        <w:spacing w:after="0" w:line="261" w:lineRule="auto"/>
        <w:tabs>
          <w:tab w:leader="none" w:pos="65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collateral fair value pledged includes $66.2 million of Home Equity Loans, with an unpaid principal balance of $63.7 million, in which the Company has no outstanding financing but has the ability to borrow at an advance rate of 87.5% of unpaid principal balance pledged as collateral. Of this available financing, $50 million is contractually committed</w:t>
      </w:r>
    </w:p>
    <w:p>
      <w:pPr>
        <w:jc w:val="both"/>
        <w:ind w:left="660" w:hanging="328"/>
        <w:spacing w:after="0" w:line="254" w:lineRule="auto"/>
        <w:tabs>
          <w:tab w:leader="none" w:pos="65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the securitized debt have no recourse to the general credit of the Company. The Company generally has no obligation to provide any other explicit or implicit support to the Non-Agency VIEs, Home Equity VIEs, and RPL/NPL VIEs. Refer to Note 12 for commitments related to the undrawn portion of a borrowers' home equity line of credit for which the Company may be required to fund.</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funding costs are calculated based on the amortized cost of the underlying securities.</w:t>
      </w:r>
    </w:p>
    <w:p>
      <w:pPr>
        <w:spacing w:after="0" w:line="14" w:lineRule="exact"/>
        <w:rPr>
          <w:rFonts w:ascii="Times New Roman" w:cs="Times New Roman" w:eastAsia="Times New Roman" w:hAnsi="Times New Roman"/>
          <w:sz w:val="14"/>
          <w:szCs w:val="14"/>
          <w:color w:val="auto"/>
        </w:rPr>
      </w:pPr>
    </w:p>
    <w:p>
      <w:pPr>
        <w:jc w:val="both"/>
        <w:ind w:left="660" w:hanging="328"/>
        <w:spacing w:after="0" w:line="254" w:lineRule="auto"/>
        <w:tabs>
          <w:tab w:leader="none" w:pos="65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face on the Company's Securitized debt in the Company's Non-Agency VIEs and Home Equity VIEs excludes Interest Only classes which have no principal balances and bear interest based on a notional value. The notional value is used solely to determine interest distributions on the interest only classes of securities. As of March 31, 2026, the notional value of interest only classes of Securitized debt in the Non-Agency VIEs and Home Equity VIEs was $3.5 billion and $265.1 million, respectively.</w:t>
      </w:r>
    </w:p>
    <w:p>
      <w:pPr>
        <w:spacing w:after="0" w:line="1" w:lineRule="exact"/>
        <w:rPr>
          <w:rFonts w:ascii="Times New Roman" w:cs="Times New Roman" w:eastAsia="Times New Roman" w:hAnsi="Times New Roman"/>
          <w:sz w:val="14"/>
          <w:szCs w:val="14"/>
          <w:color w:val="auto"/>
        </w:rPr>
      </w:pPr>
    </w:p>
    <w:p>
      <w:pPr>
        <w:jc w:val="both"/>
        <w:ind w:left="660" w:hanging="328"/>
        <w:spacing w:after="0" w:line="272" w:lineRule="auto"/>
        <w:tabs>
          <w:tab w:leader="none" w:pos="65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Senior Unsecured Notes are recorded at amortized cost in the Company's consolidated balance sheets. As of March 31, 2026, the fair value of the Senior Unsecured Notes was $99.6 million. The fair value of the Senior Unsecured Notes is based upon prices obtained from third-party pricing services or broker quotations and are classified as Level 2 of the fair value hierarchy.</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Senior Unsecured Notes consist of $34.5 million principal amount 9.500% Senior Notes due February 2029 ("February 2029 Senior Unsecured Notes") and $65.0 million principal amount 9.500% Senior Notes due May 2029 ("May 2029 Senior Unsecured Notes" and together with the February 2029 Senior Unsecured Notes, the "Senior Unsecured Notes"). The February 2029 Senior Unsecured Notes were issued on January 26, 2024 in a public offering for net proceeds of approximately $32.8 million and the May 2029 Senior Unsecured Notes were issued on May 15, 2024 in a public offering for net proceeds of approximately $62.4 million. The below table provides a summary of the Senior Unsecured Notes as of March 31, 2026 ($ in thousands).</w:t>
      </w:r>
    </w:p>
    <w:tbl>
      <w:tblPr>
        <w:tblLayout w:type="fixed"/>
        <w:tblInd w:w="260" w:type="dxa"/>
        <w:tblCellMar>
          <w:top w:w="0" w:type="dxa"/>
          <w:left w:w="0" w:type="dxa"/>
          <w:bottom w:w="0" w:type="dxa"/>
          <w:right w:w="0" w:type="dxa"/>
        </w:tblCellMar>
      </w:tblPr>
      <w:tr>
        <w:trPr>
          <w:trHeight w:val="179"/>
        </w:trPr>
        <w:tc>
          <w:tcPr>
            <w:tcW w:w="3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20"/>
              <w:spacing w:after="0" w:line="179"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140" w:type="dxa"/>
            <w:vAlign w:val="bottom"/>
          </w:tcPr>
          <w:p>
            <w:pPr>
              <w:spacing w:after="0"/>
              <w:rPr>
                <w:sz w:val="15"/>
                <w:szCs w:val="15"/>
                <w:color w:val="auto"/>
              </w:rPr>
            </w:pPr>
          </w:p>
        </w:tc>
        <w:tc>
          <w:tcPr>
            <w:tcW w:w="1020" w:type="dxa"/>
            <w:vAlign w:val="bottom"/>
            <w:gridSpan w:val="2"/>
          </w:tcPr>
          <w:p>
            <w:pPr>
              <w:jc w:val="center"/>
              <w:ind w:right="260"/>
              <w:spacing w:after="0" w:line="179"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Maturity Date (2)</w:t>
            </w:r>
          </w:p>
        </w:tc>
        <w:tc>
          <w:tcPr>
            <w:tcW w:w="1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Redemption Date (3)</w:t>
            </w:r>
          </w:p>
        </w:tc>
        <w:tc>
          <w:tcPr>
            <w:tcW w:w="9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Rate (4)</w:t>
            </w: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Amount (1)</w:t>
            </w: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920" w:type="dxa"/>
            <w:vAlign w:val="bottom"/>
            <w:gridSpan w:val="2"/>
            <w:vMerge w:val="continue"/>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2029 Senior Unsecured Notes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33,407</w:t>
            </w: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15, 2029</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15, 2026</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9.500 %</w:t>
            </w:r>
          </w:p>
        </w:tc>
        <w:tc>
          <w:tcPr>
            <w:tcW w:w="0" w:type="dxa"/>
            <w:vAlign w:val="bottom"/>
          </w:tcPr>
          <w:p>
            <w:pPr>
              <w:spacing w:after="0"/>
              <w:rPr>
                <w:sz w:val="1"/>
                <w:szCs w:val="1"/>
                <w:color w:val="auto"/>
              </w:rPr>
            </w:pPr>
          </w:p>
        </w:tc>
      </w:tr>
      <w:tr>
        <w:trPr>
          <w:trHeight w:val="210"/>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2029 Senior Unsecured Notes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63,248</w:t>
            </w:r>
          </w:p>
        </w:tc>
        <w:tc>
          <w:tcPr>
            <w:tcW w:w="10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May 15, 2029</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May 15, 2026</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9.500 %</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Senior Unsecured Notes were issued at 100% of the principal amount.</w:t>
      </w:r>
    </w:p>
    <w:p>
      <w:pPr>
        <w:ind w:left="660" w:hanging="328"/>
        <w:spacing w:after="0" w:line="228" w:lineRule="auto"/>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the option to redeem the Senior Unsecured Notes earlier than the maturity date.</w:t>
      </w:r>
    </w:p>
    <w:p>
      <w:pPr>
        <w:jc w:val="both"/>
        <w:ind w:left="660" w:hanging="328"/>
        <w:spacing w:after="0" w:line="228" w:lineRule="auto"/>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redeem the Senior Unsecured Notes in whole or in part at any time or from time to time at the Company’s option on or after the redemption date, upon not less than 30 days written notice to holders prior to the redemption date, at a redemption price equal to 100% of the outstanding principal amount of the Senior Unsecured Notes to be redeemed plus accrued and unpaid interest to, but excluding, the redemption date.</w:t>
      </w:r>
    </w:p>
    <w:p>
      <w:pPr>
        <w:spacing w:after="0" w:line="2" w:lineRule="exact"/>
        <w:rPr>
          <w:rFonts w:ascii="Times New Roman" w:cs="Times New Roman" w:eastAsia="Times New Roman" w:hAnsi="Times New Roman"/>
          <w:sz w:val="16"/>
          <w:szCs w:val="16"/>
          <w:color w:val="auto"/>
        </w:rPr>
      </w:pPr>
    </w:p>
    <w:p>
      <w:pPr>
        <w:ind w:left="660" w:hanging="328"/>
        <w:spacing w:after="0" w:line="239" w:lineRule="auto"/>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Senior Unsecured Notes bear interest at a rate equal to 9.500% per year, payable in cash quarterly in arrears on February 15, May 15, August 15 and November 15 of each year, beginning on the applicable first pay date.</w:t>
      </w:r>
    </w:p>
    <w:p>
      <w:pPr>
        <w:spacing w:after="0" w:line="20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below table details the total interest expense incurred on the Senior Unsecured Notes during the three months ended March 31, 2026 and 2025 (in thousands).</w:t>
      </w:r>
    </w:p>
    <w:p>
      <w:pPr>
        <w:spacing w:after="0" w:line="1" w:lineRule="exact"/>
        <w:rPr>
          <w:sz w:val="20"/>
          <w:szCs w:val="20"/>
          <w:color w:val="auto"/>
        </w:rPr>
      </w:pPr>
    </w:p>
    <w:tbl>
      <w:tblPr>
        <w:tblLayout w:type="fixed"/>
        <w:tblInd w:w="1900" w:type="dxa"/>
        <w:tblCellMar>
          <w:top w:w="0" w:type="dxa"/>
          <w:left w:w="0" w:type="dxa"/>
          <w:bottom w:w="0" w:type="dxa"/>
          <w:right w:w="0" w:type="dxa"/>
        </w:tblCellMar>
      </w:tblPr>
      <w:tr>
        <w:trPr>
          <w:trHeight w:val="215"/>
        </w:trPr>
        <w:tc>
          <w:tcPr>
            <w:tcW w:w="3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4"/>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Pr>
          <w:p>
            <w:pPr>
              <w:spacing w:after="0"/>
              <w:rPr>
                <w:sz w:val="18"/>
                <w:szCs w:val="18"/>
                <w:color w:val="auto"/>
              </w:rPr>
            </w:pPr>
          </w:p>
        </w:tc>
        <w:tc>
          <w:tcPr>
            <w:tcW w:w="16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5"/>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Coupon interest expense</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w:t>
            </w:r>
          </w:p>
        </w:tc>
      </w:tr>
      <w:tr>
        <w:trPr>
          <w:trHeight w:val="240"/>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1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maturities</w:t>
      </w:r>
    </w:p>
    <w:p>
      <w:pPr>
        <w:spacing w:after="0" w:line="25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following table allocates the current face of the Company's borrowings under financing arrangements and the Senior Unsecured Notes as of March 31, 2026 by contractual maturity (in thousands). Securitized debt is excluded from the below table as it does not have a contractual maturity.</w:t>
      </w:r>
    </w:p>
    <w:tbl>
      <w:tblPr>
        <w:tblLayout w:type="fixed"/>
        <w:tblInd w:w="0" w:type="dxa"/>
        <w:tblCellMar>
          <w:top w:w="0" w:type="dxa"/>
          <w:left w:w="0" w:type="dxa"/>
          <w:bottom w:w="0" w:type="dxa"/>
          <w:right w:w="0" w:type="dxa"/>
        </w:tblCellMar>
      </w:tblPr>
      <w:tr>
        <w:trPr>
          <w:trHeight w:val="165"/>
        </w:trPr>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Within 30 Days</w:t>
            </w:r>
          </w:p>
        </w:tc>
        <w:tc>
          <w:tcPr>
            <w:tcW w:w="1500" w:type="dxa"/>
            <w:vAlign w:val="bottom"/>
            <w:gridSpan w:val="3"/>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Over 30 Days to 3</w:t>
            </w:r>
          </w:p>
        </w:tc>
        <w:tc>
          <w:tcPr>
            <w:tcW w:w="1500" w:type="dxa"/>
            <w:vAlign w:val="bottom"/>
            <w:gridSpan w:val="3"/>
          </w:tcPr>
          <w:p>
            <w:pPr>
              <w:jc w:val="center"/>
              <w:ind w:right="80"/>
              <w:spacing w:after="0" w:line="165" w:lineRule="exact"/>
              <w:rPr>
                <w:sz w:val="20"/>
                <w:szCs w:val="20"/>
                <w:color w:val="auto"/>
              </w:rPr>
            </w:pPr>
            <w:r>
              <w:rPr>
                <w:rFonts w:ascii="Times New Roman" w:cs="Times New Roman" w:eastAsia="Times New Roman" w:hAnsi="Times New Roman"/>
                <w:sz w:val="16"/>
                <w:szCs w:val="16"/>
                <w:b w:val="1"/>
                <w:bCs w:val="1"/>
                <w:color w:val="auto"/>
              </w:rPr>
              <w:t>Over 3 Months to</w:t>
            </w:r>
          </w:p>
        </w:tc>
        <w:tc>
          <w:tcPr>
            <w:tcW w:w="100" w:type="dxa"/>
            <w:vAlign w:val="bottom"/>
          </w:tcPr>
          <w:p>
            <w:pPr>
              <w:spacing w:after="0"/>
              <w:rPr>
                <w:sz w:val="14"/>
                <w:szCs w:val="14"/>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Over 12 Months</w:t>
            </w:r>
          </w:p>
        </w:tc>
        <w:tc>
          <w:tcPr>
            <w:tcW w:w="320" w:type="dxa"/>
            <w:vAlign w:val="bottom"/>
          </w:tcPr>
          <w:p>
            <w:pPr>
              <w:spacing w:after="0"/>
              <w:rPr>
                <w:sz w:val="14"/>
                <w:szCs w:val="14"/>
                <w:color w:val="auto"/>
              </w:rPr>
            </w:pPr>
          </w:p>
        </w:tc>
        <w:tc>
          <w:tcPr>
            <w:tcW w:w="1080" w:type="dxa"/>
            <w:vAlign w:val="bottom"/>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Months</w:t>
            </w: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12 Months</w:t>
            </w:r>
          </w:p>
        </w:tc>
        <w:tc>
          <w:tcPr>
            <w:tcW w:w="10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Arrangements by Asset Type</w:t>
            </w: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Securitized Residential Mortgage Loans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Non-Agency Loans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415,277</w:t>
            </w: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Home Equity Loans</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64,826</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 and Non-Performing Loans</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27,191</w:t>
            </w:r>
          </w:p>
        </w:tc>
        <w:tc>
          <w:tcPr>
            <w:tcW w:w="0" w:type="dxa"/>
            <w:vAlign w:val="bottom"/>
          </w:tcPr>
          <w:p>
            <w:pPr>
              <w:spacing w:after="0"/>
              <w:rPr>
                <w:sz w:val="1"/>
                <w:szCs w:val="1"/>
                <w:color w:val="auto"/>
              </w:rPr>
            </w:pPr>
          </w:p>
        </w:tc>
      </w:tr>
      <w:tr>
        <w:trPr>
          <w:trHeight w:val="213"/>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Agency-Eligible Loans</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19,672</w:t>
            </w: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Home Equity Loans</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87,343</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Non-Agency Loans</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27,227</w:t>
            </w:r>
          </w:p>
        </w:tc>
        <w:tc>
          <w:tcPr>
            <w:tcW w:w="0" w:type="dxa"/>
            <w:vAlign w:val="bottom"/>
          </w:tcPr>
          <w:p>
            <w:pPr>
              <w:spacing w:after="0"/>
              <w:rPr>
                <w:sz w:val="1"/>
                <w:szCs w:val="1"/>
                <w:color w:val="auto"/>
              </w:rPr>
            </w:pPr>
          </w:p>
        </w:tc>
      </w:tr>
      <w:tr>
        <w:trPr>
          <w:trHeight w:val="213"/>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Legacy WMC Commercial Loans (1)</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25,392</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Non-Agency RMBS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154,366</w:t>
            </w:r>
          </w:p>
        </w:tc>
        <w:tc>
          <w:tcPr>
            <w:tcW w:w="0" w:type="dxa"/>
            <w:vAlign w:val="bottom"/>
          </w:tcPr>
          <w:p>
            <w:pPr>
              <w:spacing w:after="0"/>
              <w:rPr>
                <w:sz w:val="1"/>
                <w:szCs w:val="1"/>
                <w:color w:val="auto"/>
              </w:rPr>
            </w:pPr>
          </w:p>
        </w:tc>
      </w:tr>
      <w:tr>
        <w:trPr>
          <w:trHeight w:val="213"/>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Legacy WMC CMBS</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18,540</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Agency RMBS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10,397</w:t>
            </w:r>
          </w:p>
        </w:tc>
        <w:tc>
          <w:tcPr>
            <w:tcW w:w="0" w:type="dxa"/>
            <w:vAlign w:val="bottom"/>
          </w:tcPr>
          <w:p>
            <w:pPr>
              <w:spacing w:after="0"/>
              <w:rPr>
                <w:sz w:val="1"/>
                <w:szCs w:val="1"/>
                <w:color w:val="auto"/>
              </w:rPr>
            </w:pPr>
          </w:p>
        </w:tc>
      </w:tr>
      <w:tr>
        <w:trPr>
          <w:trHeight w:val="207"/>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Financing Arrangements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84,788</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633,327</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132,116</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850,231</w:t>
            </w:r>
          </w:p>
        </w:tc>
        <w:tc>
          <w:tcPr>
            <w:tcW w:w="0" w:type="dxa"/>
            <w:vAlign w:val="bottom"/>
          </w:tcPr>
          <w:p>
            <w:pPr>
              <w:spacing w:after="0"/>
              <w:rPr>
                <w:sz w:val="1"/>
                <w:szCs w:val="1"/>
                <w:color w:val="auto"/>
              </w:rPr>
            </w:pPr>
          </w:p>
        </w:tc>
      </w:tr>
      <w:tr>
        <w:trPr>
          <w:trHeight w:val="273"/>
        </w:trPr>
        <w:tc>
          <w:tcPr>
            <w:tcW w:w="3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Senior Unsecured Notes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February 2029 Senior Unsecured Notes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34,500</w:t>
            </w:r>
          </w:p>
        </w:tc>
        <w:tc>
          <w:tcPr>
            <w:tcW w:w="0" w:type="dxa"/>
            <w:vAlign w:val="bottom"/>
          </w:tcPr>
          <w:p>
            <w:pPr>
              <w:spacing w:after="0"/>
              <w:rPr>
                <w:sz w:val="1"/>
                <w:szCs w:val="1"/>
                <w:color w:val="auto"/>
              </w:rPr>
            </w:pPr>
          </w:p>
        </w:tc>
      </w:tr>
      <w:tr>
        <w:trPr>
          <w:trHeight w:val="213"/>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May 2029 Senior Unsecured Notes</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0" w:type="dxa"/>
            <w:vAlign w:val="bottom"/>
          </w:tcPr>
          <w:p>
            <w:pPr>
              <w:spacing w:after="0"/>
              <w:rPr>
                <w:sz w:val="1"/>
                <w:szCs w:val="1"/>
                <w:color w:val="auto"/>
              </w:rPr>
            </w:pPr>
          </w:p>
        </w:tc>
      </w:tr>
      <w:tr>
        <w:trPr>
          <w:trHeight w:val="212"/>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Senior Unsecured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99,500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99,500</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left="660" w:hanging="328"/>
        <w:spacing w:after="0" w:line="263" w:lineRule="auto"/>
        <w:tabs>
          <w:tab w:leader="none" w:pos="6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borrowers for the Company’s Legacy WMC Commercial Loans are in maturity default as of March 31, 2026. In March 2026, the Company extended the maturity of its financing arrangement collateralized by Legacy WMC Commercial Loans to September 19, 2026. All proceeds from asset paydowns or sales will be applied to reduce the outstanding balance.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outstanding financing arrangements with six counterparties as of March 31, 2026 and December 31, 2025.</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as of March 31, 2026 and December 31, 2025 with respect to each counterparty that provides the Company with financing for which the Company had greater than 5% of its stockholders’ equity at risk, excluding stockholders’ equity at risk under financing through affiliated entities ($ in thousands).</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4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40" w:type="dxa"/>
            <w:vAlign w:val="bottom"/>
            <w:gridSpan w:val="3"/>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14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306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20" w:type="dxa"/>
            <w:vAlign w:val="bottom"/>
            <w:gridSpan w:val="2"/>
            <w:vMerge w:val="continue"/>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00" w:type="dxa"/>
            <w:vAlign w:val="bottom"/>
            <w:gridSpan w:val="2"/>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at Risk</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 (days)</w:t>
            </w:r>
          </w:p>
        </w:tc>
        <w:tc>
          <w:tcPr>
            <w:tcW w:w="1540" w:type="dxa"/>
            <w:vAlign w:val="bottom"/>
            <w:gridSpan w:val="3"/>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at Risk</w:t>
            </w: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Maturity (days)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0" w:type="dxa"/>
            <w:vAlign w:val="bottom"/>
          </w:tcPr>
          <w:p>
            <w:pPr>
              <w:spacing w:after="0"/>
              <w:rPr>
                <w:sz w:val="1"/>
                <w:szCs w:val="1"/>
                <w:color w:val="auto"/>
              </w:rPr>
            </w:pPr>
          </w:p>
        </w:tc>
      </w:tr>
      <w:tr>
        <w:trPr>
          <w:trHeight w:val="202"/>
        </w:trPr>
        <w:tc>
          <w:tcPr>
            <w:tcW w:w="2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BofA Securities, Inc.</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146,752</w:t>
            </w:r>
          </w:p>
        </w:tc>
        <w:tc>
          <w:tcPr>
            <w:tcW w:w="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27.0 %</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150,267</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26.8 %</w:t>
            </w:r>
          </w:p>
        </w:tc>
        <w:tc>
          <w:tcPr>
            <w:tcW w:w="0" w:type="dxa"/>
            <w:vAlign w:val="bottom"/>
          </w:tcPr>
          <w:p>
            <w:pPr>
              <w:spacing w:after="0"/>
              <w:rPr>
                <w:sz w:val="1"/>
                <w:szCs w:val="1"/>
                <w:color w:val="auto"/>
              </w:rPr>
            </w:pPr>
          </w:p>
        </w:tc>
      </w:tr>
      <w:tr>
        <w:trPr>
          <w:trHeight w:val="195"/>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Goldman Sachs Bank USA</w:t>
            </w:r>
          </w:p>
        </w:tc>
        <w:tc>
          <w:tcPr>
            <w:tcW w:w="1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139,661</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153,393</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27.4 %</w:t>
            </w:r>
          </w:p>
        </w:tc>
        <w:tc>
          <w:tcPr>
            <w:tcW w:w="0" w:type="dxa"/>
            <w:vAlign w:val="bottom"/>
          </w:tcPr>
          <w:p>
            <w:pPr>
              <w:spacing w:after="0"/>
              <w:rPr>
                <w:sz w:val="1"/>
                <w:szCs w:val="1"/>
                <w:color w:val="auto"/>
              </w:rPr>
            </w:pPr>
          </w:p>
        </w:tc>
      </w:tr>
      <w:tr>
        <w:trPr>
          <w:trHeight w:val="210"/>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Barclays Capital Inc.</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96,445</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80,721</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0" w:type="dxa"/>
            <w:vAlign w:val="bottom"/>
          </w:tcPr>
          <w:p>
            <w:pPr>
              <w:spacing w:after="0"/>
              <w:rPr>
                <w:sz w:val="1"/>
                <w:szCs w:val="1"/>
                <w:color w:val="auto"/>
              </w:rPr>
            </w:pPr>
          </w:p>
        </w:tc>
      </w:tr>
      <w:tr>
        <w:trPr>
          <w:trHeight w:val="188"/>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JP Morgan Securities, LLC</w:t>
            </w:r>
          </w:p>
        </w:tc>
        <w:tc>
          <w:tcPr>
            <w:tcW w:w="1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29,202</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29,992</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Covenants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financing arrangements generally include customary representations, warranties, and covenants, but may also contain more restrictive supplemental terms and conditions. Although specific to each financing arrangement, typical supplemental terms include requirements of minimum equity and liquidity, leverage ratios, and performance triggers. In addition, some of the financing arrangements contain cross default features, whereby default under an agreement with one lender simultaneously causes default under agreements with other lenders. To the extent that the Company fails to comply with</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covenants contained in these financing arrangements or is otherwise found to be in default under the terms of such agreements, the counterparty has the right to accelerate amounts due under the associated agreement. Financings pursuant to financing arrangements are generally recourse to the Company. As of March 31, 2026, the Company is in compliance with all of its financial covenants.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assets and liabilities</w:t>
      </w:r>
    </w:p>
    <w:p>
      <w:pPr>
        <w:spacing w:after="0" w:line="2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details certain information related to the Company's "Other assets" and "Other liabilities" line items on its consolidated balance sheets as of March 31, 2026 and December 31, 2025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18"/>
                <w:szCs w:val="18"/>
                <w:color w:val="auto"/>
              </w:rPr>
            </w:pPr>
          </w:p>
        </w:tc>
        <w:tc>
          <w:tcPr>
            <w:tcW w:w="1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9"/>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receivable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44,673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47,868</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 estate owned</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7,398</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2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Due from broker</w:t>
            </w: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w:t>
            </w: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assets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58,900</w:t>
            </w:r>
          </w:p>
        </w:tc>
      </w:tr>
      <w:tr>
        <w:trPr>
          <w:trHeight w:val="256"/>
        </w:trPr>
        <w:tc>
          <w:tcPr>
            <w:tcW w:w="7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Due to affiliates (1)</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4,580</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payable</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34,385</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Due to broker</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Payable on unsettled trades</w:t>
            </w:r>
          </w:p>
        </w:tc>
        <w:tc>
          <w:tcPr>
            <w:tcW w:w="2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payable</w:t>
            </w: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204"/>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liabilities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39,708</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42,720</w:t>
            </w:r>
          </w:p>
        </w:tc>
      </w:tr>
    </w:tbl>
    <w:p>
      <w:pPr>
        <w:spacing w:after="0" w:line="86"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6"/>
          <w:szCs w:val="16"/>
          <w:color w:val="auto"/>
        </w:rPr>
        <w:t>(1)</w:t>
        <w:tab/>
        <w:t>Refer to Note 10 for more information.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related to the Company's derivatives and other instruments and their balance sheet location as of March 31, 2026 and December 31, 2025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6"/>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and Other Instruments (1)</w:t>
            </w:r>
          </w:p>
        </w:tc>
        <w:tc>
          <w:tcPr>
            <w:tcW w:w="120" w:type="dxa"/>
            <w:vAlign w:val="bottom"/>
          </w:tcPr>
          <w:p>
            <w:pPr>
              <w:spacing w:after="0"/>
              <w:rPr>
                <w:sz w:val="2"/>
                <w:szCs w:val="2"/>
                <w:color w:val="auto"/>
              </w:rPr>
            </w:pPr>
          </w:p>
        </w:tc>
        <w:tc>
          <w:tcPr>
            <w:tcW w:w="1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20" w:type="dxa"/>
            <w:vAlign w:val="bottom"/>
          </w:tcPr>
          <w:p>
            <w:pPr>
              <w:spacing w:after="0"/>
              <w:rPr>
                <w:sz w:val="2"/>
                <w:szCs w:val="2"/>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Pr>
          <w:p>
            <w:pPr>
              <w:spacing w:after="0"/>
              <w:rPr>
                <w:sz w:val="2"/>
                <w:szCs w:val="2"/>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20" w:type="dxa"/>
            <w:vAlign w:val="bottom"/>
          </w:tcPr>
          <w:p>
            <w:pPr>
              <w:spacing w:after="0"/>
              <w:rPr>
                <w:sz w:val="2"/>
                <w:szCs w:val="2"/>
                <w:color w:val="auto"/>
              </w:rPr>
            </w:pPr>
          </w:p>
        </w:tc>
        <w:tc>
          <w:tcPr>
            <w:tcW w:w="88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line="20" w:lineRule="exact"/>
              <w:rPr>
                <w:sz w:val="1"/>
                <w:szCs w:val="1"/>
                <w:color w:val="auto"/>
              </w:rPr>
            </w:pPr>
          </w:p>
        </w:tc>
      </w:tr>
      <w:tr>
        <w:trPr>
          <w:trHeight w:val="214"/>
        </w:trPr>
        <w:tc>
          <w:tcPr>
            <w:tcW w:w="4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Fix/Receive Float Interest Rate Swap Agreements (2) (3)</w:t>
            </w:r>
          </w:p>
        </w:tc>
        <w:tc>
          <w:tcPr>
            <w:tcW w:w="1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291,560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 Fix/Receive Float Interest Rate Swap Agreements (2) (3)</w:t>
            </w:r>
          </w:p>
        </w:tc>
        <w:tc>
          <w:tcPr>
            <w:tcW w:w="12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Other liabilities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Forward Purchase Commitments</w:t>
            </w:r>
          </w:p>
        </w:tc>
        <w:tc>
          <w:tcPr>
            <w:tcW w:w="12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2026 and December 31, 2025, no derivatives held by the Company were designated as hedges for accounting purposes.</w:t>
      </w:r>
    </w:p>
    <w:p>
      <w:pPr>
        <w:spacing w:after="0" w:line="23" w:lineRule="exact"/>
        <w:rPr>
          <w:rFonts w:ascii="Times New Roman" w:cs="Times New Roman" w:eastAsia="Times New Roman" w:hAnsi="Times New Roman"/>
          <w:sz w:val="16"/>
          <w:szCs w:val="16"/>
          <w:color w:val="auto"/>
        </w:rPr>
      </w:pPr>
    </w:p>
    <w:p>
      <w:pPr>
        <w:jc w:val="both"/>
        <w:ind w:left="660" w:hanging="328"/>
        <w:spacing w:after="0" w:line="252" w:lineRule="auto"/>
        <w:tabs>
          <w:tab w:leader="none" w:pos="6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2026, the Company applied a reduction in fair value of $6.2 million and $0.8 million to its interest rate swap assets and liabilities, respectively, related to variation margin with a corresponding increase or decrease in restricted cash. As of December 31, 2025, the Company applied a reduction in fair value of $5.3 million and $1.2 million to its interest rate swap assets and liabilities, respectively, related to variation margin with a corresponding increase or decrease in restricted cash.</w:t>
      </w:r>
    </w:p>
    <w:p>
      <w:pPr>
        <w:jc w:val="both"/>
        <w:ind w:left="660" w:right="20" w:hanging="328"/>
        <w:spacing w:after="0" w:line="258" w:lineRule="auto"/>
        <w:tabs>
          <w:tab w:leader="none" w:pos="6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2026, the Company's pay fix/receive float interest rate swaps had a weighted average pay-fixed rate of 3.35%, a weighted average receive-variable rate of 3.68%, and a weighted average years to maturity of 4.16 years. As of December 31, 2025, the Company's pay fix/receive float interest rate swaps had a weighted average pay-fixed rate of 3.30%, a weighted average receive-variable rate of 3.87%, and a weighted average years to maturity of 4.29 years.</w:t>
      </w:r>
    </w:p>
    <w:p>
      <w:pPr>
        <w:spacing w:after="0" w:line="2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Derivative and other instruments eligible for offset are presented gross on the consolidated balance sheets as of March 31, 2026 and December 31, 2025, if applicable. The Company has not offset or netted any derivatives or other instruments with any financial instruments or cash collateral posted or received.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must post cash or securities as collateral on its derivative instruments when their fair value declines. This typically occurs when prevailing market rates change adversely, with the severity of the change also dependent on the term of the derivatives involved. The posting of collateral is generally bilateral, meaning that if the fair value of the Company’s derivatives increases, its counterparty must post collateral. As of March 31, 2026, the Company's restricted cash balance included $9.4 million of collateral related to certain derivatives, of which $4.0 million represents cash collateral posted by the Company and $5.4 million represents amounts related to variation margin. As of December 31, 2025, the Company's restricted cash balance included $9.6 million of collateral related to certain derivatives, of which $5.5 million represents cash collateral posted by the Company and $4.1 million represents amounts related to variation margin.</w:t>
      </w:r>
    </w:p>
    <w:p>
      <w:pPr>
        <w:spacing w:after="0" w:line="2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summarizes total income related to derivatives and other instruments for the three months ended March 31, 2026 and 2025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51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60" w:type="dxa"/>
            <w:vAlign w:val="bottom"/>
          </w:tcPr>
          <w:p>
            <w:pPr>
              <w:spacing w:after="0"/>
              <w:rPr>
                <w:sz w:val="18"/>
                <w:szCs w:val="18"/>
                <w:color w:val="auto"/>
              </w:rPr>
            </w:pPr>
          </w:p>
        </w:tc>
        <w:tc>
          <w:tcPr>
            <w:tcW w:w="192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178"/>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00" w:type="dxa"/>
            <w:vAlign w:val="bottom"/>
            <w:tcBorders>
              <w:top w:val="single" w:sz="8" w:color="CCEEFF"/>
              <w:bottom w:val="single" w:sz="8" w:color="auto"/>
            </w:tcBorders>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Included within Net interest component of interest rate swaps</w:t>
            </w:r>
          </w:p>
        </w:tc>
        <w:tc>
          <w:tcPr>
            <w:tcW w:w="256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19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192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656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Interest Rate Swaps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w:t>
            </w:r>
          </w:p>
        </w:tc>
      </w:tr>
      <w:tr>
        <w:trPr>
          <w:trHeight w:val="259"/>
        </w:trPr>
        <w:tc>
          <w:tcPr>
            <w:tcW w:w="20" w:type="dxa"/>
            <w:vAlign w:val="bottom"/>
            <w:shd w:val="clear" w:color="auto" w:fill="CCEEFF"/>
          </w:tcPr>
          <w:p>
            <w:pPr>
              <w:spacing w:after="0"/>
              <w:rPr>
                <w:sz w:val="22"/>
                <w:szCs w:val="22"/>
                <w:color w:val="auto"/>
              </w:rPr>
            </w:pPr>
          </w:p>
        </w:tc>
        <w:tc>
          <w:tcPr>
            <w:tcW w:w="25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5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656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Included within Net unrealized gain/(loss)</w:t>
            </w:r>
          </w:p>
        </w:tc>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5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Rate Swaps</w:t>
            </w: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(6,536)</w:t>
            </w:r>
          </w:p>
        </w:tc>
      </w:tr>
      <w:tr>
        <w:trPr>
          <w:trHeight w:val="213"/>
        </w:trPr>
        <w:tc>
          <w:tcPr>
            <w:tcW w:w="20" w:type="dxa"/>
            <w:vAlign w:val="bottom"/>
          </w:tcPr>
          <w:p>
            <w:pPr>
              <w:spacing w:after="0"/>
              <w:rPr>
                <w:sz w:val="18"/>
                <w:szCs w:val="18"/>
                <w:color w:val="auto"/>
              </w:rPr>
            </w:pPr>
          </w:p>
        </w:tc>
        <w:tc>
          <w:tcPr>
            <w:tcW w:w="656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Forward Purchase Commitments</w:t>
            </w:r>
          </w:p>
        </w:tc>
        <w:tc>
          <w:tcPr>
            <w:tcW w:w="36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(6,404)</w:t>
            </w: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58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Included within Net realized gain/(loss)</w:t>
            </w:r>
          </w:p>
        </w:tc>
        <w:tc>
          <w:tcPr>
            <w:tcW w:w="3980" w:type="dxa"/>
            <w:vAlign w:val="bottom"/>
            <w:tcBorders>
              <w:bottom w:val="single" w:sz="8" w:color="CCEEFF"/>
            </w:tcBorders>
            <w:gridSpan w:val="3"/>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56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Interest Rate Swaps</w:t>
            </w:r>
          </w:p>
        </w:tc>
        <w:tc>
          <w:tcPr>
            <w:tcW w:w="3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r>
      <w:tr>
        <w:trPr>
          <w:trHeight w:val="219"/>
        </w:trPr>
        <w:tc>
          <w:tcPr>
            <w:tcW w:w="20" w:type="dxa"/>
            <w:vAlign w:val="bottom"/>
            <w:shd w:val="clear" w:color="auto" w:fill="CCEEFF"/>
          </w:tcPr>
          <w:p>
            <w:pPr>
              <w:spacing w:after="0"/>
              <w:rPr>
                <w:sz w:val="19"/>
                <w:szCs w:val="19"/>
                <w:color w:val="auto"/>
              </w:rPr>
            </w:pPr>
          </w:p>
        </w:tc>
        <w:tc>
          <w:tcPr>
            <w:tcW w:w="65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Forward Purchase Commitments</w:t>
            </w:r>
          </w:p>
        </w:tc>
        <w:tc>
          <w:tcPr>
            <w:tcW w:w="3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07"/>
        </w:trPr>
        <w:tc>
          <w:tcPr>
            <w:tcW w:w="20" w:type="dxa"/>
            <w:vAlign w:val="bottom"/>
            <w:tcBorders>
              <w:bottom w:val="single" w:sz="8" w:color="CCEEFF"/>
            </w:tcBorders>
          </w:tcPr>
          <w:p>
            <w:pPr>
              <w:spacing w:after="0"/>
              <w:rPr>
                <w:sz w:val="17"/>
                <w:szCs w:val="17"/>
                <w:color w:val="auto"/>
              </w:rPr>
            </w:pPr>
          </w:p>
        </w:tc>
        <w:tc>
          <w:tcPr>
            <w:tcW w:w="25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25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w:t>
            </w:r>
          </w:p>
        </w:tc>
      </w:tr>
      <w:tr>
        <w:trPr>
          <w:trHeight w:val="212"/>
        </w:trPr>
        <w:tc>
          <w:tcPr>
            <w:tcW w:w="20" w:type="dxa"/>
            <w:vAlign w:val="bottom"/>
            <w:shd w:val="clear" w:color="auto" w:fill="CCEEFF"/>
          </w:tcPr>
          <w:p>
            <w:pPr>
              <w:spacing w:after="0"/>
              <w:rPr>
                <w:sz w:val="18"/>
                <w:szCs w:val="18"/>
                <w:color w:val="auto"/>
              </w:rPr>
            </w:pPr>
          </w:p>
        </w:tc>
        <w:tc>
          <w:tcPr>
            <w:tcW w:w="6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income/(loss)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(4,925)</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derivatives for the three months ended March 31, 2026 and 2025 (in thousands).</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Sales or</w:t>
            </w:r>
          </w:p>
        </w:tc>
        <w:tc>
          <w:tcPr>
            <w:tcW w:w="100" w:type="dxa"/>
            <w:vAlign w:val="bottom"/>
          </w:tcPr>
          <w:p>
            <w:pPr>
              <w:spacing w:after="0"/>
              <w:rPr>
                <w:sz w:val="13"/>
                <w:szCs w:val="13"/>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Ending Notional</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Buys or Covers</w:t>
            </w: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Shorts</w:t>
            </w: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189"/>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Swaps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372,560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404,560</w:t>
            </w:r>
          </w:p>
        </w:tc>
        <w:tc>
          <w:tcPr>
            <w:tcW w:w="120" w:type="dxa"/>
            <w:vAlign w:val="bottom"/>
          </w:tcPr>
          <w:p>
            <w:pPr>
              <w:spacing w:after="0"/>
              <w:rPr>
                <w:sz w:val="16"/>
                <w:szCs w:val="16"/>
                <w:color w:val="auto"/>
              </w:rPr>
            </w:pPr>
          </w:p>
        </w:tc>
        <w:tc>
          <w:tcPr>
            <w:tcW w:w="96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Swaps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342,550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103,000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(113,050)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332,500</w:t>
            </w:r>
          </w:p>
        </w:tc>
        <w:tc>
          <w:tcPr>
            <w:tcW w:w="120" w:type="dxa"/>
            <w:vAlign w:val="bottom"/>
          </w:tcPr>
          <w:p>
            <w:pPr>
              <w:spacing w:after="0"/>
              <w:rPr>
                <w:sz w:val="16"/>
                <w:szCs w:val="16"/>
                <w:color w:val="auto"/>
              </w:rPr>
            </w:pPr>
          </w:p>
        </w:tc>
        <w:tc>
          <w:tcPr>
            <w:tcW w:w="96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Earnings per share</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earnings and shares used in calculating basic and diluted earnings per share for the three months ended March 31, 2026 and 2025 (in thousands, except per 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60" w:type="dxa"/>
            <w:vAlign w:val="bottom"/>
          </w:tcPr>
          <w:p>
            <w:pPr>
              <w:spacing w:after="0"/>
              <w:rPr>
                <w:sz w:val="18"/>
                <w:szCs w:val="18"/>
                <w:color w:val="auto"/>
              </w:rPr>
            </w:pPr>
          </w:p>
        </w:tc>
        <w:tc>
          <w:tcPr>
            <w:tcW w:w="4120" w:type="dxa"/>
            <w:vAlign w:val="bottom"/>
            <w:tcBorders>
              <w:bottom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60" w:type="dxa"/>
            <w:vAlign w:val="bottom"/>
            <w:tcBorders>
              <w:bottom w:val="single" w:sz="8" w:color="auto"/>
            </w:tcBorders>
          </w:tcPr>
          <w:p>
            <w:pPr>
              <w:spacing w:after="0"/>
              <w:rPr>
                <w:sz w:val="18"/>
                <w:szCs w:val="18"/>
                <w:color w:val="auto"/>
              </w:rPr>
            </w:pPr>
          </w:p>
        </w:tc>
      </w:tr>
      <w:tr>
        <w:trPr>
          <w:trHeight w:val="211"/>
        </w:trPr>
        <w:tc>
          <w:tcPr>
            <w:tcW w:w="656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560" w:type="dxa"/>
            <w:vAlign w:val="bottom"/>
            <w:tcBorders>
              <w:bottom w:val="single" w:sz="8" w:color="auto"/>
            </w:tcBorders>
          </w:tcPr>
          <w:p>
            <w:pPr>
              <w:spacing w:after="0"/>
              <w:rPr>
                <w:sz w:val="18"/>
                <w:szCs w:val="18"/>
                <w:color w:val="auto"/>
              </w:rPr>
            </w:pPr>
          </w:p>
        </w:tc>
      </w:tr>
      <w:tr>
        <w:trPr>
          <w:trHeight w:val="211"/>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Income/(Loss)</w:t>
            </w:r>
          </w:p>
        </w:tc>
        <w:tc>
          <w:tcPr>
            <w:tcW w:w="1740" w:type="dxa"/>
            <w:vAlign w:val="bottom"/>
          </w:tcPr>
          <w:p>
            <w:pPr>
              <w:jc w:val="right"/>
              <w:ind w:right="15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(3,562)</w:t>
            </w:r>
          </w:p>
        </w:tc>
        <w:tc>
          <w:tcPr>
            <w:tcW w:w="100" w:type="dxa"/>
            <w:vAlign w:val="bottom"/>
          </w:tcPr>
          <w:p>
            <w:pPr>
              <w:spacing w:after="0"/>
              <w:rPr>
                <w:sz w:val="18"/>
                <w:szCs w:val="18"/>
                <w:color w:val="auto"/>
              </w:rPr>
            </w:pPr>
          </w:p>
        </w:tc>
        <w:tc>
          <w:tcPr>
            <w:tcW w:w="1720" w:type="dxa"/>
            <w:vAlign w:val="bottom"/>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11,477</w:t>
            </w:r>
          </w:p>
        </w:tc>
      </w:tr>
      <w:tr>
        <w:trPr>
          <w:trHeight w:val="21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17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5,153</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5,304</w:t>
            </w:r>
          </w:p>
        </w:tc>
      </w:tr>
      <w:tr>
        <w:trPr>
          <w:trHeight w:val="207"/>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Income/(Loss) Available to Common Stockholders</w:t>
            </w:r>
          </w:p>
        </w:tc>
        <w:tc>
          <w:tcPr>
            <w:tcW w:w="1740" w:type="dxa"/>
            <w:vAlign w:val="bottom"/>
          </w:tcPr>
          <w:p>
            <w:pPr>
              <w:jc w:val="right"/>
              <w:ind w:right="15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(8,715)</w:t>
            </w:r>
          </w:p>
        </w:tc>
        <w:tc>
          <w:tcPr>
            <w:tcW w:w="100" w:type="dxa"/>
            <w:vAlign w:val="bottom"/>
          </w:tcPr>
          <w:p>
            <w:pPr>
              <w:spacing w:after="0"/>
              <w:rPr>
                <w:sz w:val="17"/>
                <w:szCs w:val="17"/>
                <w:color w:val="auto"/>
              </w:rPr>
            </w:pPr>
          </w:p>
        </w:tc>
        <w:tc>
          <w:tcPr>
            <w:tcW w:w="1720" w:type="dxa"/>
            <w:vAlign w:val="bottom"/>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6,173</w:t>
            </w:r>
          </w:p>
        </w:tc>
      </w:tr>
      <w:tr>
        <w:trPr>
          <w:trHeight w:val="259"/>
        </w:trPr>
        <w:tc>
          <w:tcPr>
            <w:tcW w:w="656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r>
      <w:tr>
        <w:trPr>
          <w:trHeight w:val="214"/>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8"/>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weighted average common shares outstanding</w:t>
            </w:r>
          </w:p>
        </w:tc>
        <w:tc>
          <w:tcPr>
            <w:tcW w:w="17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31,738</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29,659</w:t>
            </w:r>
          </w:p>
        </w:tc>
      </w:tr>
      <w:tr>
        <w:trPr>
          <w:trHeight w:val="21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Dilutive effect of restricted stock units (1)</w:t>
            </w:r>
          </w:p>
        </w:tc>
        <w:tc>
          <w:tcPr>
            <w:tcW w:w="17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2"/>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17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31,738</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29,688</w:t>
            </w:r>
          </w:p>
        </w:tc>
      </w:tr>
      <w:tr>
        <w:trPr>
          <w:trHeight w:val="257"/>
        </w:trPr>
        <w:tc>
          <w:tcPr>
            <w:tcW w:w="65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Earnings/(Loss) Per Share</w:t>
            </w:r>
          </w:p>
        </w:tc>
        <w:tc>
          <w:tcPr>
            <w:tcW w:w="1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740" w:type="dxa"/>
            <w:vAlign w:val="bottom"/>
          </w:tcPr>
          <w:p>
            <w:pPr>
              <w:jc w:val="right"/>
              <w:ind w:right="15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tcPr>
          <w:p>
            <w:pPr>
              <w:spacing w:after="0"/>
              <w:rPr>
                <w:sz w:val="18"/>
                <w:szCs w:val="18"/>
                <w:color w:val="auto"/>
              </w:rPr>
            </w:pPr>
          </w:p>
        </w:tc>
        <w:tc>
          <w:tcPr>
            <w:tcW w:w="1720" w:type="dxa"/>
            <w:vAlign w:val="bottom"/>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r>
      <w:tr>
        <w:trPr>
          <w:trHeight w:val="21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740" w:type="dxa"/>
            <w:vAlign w:val="bottom"/>
            <w:shd w:val="clear" w:color="auto" w:fill="CCEEFF"/>
          </w:tcPr>
          <w:p>
            <w:pPr>
              <w:jc w:val="right"/>
              <w:ind w:right="15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r>
    </w:tbl>
    <w:p>
      <w:pPr>
        <w:spacing w:after="0" w:line="81" w:lineRule="exact"/>
        <w:rPr>
          <w:sz w:val="20"/>
          <w:szCs w:val="20"/>
          <w:color w:val="auto"/>
        </w:rPr>
      </w:pPr>
    </w:p>
    <w:p>
      <w:pPr>
        <w:ind w:left="660" w:hanging="328"/>
        <w:spacing w:after="0" w:line="280" w:lineRule="auto"/>
        <w:tabs>
          <w:tab w:leader="none" w:pos="6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stock units issued to certain directors of 16 thousand were excluded from the computation of diluted earnings per share because its effect would be anti-dilutive for the three months ended March 31,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detail the Company's common stock dividends declared during the three months ended March 31, 2026 and 2025.</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780" w:type="dxa"/>
            <w:vAlign w:val="bottom"/>
            <w:gridSpan w:val="3"/>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14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Cash Dividend</w:t>
            </w:r>
          </w:p>
        </w:tc>
        <w:tc>
          <w:tcPr>
            <w:tcW w:w="100" w:type="dxa"/>
            <w:vAlign w:val="bottom"/>
          </w:tcPr>
          <w:p>
            <w:pPr>
              <w:spacing w:after="0"/>
              <w:rPr>
                <w:sz w:val="13"/>
                <w:szCs w:val="13"/>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560" w:type="dxa"/>
            <w:vAlign w:val="bottom"/>
            <w:gridSpan w:val="3"/>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18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Cash Dividend</w:t>
            </w:r>
          </w:p>
        </w:tc>
        <w:tc>
          <w:tcPr>
            <w:tcW w:w="0" w:type="dxa"/>
            <w:vAlign w:val="bottom"/>
          </w:tcPr>
          <w:p>
            <w:pPr>
              <w:spacing w:after="0"/>
              <w:rPr>
                <w:sz w:val="1"/>
                <w:szCs w:val="1"/>
                <w:color w:val="auto"/>
              </w:rPr>
            </w:pPr>
          </w:p>
        </w:tc>
      </w:tr>
      <w:tr>
        <w:trPr>
          <w:trHeight w:val="214"/>
        </w:trPr>
        <w:tc>
          <w:tcPr>
            <w:tcW w:w="158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780" w:type="dxa"/>
            <w:vAlign w:val="bottom"/>
            <w:gridSpan w:val="3"/>
            <w:vMerge w:val="continue"/>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36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560" w:type="dxa"/>
            <w:vAlign w:val="bottom"/>
            <w:gridSpan w:val="3"/>
            <w:vMerge w:val="continue"/>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0" w:type="dxa"/>
            <w:vAlign w:val="bottom"/>
          </w:tcPr>
          <w:p>
            <w:pPr>
              <w:spacing w:after="0"/>
              <w:rPr>
                <w:sz w:val="1"/>
                <w:szCs w:val="1"/>
                <w:color w:val="auto"/>
              </w:rPr>
            </w:pPr>
          </w:p>
        </w:tc>
      </w:tr>
      <w:tr>
        <w:trPr>
          <w:trHeight w:val="211"/>
        </w:trPr>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3/16/2026</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3/31/2026</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4/30/2026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3/17/2025</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3/31/2025</w:t>
            </w: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4/30/2025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detail the Company's preferred stock dividends declared and paid during the three months ended March 31, 2026 and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560" w:type="dxa"/>
            <w:vAlign w:val="bottom"/>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Cash Dividend Per Share</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r>
      <w:tr>
        <w:trPr>
          <w:trHeight w:val="214"/>
        </w:trPr>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182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28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8.25% Series A</w:t>
            </w:r>
          </w:p>
        </w:tc>
        <w:tc>
          <w:tcPr>
            <w:tcW w:w="26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8.00% Series B</w:t>
            </w:r>
          </w:p>
        </w:tc>
        <w:tc>
          <w:tcPr>
            <w:tcW w:w="240" w:type="dxa"/>
            <w:vAlign w:val="bottom"/>
          </w:tcPr>
          <w:p>
            <w:pPr>
              <w:spacing w:after="0"/>
              <w:rPr>
                <w:sz w:val="18"/>
                <w:szCs w:val="18"/>
                <w:color w:val="auto"/>
              </w:rPr>
            </w:pPr>
          </w:p>
        </w:tc>
        <w:tc>
          <w:tcPr>
            <w:tcW w:w="16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8.000% Series C</w:t>
            </w:r>
          </w:p>
        </w:tc>
      </w:tr>
      <w:tr>
        <w:trPr>
          <w:trHeight w:val="211"/>
        </w:trPr>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2/13/2026</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2/27/2026</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3/17/2026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0.51563</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0.652391</w:t>
            </w:r>
          </w:p>
        </w:tc>
      </w:tr>
      <w:tr>
        <w:trPr>
          <w:trHeight w:val="520"/>
        </w:trPr>
        <w:tc>
          <w:tcPr>
            <w:tcW w:w="1560" w:type="dxa"/>
            <w:vAlign w:val="bottom"/>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Cash Dividend Per Share</w:t>
            </w:r>
          </w:p>
        </w:tc>
        <w:tc>
          <w:tcPr>
            <w:tcW w:w="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14"/>
        </w:trPr>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182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28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8.25% Series A</w:t>
            </w:r>
          </w:p>
        </w:tc>
        <w:tc>
          <w:tcPr>
            <w:tcW w:w="26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8.00% Series B</w:t>
            </w:r>
          </w:p>
        </w:tc>
        <w:tc>
          <w:tcPr>
            <w:tcW w:w="240" w:type="dxa"/>
            <w:vAlign w:val="bottom"/>
          </w:tcPr>
          <w:p>
            <w:pPr>
              <w:spacing w:after="0"/>
              <w:rPr>
                <w:sz w:val="18"/>
                <w:szCs w:val="18"/>
                <w:color w:val="auto"/>
              </w:rPr>
            </w:pPr>
          </w:p>
        </w:tc>
        <w:tc>
          <w:tcPr>
            <w:tcW w:w="16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8.000% Series C</w:t>
            </w:r>
          </w:p>
        </w:tc>
      </w:tr>
      <w:tr>
        <w:trPr>
          <w:trHeight w:val="211"/>
        </w:trPr>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2/14/2025</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2/28/2025</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3/17/2025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0.51563</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0.693062</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conducts its operations to qualify and be taxed as a REIT. As a REIT, the Company is not subject to federal income tax to the extent that it makes qualifying distributions to its stockholders, and provided it satisfies on a continuing basis, through actual investment and operating results, the REIT requirements including certain asset, income, distribution, and stock ownership tests. The state and local tax jurisdictions for which the Company is subject to tax-filing obligations recognize the Company’s status as a REIT, and therefore, the Company generally does not pay income tax in such jurisdictions. The Company may, however, be subject to certain minimum state and local tax filing fees as well as certain excise, franchise, or business taxes.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Excise Tax</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Excise tax represents a non-deductible 4% tax on the required amount of the Company’s ordinary income and net capital gains not distributed during the year. The expense is calculated in accordance with applicable tax regulations. The below table details excise tax expense for the three months ended March 31, 2026 and 2025, which is recorded in the “Non-investment related expenses” line item on the consolidated statement of operations (in thousands).</w:t>
      </w:r>
    </w:p>
    <w:p>
      <w:pPr>
        <w:spacing w:after="0" w:line="3" w:lineRule="exact"/>
        <w:rPr>
          <w:sz w:val="20"/>
          <w:szCs w:val="20"/>
          <w:color w:val="auto"/>
        </w:rPr>
      </w:pPr>
    </w:p>
    <w:tbl>
      <w:tblPr>
        <w:tblLayout w:type="fixed"/>
        <w:tblInd w:w="1980" w:type="dxa"/>
        <w:tblCellMar>
          <w:top w:w="0" w:type="dxa"/>
          <w:left w:w="0" w:type="dxa"/>
          <w:bottom w:w="0" w:type="dxa"/>
          <w:right w:w="0" w:type="dxa"/>
        </w:tblCellMar>
      </w:tblPr>
      <w:tr>
        <w:trPr>
          <w:trHeight w:val="215"/>
        </w:trPr>
        <w:tc>
          <w:tcPr>
            <w:tcW w:w="2640" w:type="dxa"/>
            <w:vAlign w:val="bottom"/>
          </w:tcPr>
          <w:p>
            <w:pPr>
              <w:spacing w:after="0"/>
              <w:rPr>
                <w:sz w:val="18"/>
                <w:szCs w:val="18"/>
                <w:color w:val="auto"/>
              </w:rPr>
            </w:pPr>
          </w:p>
        </w:tc>
        <w:tc>
          <w:tcPr>
            <w:tcW w:w="4240" w:type="dxa"/>
            <w:vAlign w:val="bottom"/>
            <w:tcBorders>
              <w:bottom w:val="single" w:sz="8" w:color="auto"/>
            </w:tcBorders>
            <w:gridSpan w:val="4"/>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Borders>
              <w:bottom w:val="single" w:sz="8" w:color="auto"/>
            </w:tcBorders>
          </w:tcPr>
          <w:p>
            <w:pPr>
              <w:spacing w:after="0"/>
              <w:rPr>
                <w:sz w:val="18"/>
                <w:szCs w:val="18"/>
                <w:color w:val="auto"/>
              </w:rPr>
            </w:pPr>
          </w:p>
        </w:tc>
      </w:tr>
      <w:tr>
        <w:trPr>
          <w:trHeight w:val="211"/>
        </w:trPr>
        <w:tc>
          <w:tcPr>
            <w:tcW w:w="264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420" w:type="dxa"/>
            <w:vAlign w:val="bottom"/>
            <w:tcBorders>
              <w:bottom w:val="single" w:sz="8" w:color="auto"/>
            </w:tcBorders>
          </w:tcPr>
          <w:p>
            <w:pPr>
              <w:spacing w:after="0"/>
              <w:rPr>
                <w:sz w:val="18"/>
                <w:szCs w:val="18"/>
                <w:color w:val="auto"/>
              </w:rPr>
            </w:pPr>
          </w:p>
        </w:tc>
      </w:tr>
      <w:tr>
        <w:trPr>
          <w:trHeight w:val="211"/>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Excise tax expense</w:t>
            </w:r>
          </w:p>
        </w:tc>
        <w:tc>
          <w:tcPr>
            <w:tcW w:w="1860" w:type="dxa"/>
            <w:vAlign w:val="bottom"/>
            <w:shd w:val="clear" w:color="auto" w:fill="CCEEFF"/>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REIT Net Operating Loss and Net Capital Loss Carryforwards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connection with the WMC acquisition, the Company obtained federal net operating loss ("NOL") carryforwards of $321.6 million, of which $223.8 million do not have an expiration date and can be carried forward indefinitely. However, the Company’s use of the NOLs obtained in the WMC acquisition is limited under Section 382 of the Internal Revenue Code. As of March 31, 2026 and December 31, 2025, the remaining NOL carryforwards obtained in the WMC acquisition was $317.3 million.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had estimated net capital loss ("NCL") carryforwards of $63.9 million. These NCL carryforwards (which exclude NCLs acquired from WMC) can be utilized to offset future net gains from the sale of capital assets. NCL carryforwards of $225.7 million were generated during the year ended December 31, 2020 and any unutilized NCL carryforwards expired on December 31, 2025.</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WMC acquisition, the Company obtained NCL carryforwards. As of March 31, 2026 and December 31, 2025, these estimated NCL carryforwards were $153.9 million. These NCL carryforwards will expire between 2026 and 2030. However, the Company’s use of these NCLs is limited under Sections 382 and 383 of the Internal Revenue Code.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Taxable REIT Subsidiaries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elected to treat certain domestic subsidiaries as taxable REIT subsidiaries ("TRSs"). The Company’s financial results are generally not expected to reflect provisions for current or deferred income taxes, except for any activities conducted through one or more TRSs that are subject to corporate income taxation. Currently, the Company has wholly owned domestic TRSs that are taxable as corporations and subject to U.S. federal, state, and local income tax on net income at the applicable corporate rates. The federal statutory rate for the three months ended March 31, 2026 and 2025 was 21%. The Company’s effective tax rate differs from its combined U.S. federal, state, and local corporate statutory tax rate primarily due to income earned at the REIT, which is not subject to tax due to the deduction for qualifying distributions made by the Company, and any change in the valuation allowance as disclosed in further detail below. The tax expense attributable to its TRSs is recorded in the "Income tax expense" line item on the consolidated statement of operations. The below table details the tax expense attributable to its TRSs for the three months ended March 31, 2026 and 2025 (in thousands).</w:t>
      </w:r>
    </w:p>
    <w:p>
      <w:pPr>
        <w:spacing w:after="0" w:line="262" w:lineRule="exact"/>
        <w:rPr>
          <w:sz w:val="20"/>
          <w:szCs w:val="20"/>
          <w:color w:val="auto"/>
        </w:rPr>
      </w:pPr>
    </w:p>
    <w:tbl>
      <w:tblPr>
        <w:tblLayout w:type="fixed"/>
        <w:tblInd w:w="1880" w:type="dxa"/>
        <w:tblCellMar>
          <w:top w:w="0" w:type="dxa"/>
          <w:left w:w="0" w:type="dxa"/>
          <w:bottom w:w="0" w:type="dxa"/>
          <w:right w:w="0" w:type="dxa"/>
        </w:tblCellMar>
      </w:tblPr>
      <w:tr>
        <w:trPr>
          <w:trHeight w:val="215"/>
        </w:trPr>
        <w:tc>
          <w:tcPr>
            <w:tcW w:w="2840" w:type="dxa"/>
            <w:vAlign w:val="bottom"/>
          </w:tcPr>
          <w:p>
            <w:pPr>
              <w:spacing w:after="0"/>
              <w:rPr>
                <w:sz w:val="18"/>
                <w:szCs w:val="18"/>
                <w:color w:val="auto"/>
              </w:rPr>
            </w:pPr>
          </w:p>
        </w:tc>
        <w:tc>
          <w:tcPr>
            <w:tcW w:w="4240" w:type="dxa"/>
            <w:vAlign w:val="bottom"/>
            <w:tcBorders>
              <w:bottom w:val="single" w:sz="8" w:color="auto"/>
            </w:tcBorders>
            <w:gridSpan w:val="4"/>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Borders>
              <w:bottom w:val="single" w:sz="8" w:color="auto"/>
            </w:tcBorders>
          </w:tcPr>
          <w:p>
            <w:pPr>
              <w:spacing w:after="0"/>
              <w:rPr>
                <w:sz w:val="18"/>
                <w:szCs w:val="18"/>
                <w:color w:val="auto"/>
              </w:rPr>
            </w:pPr>
          </w:p>
        </w:tc>
      </w:tr>
      <w:tr>
        <w:trPr>
          <w:trHeight w:val="211"/>
        </w:trPr>
        <w:tc>
          <w:tcPr>
            <w:tcW w:w="284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420" w:type="dxa"/>
            <w:vAlign w:val="bottom"/>
            <w:tcBorders>
              <w:bottom w:val="single" w:sz="8" w:color="auto"/>
            </w:tcBorders>
          </w:tcPr>
          <w:p>
            <w:pPr>
              <w:spacing w:after="0"/>
              <w:rPr>
                <w:sz w:val="18"/>
                <w:szCs w:val="18"/>
                <w:color w:val="auto"/>
              </w:rPr>
            </w:pPr>
          </w:p>
        </w:tc>
      </w:tr>
      <w:tr>
        <w:trPr>
          <w:trHeight w:val="21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w:t>
            </w:r>
          </w:p>
        </w:tc>
        <w:tc>
          <w:tcPr>
            <w:tcW w:w="1820" w:type="dxa"/>
            <w:vAlign w:val="bottom"/>
            <w:shd w:val="clear" w:color="auto" w:fill="CCEEFF"/>
          </w:tcPr>
          <w:p>
            <w:pPr>
              <w:jc w:val="right"/>
              <w:ind w:right="16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699"/>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State and Local</w:t>
            </w:r>
          </w:p>
        </w:tc>
        <w:tc>
          <w:tcPr>
            <w:tcW w:w="1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28</w:t>
            </w:r>
          </w:p>
        </w:tc>
      </w:tr>
      <w:tr>
        <w:trPr>
          <w:trHeight w:val="21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820" w:type="dxa"/>
            <w:vAlign w:val="bottom"/>
            <w:shd w:val="clear" w:color="auto" w:fill="CCEEFF"/>
          </w:tcPr>
          <w:p>
            <w:pPr>
              <w:jc w:val="right"/>
              <w:ind w:right="16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699"/>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28</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 of assets and liabilities for financial reporting and tax reporting purposes at the TRS level. As of March 31, 2026 and December 31, 2025, the Company recorded a deferred tax asset of approximately $28.3 million and $28.5 million, respectively. The NOL carryforwards as of December 31, 2025 can be carried forward indefinitely. In assessing the realizability of deferred tax assets, the Company considers whether it is more likely than not that some portion or all of the deferred tax assets will not be realized. The ultimate realization of deferred tax assets is dependent upon the generation of future taxable income during periods in which temporary differences become deductible. The Company concluded it is more likely than not the deferred tax asset will not be realized and established a valuation allowance of $28.3 million and $28.5 million as of March 31, 2026 and December 31,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Income Tax Positions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its analysis of any potential uncertain income tax positions, the Company concluded it did not have any uncertain tax positions that meet the recognition or measurement criteria of ASC 740 as of March 31, 2026 and December 31, 2025. The Company’s and WMC's federal income tax returns for the last three tax years are open to examination by the Internal Revenue Service. There are no ongoing U.S. federal, state or local tax examinations related to the Company. In the event that the Company incurs income tax related interest and penalties, its policy is to classify them as a component of provision for income taxes. The Company did not incur any interest or penalties during the three months ended March 31, 2026 and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Manager</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entered into a management agreement with the Manager, which provided for an initial term and will be deemed renewed automatically each year for an additional one-year period, subject to certain termination rights. The Company is externally managed and advised by the Manager. Pursuant to the terms of the management agreement, which became effective July 6, 2011 (upon the consummation of the Company’s initial public offering (the "IPO")), the Manager provides the Company with its management team, including its officers, along with appropriate support personnel. Each of the Company’s officers is an employee of TPG or its affiliates. The Company does not have any employees. The Manager has delegated to TPG Angelo Gordon, an affiliate of TPG, the overall responsibility of its day-to-day duties and obligations arising under the Company’s management agreement. Below is a description of the fees and reimbursements provided in the management agreement.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fee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Manager is entitled to a management fee equal to 1.50% per annum, calculated and paid quarterly, of the Company’s Stockholders’ Equity. For purposes of calculating the management fee, "Stockholders’ Equity" means the sum of the net proceeds from any issuances of equity securities (including preferred securities) since inception (allocated on a pro rata daily basis for such issuances during the fiscal quarter of any such issuance, and excluding any future equity issuance to the Manager), plus the Company’s retained earnings at the end of such quarter (without taking into account any non-cash equity compensation expense or other non-cash items incurred in current or prior periods), less any amount that the Company pays for repurchases of its common stock, excluding any unrealized gains, losses or other non-cash items that have impacted stockholders’ equity as reported in the Company’s financial statements prepared in accordance with GAAP, regardless of whether such items are included in other comprehensive income or loss, or in net income, and excluding one-time events pursuant to changes in GAAP, and certain other non-cash charges after discussions between the Manager and the Company’s independent directors and after approval by a majority of the Company’s independent directors. Stockholders’ Equity, for purposes of calculating the management fee, could be greater or less than the amount of stockholders’ equity shown on the Company’s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details the management fees incurred during the three months ended March 31, 2026 and 2025 (in thousands).</w:t>
      </w:r>
    </w:p>
    <w:p>
      <w:pPr>
        <w:spacing w:after="0" w:line="52" w:lineRule="exact"/>
        <w:rPr>
          <w:sz w:val="20"/>
          <w:szCs w:val="20"/>
          <w:color w:val="auto"/>
        </w:rPr>
      </w:pPr>
    </w:p>
    <w:tbl>
      <w:tblPr>
        <w:tblLayout w:type="fixed"/>
        <w:tblInd w:w="112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4120" w:type="dxa"/>
            <w:vAlign w:val="bottom"/>
            <w:tcBorders>
              <w:bottom w:val="single" w:sz="8" w:color="auto"/>
            </w:tcBorders>
            <w:gridSpan w:val="4"/>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40" w:type="dxa"/>
            <w:vAlign w:val="bottom"/>
            <w:tcBorders>
              <w:bottom w:val="single" w:sz="8" w:color="auto"/>
            </w:tcBorders>
          </w:tcPr>
          <w:p>
            <w:pPr>
              <w:spacing w:after="0"/>
              <w:rPr>
                <w:sz w:val="18"/>
                <w:szCs w:val="18"/>
                <w:color w:val="auto"/>
              </w:rPr>
            </w:pPr>
          </w:p>
        </w:tc>
      </w:tr>
      <w:tr>
        <w:trPr>
          <w:trHeight w:val="214"/>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line item:</w:t>
            </w:r>
          </w:p>
        </w:tc>
        <w:tc>
          <w:tcPr>
            <w:tcW w:w="1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540" w:type="dxa"/>
            <w:vAlign w:val="bottom"/>
            <w:tcBorders>
              <w:bottom w:val="single" w:sz="8" w:color="auto"/>
            </w:tcBorders>
          </w:tcPr>
          <w:p>
            <w:pPr>
              <w:spacing w:after="0"/>
              <w:rPr>
                <w:sz w:val="18"/>
                <w:szCs w:val="18"/>
                <w:color w:val="auto"/>
              </w:rPr>
            </w:pPr>
          </w:p>
        </w:tc>
      </w:tr>
      <w:tr>
        <w:trPr>
          <w:trHeight w:val="211"/>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Management fee to affiliate</w:t>
            </w:r>
          </w:p>
        </w:tc>
        <w:tc>
          <w:tcPr>
            <w:tcW w:w="1760" w:type="dxa"/>
            <w:vAlign w:val="bottom"/>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recorded management fees payable of $2.3 million and $2.3 million, respectively. The management fee payable is included within the "Due to affiliates" item within the "Other liabilities" line item on the consolidated balance sheets.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fee</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Manager is entitled to an annual incentive fee with respect to each applicable fiscal year, which will be equal to 15% of the amount by which the Company's cumulative adjusted net income from November 22, 2021 exceeds the cumulative hurdle amount, which represents an 8% return (cumulative, but not compounding) on an equity hurdle base consisting of the sum of (i) $341.5 million and (ii) the gross proceeds of any subsequent public or private common stock offerings by the Company. The annual incentive fee will be payable in cash, or, at the option of the Company's Board of Directors, shares of common stock or a combination of cash and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the Company did not incur any incentive fee expense.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fee</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Upon the occurrence of (i) the Company’s termination of the management agreement without cause or (ii) the Manager’s termination of the management agreement upon a breach by the Company of any material term of the management agreement, the Manager will be entitled to a termination fee equal to three times the average annual management fee during the 24-month period prior to such termination, calculated as of the end of the most recently completed fiscal quarter. As of March 31, 2026 and December 31, 2025, no event of termination of the management agreement had occurred.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reimbursement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required to reimburse the Manager or its affiliates for operating expenses which are incurred by the Manager or its affiliates on behalf of the Company, including expenses relating to legal, accounting, due diligence, and other services. The Company’s reimbursement obligation is not subject to any dollar limitation; however, the reimbursement is subject to an annual budget process which combines guidelines from the management agreement with oversight by the Company’s Board of Directors.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reimburses the Manager or its affiliates for the Company’s allocable share of the compensation, including, without limitation, annual base salary, bonus, any related withholding taxes, and employee benefits paid to (i) the Company’s chief financial officer based on the percentage of time spent on Company affairs, (ii) the Company’s general counsel based on the percentage of time spent on the Company’s affairs, and (iii) other corporate finance, tax, accounting, internal audit, legal, risk management, operations, compliance, and other non-investment personnel of the Manager and its affiliates who spend all or a portion of their time managing the Company’s affairs based upon the percentage of time devoted by such personnel to the Company’s affairs. In their capacities as officers or personnel of the Manager or its affiliates, they devote such portion of their time to the Company’s affairs as is necessary to enable the Company to operate its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details the expense reimbursement incurred during the three months ended March 31, 2026 and 2025 (in thousands).</w:t>
      </w:r>
    </w:p>
    <w:p>
      <w:pPr>
        <w:spacing w:after="0" w:line="52" w:lineRule="exact"/>
        <w:rPr>
          <w:sz w:val="20"/>
          <w:szCs w:val="20"/>
          <w:color w:val="auto"/>
        </w:rPr>
      </w:pPr>
    </w:p>
    <w:tbl>
      <w:tblPr>
        <w:tblLayout w:type="fixed"/>
        <w:tblInd w:w="96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gridSpan w:val="4"/>
          </w:tcPr>
          <w:p>
            <w:pPr>
              <w:jc w:val="right"/>
              <w:ind w:right="151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line item:</w:t>
            </w:r>
          </w:p>
        </w:tc>
        <w:tc>
          <w:tcPr>
            <w:tcW w:w="360" w:type="dxa"/>
            <w:vAlign w:val="bottom"/>
          </w:tcPr>
          <w:p>
            <w:pPr>
              <w:spacing w:after="0"/>
              <w:rPr>
                <w:sz w:val="18"/>
                <w:szCs w:val="18"/>
                <w:color w:val="auto"/>
              </w:rPr>
            </w:pPr>
          </w:p>
        </w:tc>
        <w:tc>
          <w:tcPr>
            <w:tcW w:w="20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60" w:type="dxa"/>
            <w:vAlign w:val="bottom"/>
          </w:tcPr>
          <w:p>
            <w:pPr>
              <w:spacing w:after="0"/>
              <w:rPr>
                <w:sz w:val="18"/>
                <w:szCs w:val="18"/>
                <w:color w:val="auto"/>
              </w:rPr>
            </w:pPr>
          </w:p>
        </w:tc>
        <w:tc>
          <w:tcPr>
            <w:tcW w:w="19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5"/>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Non-investment related expenses</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r>
      <w:tr>
        <w:trPr>
          <w:trHeight w:val="240"/>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related expenses</w:t>
            </w:r>
          </w:p>
        </w:tc>
        <w:tc>
          <w:tcPr>
            <w:tcW w:w="36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related expenses</w:t>
            </w:r>
          </w:p>
        </w:tc>
        <w:tc>
          <w:tcPr>
            <w:tcW w:w="3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04"/>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 reimbursements to Manager or its affiliates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w:t>
            </w:r>
          </w:p>
        </w:tc>
      </w:tr>
    </w:tbl>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the Company recorded a reimbursement payable to the Manager or its affiliates of $1.3 million and $2.1 million, respectively. The reimbursement payable to the Manager or its affiliates is included within the "Due to affiliates" line item within the "Other liabilities" line item on the consolidated balance sheets.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debt and equity of affiliates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invests in credit sensitive residential assets through affiliated entities which hold an ownership interest in the assets. The Company is one investor, amongst other investors managed by affiliates of TPG, in such entities and has applied the equity method of accounting for such investments.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 Home</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9, 2015, the Company, alongside private funds managed by TPG or its affiliates, through AG Arc LLC ("AG Arc") formed Arc Home. As of March 31, 2026 and December 31, 2025, the Company had an approximate 66.0% interest in AG Arc. Arc Home is a multi-channel licensed mortgage originator and servicer primarily engaged in the business of originating and selling residential mortgage loans while retaining the mortgage servicing rights associated with certain loans that it originates. Arc Home is led by an external management team. The Company elected the fair value option with respect to its investment in AG Arc pursuant to ASC 825. The Company elected to treat its investment in AG Arc as a taxable REIT subsidiary.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 2025, the Company purchased an additional 21.4% interest in AG Arc from certain private funds managed by an affiliate of TPG. In connection with the acquisition, the Company issued 2,027,676 restricted shares of the Company’s common stock as consideration. The Company continues to account for its investment in AG Arc using the equity method as it maintains significant influence, however does not have control over major decisions affecting AG Arc’s operations and financial policies.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MATH</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29, 2017, the Company, alongside private funds managed by TPG or its affiliates, formed Mortgage Acquisition Holding I LLC ("MATH") to conduct a residential mortgage investment strategy. MATH in turn sponsored the formation of Mortgage Acquisition Trust I LLC ("MATT") to purchase predominantly Non-QM Loans. MATT made an election to be treated as a REIT beginning with the 2018 tax year. The Company has an approximate 47.0% interest in MATH. MATH, through its wholly owned subsidiary MATT, only holds risk-retention tranches from past securitizations which continue to pay down and the Company does not expect MATT to acquire additional investments.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investments in debt and equity of affiliates and related earnings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below table summarizes the components of the "Investments in debt and equity of affiliates" line item on the Company's consolidated balance sheets as of March 31, 2026 and December 31, 2025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11"/>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tcPr>
          <w:p>
            <w:pPr>
              <w:spacing w:after="0"/>
              <w:rPr>
                <w:sz w:val="18"/>
                <w:szCs w:val="18"/>
                <w:color w:val="auto"/>
              </w:rPr>
            </w:pP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tcPr>
          <w:p>
            <w:pPr>
              <w:spacing w:after="0"/>
              <w:rPr>
                <w:sz w:val="18"/>
                <w:szCs w:val="18"/>
                <w:color w:val="auto"/>
              </w:rPr>
            </w:pP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11"/>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Non-QM Securities (1)</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9,439</w:t>
            </w: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Re/Non-Performing Securities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r>
      <w:tr>
        <w:trPr>
          <w:trHeight w:val="212"/>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Residential Investments</w:t>
            </w: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10,038</w:t>
            </w: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 Arc, at fair value</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50,016</w:t>
            </w: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Other assets/(liabilities)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55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55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w:t>
            </w:r>
          </w:p>
        </w:tc>
      </w:tr>
      <w:tr>
        <w:trPr>
          <w:trHeight w:val="204"/>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debt and equity of affiliates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61,789</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center"/>
              <w:ind w:left="55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61,774</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61,345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center"/>
              <w:ind w:left="55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61,333</w:t>
            </w:r>
          </w:p>
        </w:tc>
      </w:tr>
    </w:tbl>
    <w:p>
      <w:pPr>
        <w:spacing w:after="0" w:line="86" w:lineRule="exact"/>
        <w:rPr>
          <w:sz w:val="20"/>
          <w:szCs w:val="20"/>
          <w:color w:val="auto"/>
        </w:rPr>
      </w:pPr>
    </w:p>
    <w:p>
      <w:pPr>
        <w:ind w:left="660" w:hanging="328"/>
        <w:spacing w:after="0" w:line="280" w:lineRule="auto"/>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2026 and December 31, 2025, MATH, through its wholly owned subsidiary MATT, only holds risk-retention tranches from past securitizations which continue to pay down and the Company does not expect MATT to acquire additional investments.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below table reconciles the net income/(loss) to the "Equity in earnings/(loss) from affiliates" line item on the Company's consolidated statements of operations for the three months ended March 31, 2026 and 2025 (in thousands).</w:t>
      </w:r>
    </w:p>
    <w:p>
      <w:pPr>
        <w:spacing w:after="0" w:line="246" w:lineRule="exact"/>
        <w:rPr>
          <w:sz w:val="20"/>
          <w:szCs w:val="20"/>
          <w:color w:val="auto"/>
        </w:rPr>
      </w:pPr>
    </w:p>
    <w:tbl>
      <w:tblPr>
        <w:tblLayout w:type="fixed"/>
        <w:tblInd w:w="1240" w:type="dxa"/>
        <w:tblCellMar>
          <w:top w:w="0" w:type="dxa"/>
          <w:left w:w="0" w:type="dxa"/>
          <w:bottom w:w="0" w:type="dxa"/>
          <w:right w:w="0" w:type="dxa"/>
        </w:tblCellMar>
      </w:tblPr>
      <w:tr>
        <w:trPr>
          <w:trHeight w:val="215"/>
        </w:trPr>
        <w:tc>
          <w:tcPr>
            <w:tcW w:w="4100" w:type="dxa"/>
            <w:vAlign w:val="bottom"/>
          </w:tcPr>
          <w:p>
            <w:pPr>
              <w:spacing w:after="0"/>
              <w:rPr>
                <w:sz w:val="18"/>
                <w:szCs w:val="18"/>
                <w:color w:val="auto"/>
              </w:rPr>
            </w:pPr>
          </w:p>
        </w:tc>
        <w:tc>
          <w:tcPr>
            <w:tcW w:w="4140" w:type="dxa"/>
            <w:vAlign w:val="bottom"/>
            <w:tcBorders>
              <w:bottom w:val="single" w:sz="8" w:color="auto"/>
            </w:tcBorders>
            <w:gridSpan w:val="4"/>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Borders>
              <w:bottom w:val="single" w:sz="8" w:color="auto"/>
            </w:tcBorders>
          </w:tcPr>
          <w:p>
            <w:pPr>
              <w:spacing w:after="0"/>
              <w:rPr>
                <w:sz w:val="18"/>
                <w:szCs w:val="18"/>
                <w:color w:val="auto"/>
              </w:rPr>
            </w:pPr>
          </w:p>
        </w:tc>
      </w:tr>
      <w:tr>
        <w:trPr>
          <w:trHeight w:val="211"/>
        </w:trPr>
        <w:tc>
          <w:tcPr>
            <w:tcW w:w="4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520" w:type="dxa"/>
            <w:vAlign w:val="bottom"/>
            <w:tcBorders>
              <w:bottom w:val="single" w:sz="8" w:color="auto"/>
            </w:tcBorders>
          </w:tcPr>
          <w:p>
            <w:pPr>
              <w:spacing w:after="0"/>
              <w:rPr>
                <w:sz w:val="18"/>
                <w:szCs w:val="18"/>
                <w:color w:val="auto"/>
              </w:rPr>
            </w:pPr>
          </w:p>
        </w:tc>
      </w:tr>
      <w:tr>
        <w:trPr>
          <w:trHeight w:val="211"/>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Non-QM Securities</w:t>
            </w:r>
          </w:p>
        </w:tc>
        <w:tc>
          <w:tcPr>
            <w:tcW w:w="1760" w:type="dxa"/>
            <w:vAlign w:val="bottom"/>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Re/Non-Performing Securities</w:t>
            </w:r>
          </w:p>
        </w:tc>
        <w:tc>
          <w:tcPr>
            <w:tcW w:w="17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1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 Arc (1)(2)</w:t>
            </w:r>
          </w:p>
        </w:tc>
        <w:tc>
          <w:tcPr>
            <w:tcW w:w="17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w:t>
            </w:r>
          </w:p>
        </w:tc>
      </w:tr>
      <w:tr>
        <w:trPr>
          <w:trHeight w:val="204"/>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earnings/(loss) from affiliates</w:t>
            </w:r>
          </w:p>
        </w:tc>
        <w:tc>
          <w:tcPr>
            <w:tcW w:w="1760" w:type="dxa"/>
            <w:vAlign w:val="bottom"/>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17"/>
                <w:szCs w:val="17"/>
                <w:color w:val="auto"/>
              </w:rPr>
            </w:pPr>
          </w:p>
        </w:tc>
        <w:tc>
          <w:tcPr>
            <w:tcW w:w="1760" w:type="dxa"/>
            <w:vAlign w:val="bottom"/>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w:t>
            </w:r>
          </w:p>
        </w:tc>
      </w:tr>
    </w:tbl>
    <w:p>
      <w:pPr>
        <w:spacing w:after="0" w:line="73" w:lineRule="exact"/>
        <w:rPr>
          <w:sz w:val="20"/>
          <w:szCs w:val="20"/>
          <w:color w:val="auto"/>
        </w:rPr>
      </w:pPr>
    </w:p>
    <w:p>
      <w:pPr>
        <w:ind w:left="660" w:hanging="328"/>
        <w:spacing w:after="0" w:line="267"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Earnings/(loss) recognized by AG Arc do not include the Company's portion of gains or losses recorded by Arc Home in connection with the sale of residential mortgage loans to the Company. Refer to "Transactions with Arc Home" below for more information on this accounting policy.</w:t>
      </w:r>
    </w:p>
    <w:p>
      <w:pPr>
        <w:ind w:left="660" w:hanging="328"/>
        <w:spacing w:after="0"/>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2026 and 2025, the Company had an approximate 66.0% and 44.6% interest in AG Arc, respectively.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affiliates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Red Creek Asset Management LLC</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Company’s investments in residential mortgage loans, the Company engages asset managers to provide advisory, consultation, asset management, and other services. The Company engaged Red Creek Asset Management LLC (the "Asset Manager"), a related party of the Manager and subsidiary of TPG, as the asset manager for certain of its residential mortgage loans. The Company pays the Asset Manager asset management fees which are assessed periodically by a third-party valuation firm. The below details the fees paid by the Company to the Asset Manager during the three months ended March 31, 2026 and 2025 (in thousands).</w:t>
      </w:r>
    </w:p>
    <w:p>
      <w:pPr>
        <w:spacing w:after="0" w:line="10" w:lineRule="exact"/>
        <w:rPr>
          <w:sz w:val="20"/>
          <w:szCs w:val="20"/>
          <w:color w:val="auto"/>
        </w:rPr>
      </w:pPr>
    </w:p>
    <w:tbl>
      <w:tblPr>
        <w:tblLayout w:type="fixed"/>
        <w:tblInd w:w="1480" w:type="dxa"/>
        <w:tblCellMar>
          <w:top w:w="0" w:type="dxa"/>
          <w:left w:w="0" w:type="dxa"/>
          <w:bottom w:w="0" w:type="dxa"/>
          <w:right w:w="0" w:type="dxa"/>
        </w:tblCellMar>
      </w:tblPr>
      <w:tr>
        <w:trPr>
          <w:trHeight w:val="215"/>
        </w:trPr>
        <w:tc>
          <w:tcPr>
            <w:tcW w:w="3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gridSpan w:val="4"/>
          </w:tcPr>
          <w:p>
            <w:pPr>
              <w:jc w:val="right"/>
              <w:ind w:right="151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40" w:type="dxa"/>
            <w:vAlign w:val="bottom"/>
          </w:tcPr>
          <w:p>
            <w:pPr>
              <w:spacing w:after="0"/>
              <w:rPr>
                <w:sz w:val="18"/>
                <w:szCs w:val="18"/>
                <w:color w:val="auto"/>
              </w:rPr>
            </w:pPr>
          </w:p>
        </w:tc>
        <w:tc>
          <w:tcPr>
            <w:tcW w:w="19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11"/>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Fees paid to Asset Manager</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recorded asset management fees payable of $0.2 million and $0.2 million, respectively. Asset management fees payable are included within the "Due to affiliates" line item within the "Other liabilities" line item on the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Arc Home</w:t>
      </w:r>
    </w:p>
    <w:p>
      <w:pPr>
        <w:spacing w:after="0" w:line="25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Arc Home may sell loans to the Company, third-parties, or affiliates of the Manager. The below table details the unpaid principal balance of residential mortgage loans sold to the Company during the three months ended March 31, 2026 and 2025 (in thousands).</w:t>
      </w:r>
    </w:p>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4120" w:type="dxa"/>
            <w:vAlign w:val="bottom"/>
            <w:tcBorders>
              <w:bottom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40" w:type="dxa"/>
            <w:vAlign w:val="bottom"/>
            <w:tcBorders>
              <w:bottom w:val="single" w:sz="8" w:color="auto"/>
            </w:tcBorders>
          </w:tcPr>
          <w:p>
            <w:pPr>
              <w:spacing w:after="0"/>
              <w:rPr>
                <w:sz w:val="18"/>
                <w:szCs w:val="18"/>
                <w:color w:val="auto"/>
              </w:rPr>
            </w:pPr>
          </w:p>
        </w:tc>
      </w:tr>
      <w:tr>
        <w:trPr>
          <w:trHeight w:val="211"/>
        </w:trPr>
        <w:tc>
          <w:tcPr>
            <w:tcW w:w="532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540" w:type="dxa"/>
            <w:vAlign w:val="bottom"/>
            <w:tcBorders>
              <w:bottom w:val="single" w:sz="8" w:color="auto"/>
            </w:tcBorders>
          </w:tcPr>
          <w:p>
            <w:pPr>
              <w:spacing w:after="0"/>
              <w:rPr>
                <w:sz w:val="18"/>
                <w:szCs w:val="18"/>
                <w:color w:val="auto"/>
              </w:rPr>
            </w:pPr>
          </w:p>
        </w:tc>
      </w:tr>
      <w:tr>
        <w:trPr>
          <w:trHeight w:val="211"/>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loans sold by Arc Home to the Company</w:t>
            </w:r>
          </w:p>
        </w:tc>
        <w:tc>
          <w:tcPr>
            <w:tcW w:w="1840" w:type="dxa"/>
            <w:vAlign w:val="bottom"/>
            <w:shd w:val="clear" w:color="auto" w:fill="CCEEFF"/>
          </w:tcPr>
          <w:p>
            <w:pPr>
              <w:jc w:val="right"/>
              <w:ind w:right="16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5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60,957</w:t>
            </w:r>
          </w:p>
        </w:tc>
      </w:tr>
    </w:tbl>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sale of loans from Arc Home to the Company, the Company eliminates any intra-entity profits or losses typically recognized through the "Equity in earnings/(loss) from affiliates" line item on the Company's consolidated statement of operations and adjusts the cost basis of the underlying loans resulting in unrealized gains or losses on the underlying loans. The table below summarizes intra-entity profits eliminated during the three months ended March 31, 2026 and 2025 (in thousands).</w:t>
      </w:r>
    </w:p>
    <w:p>
      <w:pPr>
        <w:spacing w:after="0" w:line="7" w:lineRule="exact"/>
        <w:rPr>
          <w:sz w:val="20"/>
          <w:szCs w:val="20"/>
          <w:color w:val="auto"/>
        </w:rPr>
      </w:pPr>
    </w:p>
    <w:tbl>
      <w:tblPr>
        <w:tblLayout w:type="fixed"/>
        <w:tblInd w:w="1740" w:type="dxa"/>
        <w:tblCellMar>
          <w:top w:w="0" w:type="dxa"/>
          <w:left w:w="0" w:type="dxa"/>
          <w:bottom w:w="0" w:type="dxa"/>
          <w:right w:w="0" w:type="dxa"/>
        </w:tblCellMar>
      </w:tblPr>
      <w:tr>
        <w:trPr>
          <w:trHeight w:val="215"/>
        </w:trPr>
        <w:tc>
          <w:tcPr>
            <w:tcW w:w="3120" w:type="dxa"/>
            <w:vAlign w:val="bottom"/>
          </w:tcPr>
          <w:p>
            <w:pPr>
              <w:spacing w:after="0"/>
              <w:rPr>
                <w:sz w:val="18"/>
                <w:szCs w:val="18"/>
                <w:color w:val="auto"/>
              </w:rPr>
            </w:pPr>
          </w:p>
        </w:tc>
        <w:tc>
          <w:tcPr>
            <w:tcW w:w="4240" w:type="dxa"/>
            <w:vAlign w:val="bottom"/>
            <w:tcBorders>
              <w:bottom w:val="single" w:sz="8" w:color="auto"/>
            </w:tcBorders>
            <w:gridSpan w:val="4"/>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Borders>
              <w:bottom w:val="single" w:sz="8" w:color="auto"/>
            </w:tcBorders>
          </w:tcPr>
          <w:p>
            <w:pPr>
              <w:spacing w:after="0"/>
              <w:rPr>
                <w:sz w:val="18"/>
                <w:szCs w:val="18"/>
                <w:color w:val="auto"/>
              </w:rPr>
            </w:pPr>
          </w:p>
        </w:tc>
      </w:tr>
      <w:tr>
        <w:trPr>
          <w:trHeight w:val="211"/>
        </w:trPr>
        <w:tc>
          <w:tcPr>
            <w:tcW w:w="312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420" w:type="dxa"/>
            <w:vAlign w:val="bottom"/>
            <w:tcBorders>
              <w:bottom w:val="single" w:sz="8" w:color="auto"/>
            </w:tcBorders>
          </w:tcPr>
          <w:p>
            <w:pPr>
              <w:spacing w:after="0"/>
              <w:rPr>
                <w:sz w:val="18"/>
                <w:szCs w:val="18"/>
                <w:color w:val="auto"/>
              </w:rPr>
            </w:pPr>
          </w:p>
        </w:tc>
      </w:tr>
      <w:tr>
        <w:trPr>
          <w:trHeight w:val="211"/>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Intra-Entity Profits Eliminated</w:t>
            </w:r>
          </w:p>
        </w:tc>
        <w:tc>
          <w:tcPr>
            <w:tcW w:w="1900" w:type="dxa"/>
            <w:vAlign w:val="bottom"/>
            <w:shd w:val="clear" w:color="auto" w:fill="CCEEFF"/>
          </w:tcPr>
          <w:p>
            <w:pPr>
              <w:jc w:val="right"/>
              <w:ind w:right="17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bl>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enters into forward purchase commitments with Arc Home whereby the Company commits to purchase residential mortgage loans from Arc Home at a particular price on a best-efforts basis. Actual loan purchases are contingent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9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upon successful loan closings. These commitments to purchase mortgage loans are classified as derivatives. From time to time, the Company may determine that certain loans it has previously committed to purchase will be sold to third parties and, as a result, the derivative will be settled on a net basis with Arc Home. See Note 7 and Note 12, if applicable, for more detail.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under the Company's Affiliated Transaction Policy</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below table details transactions where the Company purchased or sold assets from or to an affiliate of the Manager ($ in millions). The transactions were executed in accordance with the Company's Affiliated Transaction Policy. Refer to the "Transactions with Arc Home" section above for additional information related to transactions with Arc Home, which are excluded from the table below.</w:t>
      </w:r>
    </w:p>
    <w:p>
      <w:pPr>
        <w:spacing w:after="0" w:line="246" w:lineRule="exact"/>
        <w:rPr>
          <w:sz w:val="20"/>
          <w:szCs w:val="20"/>
          <w:color w:val="auto"/>
        </w:rPr>
      </w:pPr>
    </w:p>
    <w:tbl>
      <w:tblPr>
        <w:tblLayout w:type="fixed"/>
        <w:tblInd w:w="420" w:type="dxa"/>
        <w:tblCellMar>
          <w:top w:w="0" w:type="dxa"/>
          <w:left w:w="0" w:type="dxa"/>
          <w:bottom w:w="0" w:type="dxa"/>
          <w:right w:w="0" w:type="dxa"/>
        </w:tblCellMar>
      </w:tblPr>
      <w:tr>
        <w:trPr>
          <w:trHeight w:val="215"/>
        </w:trPr>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3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Transaction</w:t>
            </w: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 (1)</w:t>
            </w:r>
          </w:p>
        </w:tc>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Pricing Methodology</w:t>
            </w:r>
          </w:p>
        </w:tc>
      </w:tr>
      <w:tr>
        <w:trPr>
          <w:trHeight w:val="213"/>
        </w:trPr>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2025</w:t>
            </w:r>
          </w:p>
        </w:tc>
        <w:tc>
          <w:tcPr>
            <w:tcW w:w="10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Purchase of Re/Non-Performing Securities (2)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Third party pricing vendors (3)</w:t>
            </w:r>
          </w:p>
        </w:tc>
      </w:tr>
      <w:tr>
        <w:trPr>
          <w:trHeight w:val="210"/>
        </w:trPr>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August 2025</w:t>
            </w:r>
          </w:p>
        </w:tc>
        <w:tc>
          <w:tcPr>
            <w:tcW w:w="3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Purchase of AG Arc (4) (5)</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Third party pricing vendors (3)</w:t>
            </w:r>
          </w:p>
        </w:tc>
      </w:tr>
    </w:tbl>
    <w:p>
      <w:pPr>
        <w:spacing w:after="0" w:line="86" w:lineRule="exact"/>
        <w:rPr>
          <w:sz w:val="20"/>
          <w:szCs w:val="20"/>
          <w:color w:val="auto"/>
        </w:rPr>
      </w:pPr>
    </w:p>
    <w:p>
      <w:pPr>
        <w:ind w:left="660" w:hanging="328"/>
        <w:spacing w:after="0"/>
        <w:tabs>
          <w:tab w:leader="none" w:pos="66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transaction date.</w:t>
      </w:r>
    </w:p>
    <w:p>
      <w:pPr>
        <w:spacing w:after="0" w:line="23" w:lineRule="exact"/>
        <w:rPr>
          <w:rFonts w:ascii="Times New Roman" w:cs="Times New Roman" w:eastAsia="Times New Roman" w:hAnsi="Times New Roman"/>
          <w:sz w:val="16"/>
          <w:szCs w:val="16"/>
          <w:color w:val="auto"/>
        </w:rPr>
      </w:pPr>
    </w:p>
    <w:p>
      <w:pPr>
        <w:ind w:left="660" w:hanging="328"/>
        <w:spacing w:after="0" w:line="248" w:lineRule="auto"/>
        <w:tabs>
          <w:tab w:leader="none" w:pos="66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purchased an additional interest in certain re/non-performing securities which are recorded within the “Investments in debt and equity of affiliates” line item on the consolidated balance sheets.</w:t>
      </w:r>
    </w:p>
    <w:p>
      <w:pPr>
        <w:spacing w:after="0" w:line="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Pricing was based on valuations prepared by third-party pricing vendors in accordance with the Company's policy.</w:t>
      </w:r>
    </w:p>
    <w:p>
      <w:pPr>
        <w:spacing w:after="0" w:line="15" w:lineRule="exact"/>
        <w:rPr>
          <w:rFonts w:ascii="Times New Roman" w:cs="Times New Roman" w:eastAsia="Times New Roman" w:hAnsi="Times New Roman"/>
          <w:sz w:val="16"/>
          <w:szCs w:val="16"/>
          <w:color w:val="auto"/>
        </w:rPr>
      </w:pPr>
    </w:p>
    <w:p>
      <w:pPr>
        <w:ind w:left="660" w:hanging="328"/>
        <w:spacing w:after="0" w:line="255" w:lineRule="auto"/>
        <w:tabs>
          <w:tab w:leader="none" w:pos="66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Board of Directors, including its independent directors, approved the transaction and obtained a fairness opinion from a third party financial advisor.</w:t>
      </w:r>
    </w:p>
    <w:p>
      <w:pPr>
        <w:ind w:left="660" w:hanging="328"/>
        <w:spacing w:after="0"/>
        <w:tabs>
          <w:tab w:leader="none" w:pos="66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“Investments in debt and equity of affiliates - Arc Home” above for additional information on this transaction.</w:t>
      </w:r>
    </w:p>
    <w:p>
      <w:pPr>
        <w:spacing w:after="0" w:line="221"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3, 2022, the Company's Board of Directors authorized a stock repurchase program (the "2022 Repurchase Program") to repurchase up to $15.0 million of the Company’s outstanding common stock. The 2022 Repurchase Program does not have an expiration date and permits the Company to repurchase its shares through various methods, including open market repurchases, privately negotiated block transactions and Rule 10b5-1 plans. The Company may repurchase shares of its common stock from time to time in compliance with SEC regulations and other legal requirements. The extent to which the Company repurchases its shares, and the timing, manner, price, and amount of any such repurchases, will depend upon a variety of factors including market conditions and other corporate considerations as determined by the Company’s management, as well as the limits of the 2022 Repurchase Program and the Company's liquidity and business strategy. The 2022 Repurchase Program does not obligate the Company to acquire any particular amount of shares and may be modified or discontinued at any time. As of March 31, 2026, approximately $1.5 million of common stock remained authorized for future share repurchases under the 2022 Repurchase Program. The Company did not repurchase common stock during the three months ended March 31, 2026 and 2025.</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4, 2023, the Company's Board of Directors authorized a stock repurchase program (the "2023 Repurchase Program") to repurchase up to $15.0 million of the Company’s outstanding common stock on substantially the same terms as the 2022 Repurchase Program. As of March 31, 2026, the full $15.0 million authorized amount remains available for repurchase under the 2023 Repurchase Program. This authorization is in addition to the amount remaining under the 2022 Repurchase Program.</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22, 2021, the Company's Board of Directors authorized a stock repurchase program (the "Preferred Repurchase Program") pursuant to which the Company's Board of Directors granted a repurchase authorization to acquire shares of the Company's 8.25% Series A Cumulative Redeemable Preferred Stock ("Series A Preferred Stock"), 8.00% Series B Cumulative Redeemable Preferred Stock ("Series B Preferred Stock"), and 8.000% Series C Fixed-to-Floating Rate Cumulative Redeemable Preferred Stock ("Series C Preferred Stock") having an aggregate value of up to $20.0 million. No share repurchases under the Preferred Repurchase Program have been made since its authorization.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Shares of stock repurchased by the Company under any repurchase program, if any, will be cancelled and, until reissued by the Company, will be deemed to be authorized but unissued shares of its stock as required by Maryland law. The cost of the acquisition by the Company of shares of its own stock in excess of the aggregate par value of the shares first reduces additional paid-in capital, to the extent available, with any residual cost applied against retained earnings.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grants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5, 2025, following approval by stockholders at the Company’s annual stockholders meeting, the Company’s 2025 Equity Incentive Plan (the “2025 Equity Incentive Plan”) became effective. The maximum number of shares of the Company’s common stock that could be issued under the 2025 Equity Incentive Plan was 800,000 shares of common stock, plus 220,781 shares of common stock (which reflects the number of shares that remained available for issuance under the equity incentive plan approved in 2020 (the “2020 Equity Incentive Plan”) as of May 4, 2025), plus 86,666 shares of common stock that remained subject to outstanding awards under the 2020 Equity Incentive Plan but only to the extent that such shares become forfeited or otherwise lapse. As a result of the adoption of the 2025 Equity Incentive Plan, no additional awards will be granted under the 2020 Equity Incentive Plan (although awards previously made under the 2020 Equity Incentive Plan will remain in effect subject to the terms of the 2020 Equity Incentive Plan and the applicable award agreement).</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inception of the 2025 Equity Incentive Plan and through March 31, 2026, the Company has granted an aggregate 35,586 shares of restricted common stock and 1,278 dividend equivalent units to its independent directors, all of which have vested. As of March 31, 2026, there were 983,917 remaining shares available to be issued under the 2025 Equity Incentive Plan.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has 12,981 restricted stock units and 3,327 associated dividend equivalent units outstanding, all of which are fully vested and held by one of the Company’s independent directors. These units will be settled on a one-for-one basis in shares of the Company's common stock upon the director's separation from service with the Company.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Manager Equity Incentive Plans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approval of the Company's stockholders at its 2021 annual meeting of stockholders, the AG Mortgage Investment Trust, Inc. 2021 Manager Equity Incentive Plan (the "2021 Manager Plan") became effective on April 7, 2021 and provides for a maximum of 573,425 shares of common stock that may be subject to awards thereunder to the Manager. As of March 31, 2026, there were no shares or awards issued under the 2021 Manager Plan. Following the execution of the Third Amendment to the management agreement in November 2021 related to the incentive fee, the Company's compensation committee no longer expects to continue its historical practice of making periodic equity grants to the Manager pursuant to the 2021 Manager Plan.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distribution agreements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entered into separate equity distribution agreements (the "2024 Equity Distribution Agreements") with each of BTIG, LLC, JonesTrading Institutional Services LLC, Keefe, Bruyette &amp; Woods, Inc. and Piper Sandler &amp; Co. (collectively, the "2024 Sales Agents"), pursuant to which the Company may sell up to $75.0 million aggregate offering price of shares of its common stock from time to time through an "at-the-market" equity offering program under which the 2024 Sales Agents will act as sales agent. The Company did not issue any shares of common stock under its 2024 Equity Distribution Agreements during the three months ended March 31, 2026 and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26, 2024, the Company filed a new shelf registration statement, registering up to $1.0 billion of its securities, including capital stock (the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The 2024 Registration Statement was declared effective on April 9, 2024 and will generally remain effective for three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effectiveness of the 2024 Registration Statement, the Company's previous S-3 registration statement filed in 2021 was terminated.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additional interest in AG Arc</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 2025, in connection with the acquisition of an additional 21.4% interest in AG Arc, the Company issued 2,027,676 restricted shares of the Company’s common stock (the “Holder Shares”) to certain funds managed by an affiliate of TPG (the “Holders”) as consideration. Refer to Note 10 for additional information. Pursuant to the registration rights agreement the Company entered into with the Holders, in August 2025, the Company filed a resale shelf registration statement on Form S-3 registering the resale of all the Holder Shares, which was declared effective by the Securities and Exchange Commission in August 2025. As March 31, 2026, the Holders no longer hold any shares of the Company’s common stock.</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authorized to designate and issue up to 50.0 million shares of preferred stock, par value $0.01 per share, in one or more classes or series. As of March 31, 2026 and December 31, 2025, there were 1.7 million, 3.7 million, and 3.7 million of Series A Preferred Stock, Series B Preferred Stock, and Series C Preferred Stock, respectively, issued and outstanding.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a summary of preferred stock issued and outstanding as of March 31, 2026 ($ and shares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80" w:type="dxa"/>
            <w:vAlign w:val="bottom"/>
          </w:tcPr>
          <w:p>
            <w:pPr>
              <w:spacing w:after="0"/>
              <w:rPr>
                <w:sz w:val="16"/>
                <w:szCs w:val="16"/>
                <w:color w:val="auto"/>
              </w:rPr>
            </w:pPr>
          </w:p>
        </w:tc>
        <w:tc>
          <w:tcPr>
            <w:tcW w:w="2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Optional Redemption</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Preferred Stock Series</w:t>
            </w:r>
          </w:p>
        </w:tc>
        <w:tc>
          <w:tcPr>
            <w:tcW w:w="1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Issuance Date</w:t>
            </w:r>
          </w:p>
        </w:tc>
        <w:tc>
          <w:tcPr>
            <w:tcW w:w="1280" w:type="dxa"/>
            <w:vAlign w:val="bottom"/>
            <w:gridSpan w:val="2"/>
            <w:vMerge w:val="continue"/>
          </w:tcPr>
          <w:p>
            <w:pPr>
              <w:spacing w:after="0"/>
              <w:rPr>
                <w:sz w:val="14"/>
                <w:szCs w:val="14"/>
                <w:color w:val="auto"/>
              </w:rPr>
            </w:pP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140" w:type="dxa"/>
            <w:vAlign w:val="bottom"/>
          </w:tcPr>
          <w:p>
            <w:pPr>
              <w:spacing w:after="0"/>
              <w:rPr>
                <w:sz w:val="14"/>
                <w:szCs w:val="14"/>
                <w:color w:val="auto"/>
              </w:rPr>
            </w:pPr>
          </w:p>
        </w:tc>
        <w:tc>
          <w:tcPr>
            <w:tcW w:w="120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Liquidation</w:t>
            </w:r>
          </w:p>
        </w:tc>
        <w:tc>
          <w:tcPr>
            <w:tcW w:w="8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1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Rate (3)</w:t>
            </w:r>
          </w:p>
        </w:tc>
        <w:tc>
          <w:tcPr>
            <w:tcW w:w="0" w:type="dxa"/>
            <w:vAlign w:val="bottom"/>
          </w:tcPr>
          <w:p>
            <w:pPr>
              <w:spacing w:after="0"/>
              <w:rPr>
                <w:sz w:val="1"/>
                <w:szCs w:val="1"/>
                <w:color w:val="auto"/>
              </w:rPr>
            </w:pPr>
          </w:p>
        </w:tc>
      </w:tr>
      <w:tr>
        <w:trPr>
          <w:trHeight w:val="214"/>
        </w:trPr>
        <w:tc>
          <w:tcPr>
            <w:tcW w:w="2320" w:type="dxa"/>
            <w:vAlign w:val="bottom"/>
            <w:gridSpan w:val="2"/>
            <w:vMerge w:val="continue"/>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Preference (1)</w:t>
            </w:r>
          </w:p>
        </w:tc>
        <w:tc>
          <w:tcPr>
            <w:tcW w:w="8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Date (2)</w:t>
            </w: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A Preferred Stock</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3, 2012</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40,110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41,580</w:t>
            </w:r>
          </w:p>
        </w:tc>
        <w:tc>
          <w:tcPr>
            <w:tcW w:w="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3, 2017</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8.25%</w:t>
            </w:r>
          </w:p>
        </w:tc>
        <w:tc>
          <w:tcPr>
            <w:tcW w:w="0" w:type="dxa"/>
            <w:vAlign w:val="bottom"/>
          </w:tcPr>
          <w:p>
            <w:pPr>
              <w:spacing w:after="0"/>
              <w:rPr>
                <w:sz w:val="1"/>
                <w:szCs w:val="1"/>
                <w:color w:val="auto"/>
              </w:rPr>
            </w:pPr>
          </w:p>
        </w:tc>
      </w:tr>
      <w:tr>
        <w:trPr>
          <w:trHeight w:val="213"/>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B Preferred Stock</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September 27, 2012</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93,191</w:t>
            </w:r>
          </w:p>
        </w:tc>
        <w:tc>
          <w:tcPr>
            <w:tcW w:w="8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September 17, 2017</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8.00%</w:t>
            </w:r>
          </w:p>
        </w:tc>
        <w:tc>
          <w:tcPr>
            <w:tcW w:w="0" w:type="dxa"/>
            <w:vAlign w:val="bottom"/>
          </w:tcPr>
          <w:p>
            <w:pPr>
              <w:spacing w:after="0"/>
              <w:rPr>
                <w:sz w:val="1"/>
                <w:szCs w:val="1"/>
                <w:color w:val="auto"/>
              </w:rPr>
            </w:pPr>
          </w:p>
        </w:tc>
      </w:tr>
      <w:tr>
        <w:trPr>
          <w:trHeight w:val="219"/>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C Preferred Stock</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17, 2019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90,175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93,220</w:t>
            </w:r>
          </w:p>
        </w:tc>
        <w:tc>
          <w:tcPr>
            <w:tcW w:w="8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17, 2024</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4"/>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9,120</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220,472</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227,991</w:t>
            </w:r>
          </w:p>
        </w:tc>
        <w:tc>
          <w:tcPr>
            <w:tcW w:w="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Preferred Stock has a liquidation preference of $25.00 per share.</w:t>
      </w:r>
    </w:p>
    <w:p>
      <w:pPr>
        <w:spacing w:after="0" w:line="23" w:lineRule="exact"/>
        <w:rPr>
          <w:rFonts w:ascii="Times New Roman" w:cs="Times New Roman" w:eastAsia="Times New Roman" w:hAnsi="Times New Roman"/>
          <w:sz w:val="16"/>
          <w:szCs w:val="16"/>
          <w:color w:val="auto"/>
        </w:rPr>
      </w:pPr>
    </w:p>
    <w:p>
      <w:pPr>
        <w:ind w:left="660" w:hanging="328"/>
        <w:spacing w:after="0" w:line="248"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have no stated maturity and are not subject to any sinking fund or mandatory redemption. Shares of the Company’s Preferred Stock are redeemable at $25.00 per share plus accumulated and unpaid dividends (whether or not declared) exclusively at the Company’s option.</w:t>
      </w:r>
    </w:p>
    <w:p>
      <w:pPr>
        <w:spacing w:after="0" w:line="1" w:lineRule="exact"/>
        <w:rPr>
          <w:rFonts w:ascii="Times New Roman" w:cs="Times New Roman" w:eastAsia="Times New Roman" w:hAnsi="Times New Roman"/>
          <w:sz w:val="16"/>
          <w:szCs w:val="16"/>
          <w:color w:val="auto"/>
        </w:rPr>
      </w:pPr>
    </w:p>
    <w:p>
      <w:pPr>
        <w:ind w:left="660" w:hanging="328"/>
        <w:spacing w:after="0" w:line="255"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Dividends are payable quarterly in arrears on the 17th day of each March, June, September, and December and holders are entitled to receive cumulative cash dividends at the respective stated rate per annum before holders of common stock are entitled to receive any cash dividends.</w:t>
      </w:r>
    </w:p>
    <w:p>
      <w:pPr>
        <w:jc w:val="both"/>
        <w:ind w:left="660" w:hanging="328"/>
        <w:spacing w:after="0" w:line="258"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initial dividend rate for the Series C Preferred Stock, from and including the date of original issue to, but not including, September 17, 2024, was 8.000% per annum of the $25.00 per share liquidation preference. On and after September 17, 2024, dividends on the Series C Preferred Stock accumulate at a percentage of the $25.00 liquidation preference equal to an annual floating rate of the three-month CME Term SOFR (plus a tenor spread adjustment of 0.26161%) plus a spread of 6.476%. Pursuant to the terms of the Series C Preferred Stock, the Company has appointed a calculation agent to determine the floating rate. The calculation agent may also implement changes to the business day convention, the definition of business day, the dividend determination date, and any method for obtaining the substitute or successor base rate if such rate is unavailable on the relevant business day, in a manner that is consistent with industry accepted practices.</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Series A Preferred Stock, Series B Preferred Stock, and Series C Preferred Stock generally do not have any voting rights, subject to an exception in the event the Company fails to pay dividends on such stock for six or more quarterly periods (whether or not consecutive). Under such circumstances, holders of the Company's Series A Preferred Stock, Series B Preferred Stock, and Series C Preferred Stock voting together as a single class with the holders of all other classes or series of its preferred stock upon which like voting rights have been conferred and are exercisable and which are entitled to vote as a class with the Company's Series A Preferred Stock, Series B Preferred Stock, and Series C Preferred Stock will be entitled to vote to elect two additional directors to the Company’s Board of Directors until all unpaid dividends have been paid or declared and set apart for payment. In addition, certain material and adverse changes to the terms of any series of the Company's Series A Preferred Stock, Series B Preferred Stock, and Series C Preferred Stock cannot be made without the affirmative vote of holders of at least two-thirds of the outstanding shares of the series of the Company's Series A Preferred Stock, Series B Preferred Stock, and Series C Preferred Stock whose terms are being changed.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involved in various claims and legal actions arising in the ordinary course of business. As of March 31, 2026, the Company was not involved in any material legal proceedings.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details the Company's outstanding commitments as of March 31, 2026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 type</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Date of Commitment</w:t>
            </w:r>
          </w:p>
        </w:tc>
        <w:tc>
          <w:tcPr>
            <w:tcW w:w="1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Total Commitment</w:t>
            </w:r>
          </w:p>
        </w:tc>
        <w:tc>
          <w:tcPr>
            <w:tcW w:w="140" w:type="dxa"/>
            <w:vAlign w:val="bottom"/>
          </w:tcPr>
          <w:p>
            <w:pPr>
              <w:spacing w:after="0"/>
              <w:rPr>
                <w:sz w:val="18"/>
                <w:szCs w:val="18"/>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Funded Commitment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Remaining Commitment</w:t>
            </w:r>
          </w:p>
        </w:tc>
      </w:tr>
      <w:tr>
        <w:trPr>
          <w:trHeight w:val="213"/>
        </w:trPr>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Home Equity Loans (1)</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Various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184,598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166,703</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17,895</w:t>
            </w:r>
          </w:p>
        </w:tc>
      </w:tr>
    </w:tbl>
    <w:p>
      <w:pPr>
        <w:spacing w:after="0" w:line="81" w:lineRule="exact"/>
        <w:rPr>
          <w:sz w:val="20"/>
          <w:szCs w:val="20"/>
          <w:color w:val="auto"/>
        </w:rPr>
      </w:pPr>
    </w:p>
    <w:p>
      <w:pPr>
        <w:jc w:val="both"/>
        <w:ind w:left="660" w:hanging="328"/>
        <w:spacing w:after="0" w:line="263" w:lineRule="auto"/>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undrawn portion of a borrowers' home equity line of credit for which the Company may be required to fund including $12.5 million, $4.1 million, and $1.3 million related to "Residential mortgage loans, at fair value," "Real estate securities, at fair value," and "Securitized residential mortgage loans, at fair value,"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Company's reportable segments include (i) Loans and Securities and (ii) Arc Home. Segment information for prior periods has been updated to conform to the current year presentation.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structure of the reportable segments is differentiated by the financial information used by the Chief Operating Decision Maker (“CODM”) and the nature of the Company’s business activities, which is consistent with the reporting structure of the Company’s internal organization. The Company’s CODM is its Chief Executive Officer. The CODM uses net income/(loss) reported on the consolidated statements of operations as the primary measure to make resource allocation decisions and evaluate the segment results. The CODM is regularly provided operating expenses as presented on the consolidated statements of operations when evaluating the Company’s net income/(loss).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accounting policies applied to the segments are the same as those described in Note 2 to the "Notes to Consolidated Financial Statements (unaudited)". Activities that are not directly attributable or not allocated to either of the reportable segments are reported within "Other" below as a reconciling item to the Company’s consolidated financial statements. Other activities primarily consist of cash and related interest income, the Senior Unsecured Notes and related interest expense, management fees, non-investment related expenses, and preferred stock dividends.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Securities Segment</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Loans and Securities segment is primarily focused on acquiring and securitizing newly-originated residential mortgage loans within the non-agency segment of the housing market. The Company finances its acquired loans through various financing lines on a short-term basis and utilizes TPG’s proprietary securitization platform to secure long-term, non-recourse, non-mark-to-market financing as market conditions permit. The Company's Residential Investments, Agency RMBS, and Legacy WMC Commercial Investments are included in the Loans and Securities segment. This segment generates revenue primarily in the form of net interest income, inclusive of the cost or benefit of hedging, which represents the difference between the interest earned on the investments and the costs of financing and economic hedges in place on these investments. In addition, the Company's investments in loans and securities are recorded at fair value with any periodic change in fair value recorded in the "Net unrealized gain/(loss)" line item on the consolidated statement of operations which is included in the "Other Income/(Loss)" line item below.</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 Home Segment</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Arc Home segment includes the Company's equity method investment in AG Arc, which owns Arc Home. Effective August 1, 2025, the Company’s ownership interest in AG Arc’s earnings is 66.0%. For all prior periods, the Company’s ownership interest in AG Arc’s earnings was 44.6%. Refer to Note 10 to the to the "Notes to Consolidated Financial Statements (unaudited)" for additional information related to the Company's investment in AG Arc. Arc Home is a multi-channel licensed mortgage originator and servicer led by an external management team. Arc Home generates revenue primarily through originating and selling residential mortgage loans. In addition, Arc Home recognizes net servicing revenue from mortgage servicing rights as well as net interest income and net unrealized gains or losses from originated residential mortgage loans prior to sale. The Company elected the fair value option with respect to its investment in AG Arc. The net income/(loss) recognized within the Arc Home segment is recorded in the "Equity in earnings/(loss) from affiliates" line item on the consolidated statement of operations and includes any periodic changes in the fair value of the investment.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Reportable Segments</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reportable operating segments related to the Company’s results of operations for the three months ended March 31, 2026 and 2025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Loans and</w:t>
            </w:r>
          </w:p>
        </w:tc>
        <w:tc>
          <w:tcPr>
            <w:tcW w:w="120" w:type="dxa"/>
            <w:vAlign w:val="bottom"/>
          </w:tcPr>
          <w:p>
            <w:pPr>
              <w:spacing w:after="0"/>
              <w:rPr>
                <w:sz w:val="13"/>
                <w:szCs w:val="13"/>
                <w:color w:val="auto"/>
              </w:rPr>
            </w:pPr>
          </w:p>
        </w:tc>
        <w:tc>
          <w:tcPr>
            <w:tcW w:w="1360" w:type="dxa"/>
            <w:vAlign w:val="bottom"/>
            <w:gridSpan w:val="2"/>
          </w:tcPr>
          <w:p>
            <w:pPr>
              <w:ind w:left="220"/>
              <w:spacing w:after="0" w:line="158" w:lineRule="exact"/>
              <w:rPr>
                <w:sz w:val="20"/>
                <w:szCs w:val="20"/>
                <w:color w:val="auto"/>
              </w:rPr>
            </w:pPr>
            <w:r>
              <w:rPr>
                <w:rFonts w:ascii="Times New Roman" w:cs="Times New Roman" w:eastAsia="Times New Roman" w:hAnsi="Times New Roman"/>
                <w:sz w:val="16"/>
                <w:szCs w:val="16"/>
                <w:b w:val="1"/>
                <w:bCs w:val="1"/>
                <w:color w:val="auto"/>
              </w:rPr>
              <w:t>Arc Home</w:t>
            </w:r>
          </w:p>
        </w:tc>
        <w:tc>
          <w:tcPr>
            <w:tcW w:w="280" w:type="dxa"/>
            <w:vAlign w:val="bottom"/>
          </w:tcPr>
          <w:p>
            <w:pPr>
              <w:spacing w:after="0"/>
              <w:rPr>
                <w:sz w:val="13"/>
                <w:szCs w:val="13"/>
                <w:color w:val="auto"/>
              </w:rPr>
            </w:pP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20" w:type="dxa"/>
            <w:vAlign w:val="bottom"/>
          </w:tcPr>
          <w:p>
            <w:pPr>
              <w:spacing w:after="0"/>
              <w:rPr>
                <w:sz w:val="13"/>
                <w:szCs w:val="13"/>
                <w:color w:val="auto"/>
              </w:rPr>
            </w:pPr>
          </w:p>
        </w:tc>
        <w:tc>
          <w:tcPr>
            <w:tcW w:w="1080" w:type="dxa"/>
            <w:vAlign w:val="bottom"/>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20" w:type="dxa"/>
            <w:vAlign w:val="bottom"/>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(1) (2)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129,413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129,808</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109,165</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Interest Income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20,643</w:t>
            </w:r>
          </w:p>
        </w:tc>
        <w:tc>
          <w:tcPr>
            <w:tcW w:w="0" w:type="dxa"/>
            <w:vAlign w:val="bottom"/>
          </w:tcPr>
          <w:p>
            <w:pPr>
              <w:spacing w:after="0"/>
              <w:rPr>
                <w:sz w:val="1"/>
                <w:szCs w:val="1"/>
                <w:color w:val="auto"/>
              </w:rPr>
            </w:pPr>
          </w:p>
        </w:tc>
      </w:tr>
      <w:tr>
        <w:trPr>
          <w:trHeight w:val="199"/>
        </w:trPr>
        <w:tc>
          <w:tcPr>
            <w:tcW w:w="54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Income/(Loss)</w:t>
            </w: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(16,176)</w:t>
            </w:r>
          </w:p>
        </w:tc>
        <w:tc>
          <w:tcPr>
            <w:tcW w:w="0" w:type="dxa"/>
            <w:vAlign w:val="bottom"/>
          </w:tcPr>
          <w:p>
            <w:pPr>
              <w:spacing w:after="0"/>
              <w:rPr>
                <w:sz w:val="1"/>
                <w:szCs w:val="1"/>
                <w:color w:val="auto"/>
              </w:rPr>
            </w:pPr>
          </w:p>
        </w:tc>
      </w:tr>
      <w:tr>
        <w:trPr>
          <w:trHeight w:val="199"/>
        </w:trPr>
        <w:tc>
          <w:tcPr>
            <w:tcW w:w="5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Management fee to affiliate</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Non-investment related expenses</w:t>
            </w: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2,656</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related expenses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4,298</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related expenses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5,175</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9,847</w:t>
            </w:r>
          </w:p>
        </w:tc>
        <w:tc>
          <w:tcPr>
            <w:tcW w:w="0" w:type="dxa"/>
            <w:vAlign w:val="bottom"/>
          </w:tcPr>
          <w:p>
            <w:pPr>
              <w:spacing w:after="0"/>
              <w:rPr>
                <w:sz w:val="1"/>
                <w:szCs w:val="1"/>
                <w:color w:val="auto"/>
              </w:rPr>
            </w:pPr>
          </w:p>
        </w:tc>
      </w:tr>
      <w:tr>
        <w:trPr>
          <w:trHeight w:val="199"/>
        </w:trPr>
        <w:tc>
          <w:tcPr>
            <w:tcW w:w="54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Income/(loss) before equity in earnings/(loss) from affiliates</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(5,380)</w:t>
            </w:r>
          </w:p>
        </w:tc>
        <w:tc>
          <w:tcPr>
            <w:tcW w:w="0" w:type="dxa"/>
            <w:vAlign w:val="bottom"/>
          </w:tcPr>
          <w:p>
            <w:pPr>
              <w:spacing w:after="0"/>
              <w:rPr>
                <w:sz w:val="1"/>
                <w:szCs w:val="1"/>
                <w:color w:val="auto"/>
              </w:rPr>
            </w:pPr>
          </w:p>
        </w:tc>
      </w:tr>
      <w:tr>
        <w:trPr>
          <w:trHeight w:val="207"/>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 earnings/(loss) from affiliates</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Income/(loss) before income taxes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12"/>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Income/(Loss)</w:t>
            </w: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(7,340)</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5,153</w:t>
            </w:r>
          </w:p>
        </w:tc>
        <w:tc>
          <w:tcPr>
            <w:tcW w:w="0" w:type="dxa"/>
            <w:vAlign w:val="bottom"/>
          </w:tcPr>
          <w:p>
            <w:pPr>
              <w:spacing w:after="0"/>
              <w:rPr>
                <w:sz w:val="1"/>
                <w:szCs w:val="1"/>
                <w:color w:val="auto"/>
              </w:rPr>
            </w:pPr>
          </w:p>
        </w:tc>
      </w:tr>
      <w:tr>
        <w:trPr>
          <w:trHeight w:val="237"/>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Income/(Loss) Available to Common Stockholders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(8,715)</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Loans and</w:t>
            </w:r>
          </w:p>
        </w:tc>
        <w:tc>
          <w:tcPr>
            <w:tcW w:w="120" w:type="dxa"/>
            <w:vAlign w:val="bottom"/>
          </w:tcPr>
          <w:p>
            <w:pPr>
              <w:spacing w:after="0"/>
              <w:rPr>
                <w:sz w:val="13"/>
                <w:szCs w:val="13"/>
                <w:color w:val="auto"/>
              </w:rPr>
            </w:pPr>
          </w:p>
        </w:tc>
        <w:tc>
          <w:tcPr>
            <w:tcW w:w="1360" w:type="dxa"/>
            <w:vAlign w:val="bottom"/>
            <w:gridSpan w:val="2"/>
          </w:tcPr>
          <w:p>
            <w:pPr>
              <w:ind w:left="220"/>
              <w:spacing w:after="0" w:line="158" w:lineRule="exact"/>
              <w:rPr>
                <w:sz w:val="20"/>
                <w:szCs w:val="20"/>
                <w:color w:val="auto"/>
              </w:rPr>
            </w:pPr>
            <w:r>
              <w:rPr>
                <w:rFonts w:ascii="Times New Roman" w:cs="Times New Roman" w:eastAsia="Times New Roman" w:hAnsi="Times New Roman"/>
                <w:sz w:val="16"/>
                <w:szCs w:val="16"/>
                <w:b w:val="1"/>
                <w:bCs w:val="1"/>
                <w:color w:val="auto"/>
              </w:rPr>
              <w:t>Arc Home</w:t>
            </w:r>
          </w:p>
        </w:tc>
        <w:tc>
          <w:tcPr>
            <w:tcW w:w="280" w:type="dxa"/>
            <w:vAlign w:val="bottom"/>
          </w:tcPr>
          <w:p>
            <w:pPr>
              <w:spacing w:after="0"/>
              <w:rPr>
                <w:sz w:val="13"/>
                <w:szCs w:val="13"/>
                <w:color w:val="auto"/>
              </w:rPr>
            </w:pP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20" w:type="dxa"/>
            <w:vAlign w:val="bottom"/>
          </w:tcPr>
          <w:p>
            <w:pPr>
              <w:spacing w:after="0"/>
              <w:rPr>
                <w:sz w:val="13"/>
                <w:szCs w:val="13"/>
                <w:color w:val="auto"/>
              </w:rPr>
            </w:pPr>
          </w:p>
        </w:tc>
        <w:tc>
          <w:tcPr>
            <w:tcW w:w="1080" w:type="dxa"/>
            <w:vAlign w:val="bottom"/>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20" w:type="dxa"/>
            <w:vAlign w:val="bottom"/>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(1) (2)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108,052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109,130</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90,281</w:t>
            </w: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Interest Income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18,849</w:t>
            </w:r>
          </w:p>
        </w:tc>
        <w:tc>
          <w:tcPr>
            <w:tcW w:w="0" w:type="dxa"/>
            <w:vAlign w:val="bottom"/>
          </w:tcPr>
          <w:p>
            <w:pPr>
              <w:spacing w:after="0"/>
              <w:rPr>
                <w:sz w:val="1"/>
                <w:szCs w:val="1"/>
                <w:color w:val="auto"/>
              </w:rPr>
            </w:pPr>
          </w:p>
        </w:tc>
      </w:tr>
      <w:tr>
        <w:trPr>
          <w:trHeight w:val="199"/>
        </w:trPr>
        <w:tc>
          <w:tcPr>
            <w:tcW w:w="54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Income/(Loss)</w:t>
            </w: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0" w:type="dxa"/>
            <w:vAlign w:val="bottom"/>
          </w:tcPr>
          <w:p>
            <w:pPr>
              <w:spacing w:after="0"/>
              <w:rPr>
                <w:sz w:val="1"/>
                <w:szCs w:val="1"/>
                <w:color w:val="auto"/>
              </w:rPr>
            </w:pPr>
          </w:p>
        </w:tc>
      </w:tr>
      <w:tr>
        <w:trPr>
          <w:trHeight w:val="199"/>
        </w:trPr>
        <w:tc>
          <w:tcPr>
            <w:tcW w:w="5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Management fee to affiliate</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Non-investment related expenses</w:t>
            </w: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3,280</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related expenses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3,410</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related expenses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5,607</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10,078</w:t>
            </w:r>
          </w:p>
        </w:tc>
        <w:tc>
          <w:tcPr>
            <w:tcW w:w="0" w:type="dxa"/>
            <w:vAlign w:val="bottom"/>
          </w:tcPr>
          <w:p>
            <w:pPr>
              <w:spacing w:after="0"/>
              <w:rPr>
                <w:sz w:val="1"/>
                <w:szCs w:val="1"/>
                <w:color w:val="auto"/>
              </w:rPr>
            </w:pPr>
          </w:p>
        </w:tc>
      </w:tr>
      <w:tr>
        <w:trPr>
          <w:trHeight w:val="199"/>
        </w:trPr>
        <w:tc>
          <w:tcPr>
            <w:tcW w:w="54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Income/(loss) before equity in earnings/(loss) from affiliates</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10,320</w:t>
            </w:r>
          </w:p>
        </w:tc>
        <w:tc>
          <w:tcPr>
            <w:tcW w:w="0" w:type="dxa"/>
            <w:vAlign w:val="bottom"/>
          </w:tcPr>
          <w:p>
            <w:pPr>
              <w:spacing w:after="0"/>
              <w:rPr>
                <w:sz w:val="1"/>
                <w:szCs w:val="1"/>
                <w:color w:val="auto"/>
              </w:rPr>
            </w:pPr>
          </w:p>
        </w:tc>
      </w:tr>
      <w:tr>
        <w:trPr>
          <w:trHeight w:val="207"/>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 earnings/(loss) from affiliates</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Income/(loss) before income taxes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11,505</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2"/>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Income/(Loss)</w:t>
            </w: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(7,069)</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11,477</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5,304</w:t>
            </w:r>
          </w:p>
        </w:tc>
        <w:tc>
          <w:tcPr>
            <w:tcW w:w="0" w:type="dxa"/>
            <w:vAlign w:val="bottom"/>
          </w:tcPr>
          <w:p>
            <w:pPr>
              <w:spacing w:after="0"/>
              <w:rPr>
                <w:sz w:val="1"/>
                <w:szCs w:val="1"/>
                <w:color w:val="auto"/>
              </w:rPr>
            </w:pPr>
          </w:p>
        </w:tc>
      </w:tr>
      <w:tr>
        <w:trPr>
          <w:trHeight w:val="237"/>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Income/(Loss) Available to Common Stockholders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6,173</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660" w:hanging="328"/>
        <w:spacing w:after="0" w:line="267" w:lineRule="auto"/>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Income/(loss) recognized by AG Arc does not include the Company's portion of gains or losses recorded by Arc Home in connection with the sale of residential mortgage loans to the Company. Refer to Note 10 for more information on this accounting policy.</w:t>
      </w:r>
    </w:p>
    <w:p>
      <w:pPr>
        <w:ind w:left="660" w:right="20" w:hanging="328"/>
        <w:spacing w:after="0" w:line="257" w:lineRule="auto"/>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months ended March 31, 2026 and 2025, the Company recorded an unrealized gain/(loss) on its investment in AG Arc of $1.1 million and $1.4 million, respectively.</w:t>
      </w:r>
    </w:p>
    <w:p>
      <w:pPr>
        <w:sectPr>
          <w:pgSz w:w="11900" w:h="16838" w:orient="portrait"/>
          <w:cols w:equalWidth="0" w:num="1">
            <w:col w:w="11240"/>
          </w:cols>
          <w:pgMar w:left="320" w:top="117" w:right="339" w:bottom="1440"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TPG Mortgage Investment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Company's assets, liabilities, and stockholders' equity by reportable segment as of March 31, 2026 and December 31, 2025, which reconciles to the total assets, liabilities, and stockholders' equity of the Company on a consolidated basis (in thousands).</w:t>
      </w:r>
    </w:p>
    <w:tbl>
      <w:tblPr>
        <w:tblLayout w:type="fixed"/>
        <w:tblInd w:w="0" w:type="dxa"/>
        <w:tblCellMar>
          <w:top w:w="0" w:type="dxa"/>
          <w:left w:w="0" w:type="dxa"/>
          <w:bottom w:w="0" w:type="dxa"/>
          <w:right w:w="0" w:type="dxa"/>
        </w:tblCellMar>
      </w:tblPr>
      <w:tr>
        <w:trPr>
          <w:trHeight w:val="165"/>
        </w:trPr>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00"/>
              <w:spacing w:after="0" w:line="165" w:lineRule="exact"/>
              <w:rPr>
                <w:sz w:val="20"/>
                <w:szCs w:val="20"/>
                <w:color w:val="auto"/>
              </w:rPr>
            </w:pPr>
            <w:r>
              <w:rPr>
                <w:rFonts w:ascii="Times New Roman" w:cs="Times New Roman" w:eastAsia="Times New Roman" w:hAnsi="Times New Roman"/>
                <w:sz w:val="16"/>
                <w:szCs w:val="16"/>
                <w:b w:val="1"/>
                <w:bCs w:val="1"/>
                <w:color w:val="auto"/>
              </w:rPr>
              <w:t>Loans and</w:t>
            </w:r>
          </w:p>
        </w:tc>
        <w:tc>
          <w:tcPr>
            <w:tcW w:w="220" w:type="dxa"/>
            <w:vAlign w:val="bottom"/>
          </w:tcPr>
          <w:p>
            <w:pPr>
              <w:spacing w:after="0"/>
              <w:rPr>
                <w:sz w:val="14"/>
                <w:szCs w:val="14"/>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Arc Home</w:t>
            </w:r>
          </w:p>
        </w:tc>
        <w:tc>
          <w:tcPr>
            <w:tcW w:w="280" w:type="dxa"/>
            <w:vAlign w:val="bottom"/>
          </w:tcPr>
          <w:p>
            <w:pPr>
              <w:spacing w:after="0"/>
              <w:rPr>
                <w:sz w:val="14"/>
                <w:szCs w:val="14"/>
                <w:color w:val="auto"/>
              </w:rPr>
            </w:pP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20" w:type="dxa"/>
            <w:vAlign w:val="bottom"/>
          </w:tcPr>
          <w:p>
            <w:pPr>
              <w:spacing w:after="0"/>
              <w:rPr>
                <w:sz w:val="14"/>
                <w:szCs w:val="14"/>
                <w:color w:val="auto"/>
              </w:rPr>
            </w:pPr>
          </w:p>
        </w:tc>
        <w:tc>
          <w:tcPr>
            <w:tcW w:w="1080" w:type="dxa"/>
            <w:vAlign w:val="bottom"/>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2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8,184,568</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52,334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51,413</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8,288,315</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7,633,542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110,377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7,743,919</w:t>
            </w:r>
          </w:p>
        </w:tc>
        <w:tc>
          <w:tcPr>
            <w:tcW w:w="0" w:type="dxa"/>
            <w:vAlign w:val="bottom"/>
          </w:tcPr>
          <w:p>
            <w:pPr>
              <w:spacing w:after="0"/>
              <w:rPr>
                <w:sz w:val="1"/>
                <w:szCs w:val="1"/>
                <w:color w:val="auto"/>
              </w:rPr>
            </w:pPr>
          </w:p>
        </w:tc>
      </w:tr>
      <w:tr>
        <w:trPr>
          <w:trHeight w:val="213"/>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551,026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544,396</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8,600,220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8,711,530</w:t>
            </w:r>
          </w:p>
        </w:tc>
        <w:tc>
          <w:tcPr>
            <w:tcW w:w="0" w:type="dxa"/>
            <w:vAlign w:val="bottom"/>
          </w:tcPr>
          <w:p>
            <w:pPr>
              <w:spacing w:after="0"/>
              <w:rPr>
                <w:sz w:val="1"/>
                <w:szCs w:val="1"/>
                <w:color w:val="auto"/>
              </w:rPr>
            </w:pPr>
          </w:p>
        </w:tc>
      </w:tr>
      <w:tr>
        <w:trPr>
          <w:trHeight w:val="213"/>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8,039,534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8,150,796</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560,686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560,734</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announced that on April 27, 2026, its Board of Directors declared second quarter 2026 preferred stock dividends on its Series A Preferred Stock, Series B Preferred Stock, and Series C Preferred Stock in the amount of $0.51563, $0.50 and $0.665952 per share, respectively. The dividends will be paid on June 17, 2026 to holders of record on May 29, 2026.</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 this quarterly report on Form 10-Q, or this "report," we refer to TPG Mortgage Investment Trust, Inc. and its wholly-owned subsidiaries as "we," "us," the "Company," or "our," unless we specifically state otherwise or the context indicates otherwise. We refer to our external manager, AG REIT Management, LLC, as our "Manager," we refer to the direct parent company of our Manager, Angelo, Gordon &amp; Co., L.P., as "TPG Angelo Gordon", and we refer to the parent company of TPG Angelo Gordon, TPG Inc., as “TPG.”</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contains forward looking statements and should be read in conjunction with our consolidated financial statements and the accompanying notes to our consolidated financial statements, which are included in Item 1 of this report, as well as the information contained in our Annual Report on Form 10-K for the year ended December 31, 2025, and any subsequent filings.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make forward-looking statements within the meaning of Section 27A of the Securities Act of 1933, as amended (the "Securities Act"), and Section 21E of the Securities Exchange Act of 1934, as amended (the "Exchange Act"), in this report that are subject to substantial known and unknown risks and uncertainties. These forward-looking statements include information about possible or assumed future results of our business, financial condition, liquidity, returns, results of operations, plans, yields, objectives, the composition of our portfolio, actions by governmental entities, including the Federal Reserve, and the potential effects of actual and proposed legislation on us, and our views on certain macroeconomic trends. When we use the words "believe," "expect," "anticipate," "estimate," "plan," "continue," "remain," "intend," "should," "could," "will," "may" or similar expressions, we intend to identify forward-looking statements.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based upon information presently available to our management and are inherently subjective, uncertain and subject to change. There can be no assurance that actual results will not differ materially from our expectations. Some, but not all, of the factors that might cause such a difference include, without limitation:</w:t>
      </w:r>
    </w:p>
    <w:p>
      <w:pPr>
        <w:spacing w:after="0" w:line="203" w:lineRule="exact"/>
        <w:rPr>
          <w:sz w:val="20"/>
          <w:szCs w:val="20"/>
          <w:color w:val="auto"/>
        </w:rPr>
      </w:pPr>
    </w:p>
    <w:p>
      <w:pPr>
        <w:ind w:left="660" w:hanging="328"/>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persistence of labor shortages, supply chain imbalances, changes in trade policies and tariffs, conflict involving the U.S. and the Middle East, the Russia-Ukraine conflict, inflation, and the potential for an economic recession and market disruptions;</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and investment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and control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the fair value of our assets, including negative changes resulting in margin calls relating to the financing of our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yield curve;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prepayment rates on the loans we own or that underlie our investment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structural changes in the residential loan market and its impact on non-agency mortgage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rates of default or delinquencies and/or decreased recovery rates on our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financing arrangements on terms favorable to us or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or refinance, securitization transactions on the terms and pace anticipated or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our hedging strategies may or may not protect us from interest rate and credit risk volatility;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in our industry and in the finance and real estate markets, including the impact on the value of our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market for residential mortgage investments and Agency RMBS;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market for commercial investments, including the Company's ability to successfully realize the commercial investments acquired from Western Asset Mortgage Capital Corporation ("WMC") within the timeframe anticipated or at all;</w:t>
      </w:r>
    </w:p>
    <w:p>
      <w:pPr>
        <w:ind w:left="660" w:right="2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regulatory actions by the U.S. Congress, U.S. Department of the Treasury, the Federal Reserve and other agencies and instrumentalities;</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distributions to our stockholders in the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qualification as a REIT for federal tax purposes;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for an exemption from registration under the Investment Company Act of 1940, as amended (the "Investment Company Act").</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caution investors not to rely unduly on any forward-looking statements, which speak only as of the date made, and urge you to carefully consider the risks noted above and identified under the captions "Risk Factors," and "Management’s Discussion and Analysis of Financial Condition and Results of Operations" in our Annual Report on Form 10-K for the year ended December 31, 2025 and any subsequent filings. New risks and uncertainties arise from time to time, and it is impossible for us to predict those events or how they may affect us. Except as required by law, we are not obligated to, and do not intend to, update or revise any forward-looking statements, whether as a result of new information, future events or otherwise. All forward-looking statements that we make, or that are attributable to us, are expressly qualified by this cautionary notice.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First Quarter 2026 Executive Summary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Highlights</w:t>
      </w:r>
    </w:p>
    <w:p>
      <w:pPr>
        <w:spacing w:after="0" w:line="254"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$9.97 Book Value per share;</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$(0.27) of Net Income/(Loss) Available to Common Stockholders per diluted common share and $0.26 of Earnings Available for Distribution ("EAD") per diluted common share;</w:t>
      </w:r>
    </w:p>
    <w:p>
      <w:pPr>
        <w:ind w:left="1300" w:hanging="320"/>
        <w:spacing w:after="0" w:line="250" w:lineRule="auto"/>
        <w:tabs>
          <w:tab w:leader="none" w:pos="131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the "Earnings Available for Distribution" section below for further details related to our reconciliation of Net Income/(Loss) Available to Common Stockholders to EAD;</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14.1x GAAP Leverage Ratio and 1.7x Economic Leverage Ratio;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$0.24 dividend per common share declared in the first quarter 2026;</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our quarterly dividend from $0.23 per common share in the fourth quarter 2025, which represented a 4.3% increase.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Activity</w:t>
      </w:r>
    </w:p>
    <w:p>
      <w:pPr>
        <w:spacing w:after="0" w:line="254" w:lineRule="exact"/>
        <w:rPr>
          <w:sz w:val="20"/>
          <w:szCs w:val="20"/>
          <w:color w:val="auto"/>
        </w:rPr>
      </w:pPr>
    </w:p>
    <w:p>
      <w:pPr>
        <w:ind w:left="660" w:hanging="328"/>
        <w:spacing w:after="0" w:line="275"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summarizes the fair value of purchases and proceeds from sales of investments during the quarter ended March 31, 2026 (in thousands).</w:t>
      </w:r>
    </w:p>
    <w:p>
      <w:pPr>
        <w:spacing w:after="0" w:line="1"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5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420" w:type="dxa"/>
            <w:vAlign w:val="bottom"/>
          </w:tcPr>
          <w:p>
            <w:pPr>
              <w:spacing w:after="0"/>
              <w:rPr>
                <w:sz w:val="18"/>
                <w:szCs w:val="18"/>
                <w:color w:val="auto"/>
              </w:rPr>
            </w:pPr>
          </w:p>
        </w:tc>
        <w:tc>
          <w:tcPr>
            <w:tcW w:w="190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Purchases</w:t>
            </w:r>
          </w:p>
        </w:tc>
        <w:tc>
          <w:tcPr>
            <w:tcW w:w="520" w:type="dxa"/>
            <w:vAlign w:val="bottom"/>
          </w:tcPr>
          <w:p>
            <w:pPr>
              <w:spacing w:after="0"/>
              <w:rPr>
                <w:sz w:val="18"/>
                <w:szCs w:val="18"/>
                <w:color w:val="auto"/>
              </w:rPr>
            </w:pPr>
          </w:p>
        </w:tc>
        <w:tc>
          <w:tcPr>
            <w:tcW w:w="1720" w:type="dxa"/>
            <w:vAlign w:val="bottom"/>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Sales</w:t>
            </w:r>
          </w:p>
        </w:tc>
      </w:tr>
      <w:tr>
        <w:trPr>
          <w:trHeight w:val="212"/>
        </w:trPr>
        <w:tc>
          <w:tcPr>
            <w:tcW w:w="4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Agency-Eligible Loans</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Home Equity Loans</w:t>
            </w:r>
          </w:p>
        </w:tc>
        <w:tc>
          <w:tcPr>
            <w:tcW w:w="4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86,383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49,375</w:t>
            </w:r>
          </w:p>
        </w:tc>
      </w:tr>
      <w:tr>
        <w:trPr>
          <w:trHeight w:val="219"/>
        </w:trPr>
        <w:tc>
          <w:tcPr>
            <w:tcW w:w="502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16"/>
                <w:szCs w:val="16"/>
                <w:color w:val="auto"/>
              </w:rPr>
              <w:t>Non-Agency RMBS</w:t>
            </w:r>
            <w:r>
              <w:rPr>
                <w:rFonts w:ascii="Times New Roman" w:cs="Times New Roman" w:eastAsia="Times New Roman" w:hAnsi="Times New Roman"/>
                <w:sz w:val="21"/>
                <w:szCs w:val="21"/>
                <w:color w:val="auto"/>
                <w:vertAlign w:val="superscript"/>
              </w:rPr>
              <w:t>(1)</w:t>
            </w:r>
          </w:p>
        </w:tc>
        <w:tc>
          <w:tcPr>
            <w:tcW w:w="4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28,651</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115,520</w:t>
            </w:r>
          </w:p>
        </w:tc>
        <w:tc>
          <w:tcPr>
            <w:tcW w:w="80" w:type="dxa"/>
            <w:vAlign w:val="bottom"/>
          </w:tcPr>
          <w:p>
            <w:pPr>
              <w:spacing w:after="0"/>
              <w:rPr>
                <w:sz w:val="17"/>
                <w:szCs w:val="17"/>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49,375</w:t>
            </w:r>
          </w:p>
        </w:tc>
      </w:tr>
    </w:tbl>
    <w:p>
      <w:pPr>
        <w:spacing w:after="0" w:line="86" w:lineRule="exact"/>
        <w:rPr>
          <w:sz w:val="20"/>
          <w:szCs w:val="20"/>
          <w:color w:val="auto"/>
        </w:rPr>
      </w:pPr>
    </w:p>
    <w:p>
      <w:pPr>
        <w:jc w:val="both"/>
        <w:ind w:left="660" w:hanging="328"/>
        <w:spacing w:after="0" w:line="263" w:lineRule="auto"/>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quarter, we partnered with a third-party mortgage originator and executed a rated securitization collateralized by $504.5 million of Home Equity Loans. As the co-sponsor, we retained an "eligible vertical interest" to comply with risk retention rules which consists of retaining at least 5% of each class of securities issued in the securitizations. Upon evaluating our retained interest in the securitization trust, we determined we were not the primary beneficiary and, as a result, did not consolidate the securitization trust, which resulted in us recording an investment in Non-Agency RMBS.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Activity</w:t>
      </w:r>
    </w:p>
    <w:p>
      <w:pPr>
        <w:spacing w:after="0" w:line="254" w:lineRule="exact"/>
        <w:rPr>
          <w:sz w:val="20"/>
          <w:szCs w:val="20"/>
          <w:color w:val="auto"/>
        </w:rPr>
      </w:pPr>
    </w:p>
    <w:p>
      <w:pPr>
        <w:jc w:val="both"/>
        <w:ind w:left="660" w:hanging="328"/>
        <w:spacing w:after="0" w:line="257"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Pledged Home Equity Loans with a fair value of $66.2 million and an unpaid principal balance of $63.7 million, in which we have no outstanding financing but have the ability to borrow at an advance rate of 87.5% of unpaid principal balance pledged as collateral. As of March 31, 2026, $50 million of this available financing is contractually committed;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90" w:lineRule="auto"/>
        <w:tabs>
          <w:tab w:leader="none" w:pos="65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March 2026, the we extended the maturity of our financing arrangement collateralized by Legacy WMC Commercial Loans to September 19, 2026. All proceeds from asset paydowns or sales will be applied to reduce the outstanding balance, which was $25.4 million as of March 31,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residential mortgage REIT with a focus on investing in a diversified risk-adjusted portfolio of residential mortgage-related assets in the U.S. mortgage market. Our objective is to provide attractive risk-adjusted returns to our stockholders over the long-term, primarily through dividends and capital appreciation.</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focus our investment activities primarily on acquiring and securitizing newly-originated residential mortgage loans within the non-agency segment of the housing market. We obtain our assets through Arc Home, LLC ("Arc Home"), our residential mortgage loan originator in which we own an approximate 66.0% interest as of March 31, 2026, and through other third-party origination partners. We finance our acquired loans through various financing lines on a short-term basis and utilize TPG's proprietary securitization platform to secure long-term, non-recourse, non-mark-to-market financing as market conditions permit. Through our ownership in Arc Home, we also have exposure to mortgage banking activities. Arc Home is a multi-channel licensed mortgage originator and servicer primarily engaged in the business of originating and selling residential mortgage loans while retaining the mortgage servicing rights associated with certain loans that it originates.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investment portfolio (which excludes our ownership in Arc Home) primarily includes Residential Investments and Agency RMBS. Currently, our Residential Investments primarily consist of Non-Agency Loans, Agency-Eligible Loans, Home Equity Loans and Non-Agency RMBS collateralized by these loan types, which we refer to as our target assets. In addition, we may also invest in other types of residential mortgage loans and other mortgage related assets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As of March 31, 2026, our investment portfolio consisted of the following Residential Investments and Agency RMBS: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8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3"/>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Residential Investments</w:t>
            </w:r>
          </w:p>
        </w:tc>
        <w:tc>
          <w:tcPr>
            <w:tcW w:w="100" w:type="dxa"/>
            <w:vAlign w:val="bottom"/>
            <w:tcBorders>
              <w:top w:val="single" w:sz="8" w:color="CCEEFF"/>
            </w:tcBorders>
            <w:shd w:val="clear" w:color="auto" w:fill="CCEEFF"/>
          </w:tcPr>
          <w:p>
            <w:pPr>
              <w:spacing w:after="0"/>
              <w:rPr>
                <w:sz w:val="19"/>
                <w:szCs w:val="19"/>
                <w:color w:val="auto"/>
              </w:rPr>
            </w:pPr>
          </w:p>
        </w:tc>
        <w:tc>
          <w:tcPr>
            <w:tcW w:w="8700" w:type="dxa"/>
            <w:vAlign w:val="bottom"/>
            <w:tcBorders>
              <w:top w:val="single" w:sz="8" w:color="auto"/>
            </w:tcBorders>
            <w:shd w:val="clear" w:color="auto" w:fill="CCEEFF"/>
          </w:tcPr>
          <w:p>
            <w:pPr>
              <w:spacing w:after="0"/>
              <w:rPr>
                <w:sz w:val="19"/>
                <w:szCs w:val="19"/>
                <w:color w:val="auto"/>
              </w:rPr>
            </w:pPr>
          </w:p>
        </w:tc>
      </w:tr>
      <w:tr>
        <w:trPr>
          <w:trHeight w:val="198"/>
        </w:trPr>
        <w:tc>
          <w:tcPr>
            <w:tcW w:w="2440" w:type="dxa"/>
            <w:vAlign w:val="bottom"/>
            <w:gridSpan w:val="2"/>
          </w:tcPr>
          <w:p>
            <w:pPr>
              <w:ind w:left="240"/>
              <w:spacing w:after="0" w:line="198" w:lineRule="exact"/>
              <w:rPr>
                <w:sz w:val="20"/>
                <w:szCs w:val="20"/>
                <w:color w:val="auto"/>
              </w:rPr>
            </w:pPr>
            <w:r>
              <w:rPr>
                <w:rFonts w:ascii="Times New Roman" w:cs="Times New Roman" w:eastAsia="Times New Roman" w:hAnsi="Times New Roman"/>
                <w:sz w:val="17"/>
                <w:szCs w:val="17"/>
                <w:color w:val="auto"/>
              </w:rPr>
              <w:t>Non-Agency Loans</w:t>
            </w:r>
            <w:r>
              <w:rPr>
                <w:rFonts w:ascii="Times New Roman" w:cs="Times New Roman" w:eastAsia="Times New Roman" w:hAnsi="Times New Roman"/>
                <w:sz w:val="22"/>
                <w:szCs w:val="22"/>
                <w:color w:val="auto"/>
                <w:vertAlign w:val="superscript"/>
              </w:rPr>
              <w:t>(1)</w:t>
            </w:r>
          </w:p>
        </w:tc>
        <w:tc>
          <w:tcPr>
            <w:tcW w:w="87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 Non-Agency Loans are loans that do not conform to the underwriting guidelines of a government-sponsored</w:t>
            </w:r>
          </w:p>
        </w:tc>
      </w:tr>
      <w:tr>
        <w:trPr>
          <w:trHeight w:val="203"/>
        </w:trPr>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enterprise ("GSE"). Non-Agency Loans consist of Qualified mortgage loans ("QM Loans") and Non-Qualified</w:t>
            </w:r>
          </w:p>
        </w:tc>
      </w:tr>
      <w:tr>
        <w:trPr>
          <w:trHeight w:val="203"/>
        </w:trPr>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mortgage loans ("Non-QM Loans") which are collateralized by a first lien mortgaged property. QM Loans are</w:t>
            </w:r>
          </w:p>
        </w:tc>
      </w:tr>
      <w:tr>
        <w:trPr>
          <w:trHeight w:val="203"/>
        </w:trPr>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residential mortgage loans that comply with the Ability-To-Repay rules and related guidelines of the Consumer</w:t>
            </w:r>
          </w:p>
        </w:tc>
      </w:tr>
      <w:tr>
        <w:trPr>
          <w:trHeight w:val="234"/>
        </w:trPr>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Protection Bureau.</w:t>
            </w:r>
          </w:p>
        </w:tc>
      </w:tr>
    </w:tbl>
    <w:p>
      <w:pPr>
        <w:spacing w:after="0" w:line="19" w:lineRule="exact"/>
        <w:rPr>
          <w:sz w:val="20"/>
          <w:szCs w:val="20"/>
          <w:color w:val="auto"/>
        </w:rPr>
      </w:pPr>
    </w:p>
    <w:p>
      <w:pPr>
        <w:sectPr>
          <w:pgSz w:w="11900" w:h="16838" w:orient="portrait"/>
          <w:cols w:equalWidth="0" w:num="1">
            <w:col w:w="11240"/>
          </w:cols>
          <w:pgMar w:left="320" w:top="1134" w:right="339" w:bottom="1440" w:gutter="0" w:footer="0" w:header="0"/>
        </w:sectPr>
      </w:pPr>
    </w:p>
    <w:p>
      <w:pPr>
        <w:ind w:left="240"/>
        <w:spacing w:after="0"/>
        <w:rPr>
          <w:sz w:val="20"/>
          <w:szCs w:val="20"/>
          <w:color w:val="auto"/>
        </w:rPr>
      </w:pPr>
      <w:r>
        <w:rPr>
          <w:rFonts w:ascii="Times New Roman" w:cs="Times New Roman" w:eastAsia="Times New Roman" w:hAnsi="Times New Roman"/>
          <w:sz w:val="17"/>
          <w:szCs w:val="17"/>
          <w:color w:val="auto"/>
        </w:rPr>
        <w:t>Agency-Eligible Loans</w:t>
      </w:r>
      <w:r>
        <w:rPr>
          <w:rFonts w:ascii="Times New Roman" w:cs="Times New Roman" w:eastAsia="Times New Roman" w:hAnsi="Times New Roman"/>
          <w:sz w:val="22"/>
          <w:szCs w:val="22"/>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Home Equity Loans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br w:type="column"/>
      </w:r>
    </w:p>
    <w:p>
      <w:pPr>
        <w:jc w:val="both"/>
        <w:ind w:left="164" w:right="140" w:hanging="164"/>
        <w:spacing w:after="0" w:line="261" w:lineRule="auto"/>
        <w:tabs>
          <w:tab w:leader="none" w:pos="1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Agency-Eligible Loans are loans that are collateralized by a first lien mortgaged property and are primarily secured by investment properties. These loans are underwritten in accordance with GSE guidelines, but are not guaranteed by a GSE. Although these loans are underwritten in accordance with GSE guidelines and can be delivered to Fannie Mae and Freddie Mac, the Company includes these loans within its Non-Agency securitizations.</w:t>
      </w:r>
    </w:p>
    <w:p>
      <w:pPr>
        <w:spacing w:after="0" w:line="17" w:lineRule="exact"/>
        <w:rPr>
          <w:rFonts w:ascii="Times New Roman" w:cs="Times New Roman" w:eastAsia="Times New Roman" w:hAnsi="Times New Roman"/>
          <w:sz w:val="18"/>
          <w:szCs w:val="18"/>
          <w:color w:val="auto"/>
        </w:rPr>
      </w:pPr>
    </w:p>
    <w:p>
      <w:pPr>
        <w:jc w:val="both"/>
        <w:ind w:left="164" w:right="120" w:hanging="164"/>
        <w:spacing w:after="0" w:line="256" w:lineRule="auto"/>
        <w:tabs>
          <w:tab w:leader="none" w:pos="1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 Equity Loans consist of revolving lines of credit and closed-end loans secured primarily by second liens on residential mortgaged properties. These products provide borrowers with access to home equity without requiring the payoff of an existing mortgage. Revolving lines of credit generally feature an initial draw period of 3 to 5 years, after which the balances convert to 15- or 25-year amortizing loans. Closed-end home equity loans are primarily fixed-rate obligations where the full principal amount is funded at origination and repaid through a fully amortizing schedule with original terms to maturity ranging from 10 to 30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-1553845</wp:posOffset>
            </wp:positionH>
            <wp:positionV relativeFrom="paragraph">
              <wp:posOffset>-1428750</wp:posOffset>
            </wp:positionV>
            <wp:extent cx="7063740" cy="5829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63740" cy="582930"/>
                    </a:xfrm>
                    <a:prstGeom prst="rect">
                      <a:avLst/>
                    </a:prstGeom>
                    <a:noFill/>
                  </pic:spPr>
                </pic:pic>
              </a:graphicData>
            </a:graphic>
          </wp:anchor>
        </w:drawing>
      </w:r>
    </w:p>
    <w:p>
      <w:pPr>
        <w:spacing w:after="0" w:line="12" w:lineRule="exact"/>
        <w:rPr>
          <w:sz w:val="20"/>
          <w:szCs w:val="20"/>
          <w:color w:val="auto"/>
        </w:rPr>
      </w:pPr>
    </w:p>
    <w:p>
      <w:pPr>
        <w:sectPr>
          <w:pgSz w:w="11900" w:h="16838" w:orient="portrait"/>
          <w:cols w:equalWidth="0" w:num="2">
            <w:col w:w="2060" w:space="396"/>
            <w:col w:w="8784"/>
          </w:cols>
          <w:pgMar w:left="320" w:top="1134" w:right="339" w:bottom="1440" w:gutter="0" w:footer="0" w:header="0"/>
          <w:type w:val="continuous"/>
        </w:sectPr>
      </w:pPr>
    </w:p>
    <w:p>
      <w:pPr>
        <w:ind w:left="240"/>
        <w:spacing w:after="0" w:line="250" w:lineRule="auto"/>
        <w:rPr>
          <w:sz w:val="20"/>
          <w:szCs w:val="20"/>
          <w:color w:val="auto"/>
        </w:rPr>
      </w:pPr>
      <w:r>
        <w:rPr>
          <w:rFonts w:ascii="Times New Roman" w:cs="Times New Roman" w:eastAsia="Times New Roman" w:hAnsi="Times New Roman"/>
          <w:sz w:val="18"/>
          <w:szCs w:val="18"/>
          <w:color w:val="auto"/>
        </w:rPr>
        <w:t>Re- and Non-Performing Loans</w:t>
      </w:r>
      <w:r>
        <w:rPr>
          <w:rFonts w:ascii="Times New Roman" w:cs="Times New Roman" w:eastAsia="Times New Roman" w:hAnsi="Times New Roman"/>
          <w:sz w:val="23"/>
          <w:szCs w:val="23"/>
          <w:color w:val="auto"/>
          <w:vertAlign w:val="superscript"/>
        </w:rPr>
        <w:t>(1)</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Non-Agency RMBS</w:t>
      </w:r>
      <w:r>
        <w:rPr>
          <w:rFonts w:ascii="Times New Roman" w:cs="Times New Roman" w:eastAsia="Times New Roman" w:hAnsi="Times New Roman"/>
          <w:sz w:val="23"/>
          <w:szCs w:val="23"/>
          <w:color w:val="auto"/>
          <w:vertAlign w:val="superscript"/>
        </w:rPr>
        <w:t>(2)</w:t>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Agency RMBS</w:t>
      </w:r>
      <w:r>
        <w:rPr>
          <w:rFonts w:ascii="Times New Roman" w:cs="Times New Roman" w:eastAsia="Times New Roman" w:hAnsi="Times New Roman"/>
          <w:sz w:val="23"/>
          <w:szCs w:val="23"/>
          <w:b w:val="1"/>
          <w:bCs w:val="1"/>
          <w:color w:val="auto"/>
          <w:vertAlign w:val="superscript"/>
        </w:rPr>
        <w:t>(2)</w:t>
      </w:r>
    </w:p>
    <w:p>
      <w:pPr>
        <w:spacing w:after="0" w:line="20" w:lineRule="exact"/>
        <w:rPr>
          <w:sz w:val="20"/>
          <w:szCs w:val="20"/>
          <w:color w:val="auto"/>
        </w:rPr>
      </w:pPr>
      <w:r>
        <w:rPr>
          <w:sz w:val="20"/>
          <w:szCs w:val="20"/>
          <w:color w:val="auto"/>
        </w:rPr>
        <w:br w:type="column"/>
      </w:r>
    </w:p>
    <w:p>
      <w:pPr>
        <w:ind w:left="164" w:right="140" w:hanging="164"/>
        <w:spacing w:after="0" w:line="281" w:lineRule="auto"/>
        <w:tabs>
          <w:tab w:leader="none" w:pos="15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re-performing, and non-performing loans are residential mortgage loans collateralized by a first lien mortgaged property.</w:t>
      </w:r>
    </w:p>
    <w:p>
      <w:pPr>
        <w:spacing w:after="0" w:line="1" w:lineRule="exact"/>
        <w:rPr>
          <w:rFonts w:ascii="Times New Roman" w:cs="Times New Roman" w:eastAsia="Times New Roman" w:hAnsi="Times New Roman"/>
          <w:sz w:val="18"/>
          <w:szCs w:val="18"/>
          <w:color w:val="auto"/>
        </w:rPr>
      </w:pPr>
    </w:p>
    <w:p>
      <w:pPr>
        <w:jc w:val="both"/>
        <w:ind w:left="164" w:right="120" w:hanging="164"/>
        <w:spacing w:after="0" w:line="266" w:lineRule="auto"/>
        <w:tabs>
          <w:tab w:leader="none" w:pos="15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Non-Agency Residential Mortgage-Backed Securities ("RMBS") represent fixed- and floating-rate RMBS issued by entities other than U.S. GSEs or agencies of the U.S. government. Non-Agency RMBS are primarily secured by Non-QM, Agency-Eligible, Home Equity, and Prime Jumbo Loans.</w:t>
      </w:r>
    </w:p>
    <w:p>
      <w:pPr>
        <w:spacing w:after="0" w:line="13" w:lineRule="exact"/>
        <w:rPr>
          <w:rFonts w:ascii="Times New Roman" w:cs="Times New Roman" w:eastAsia="Times New Roman" w:hAnsi="Times New Roman"/>
          <w:sz w:val="18"/>
          <w:szCs w:val="18"/>
          <w:color w:val="auto"/>
        </w:rPr>
      </w:pPr>
    </w:p>
    <w:p>
      <w:pPr>
        <w:ind w:left="164" w:right="120" w:hanging="164"/>
        <w:spacing w:after="0" w:line="282" w:lineRule="auto"/>
        <w:tabs>
          <w:tab w:leader="none" w:pos="15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Agency RMBS represent interests in pools of residential mortgage loans guaranteed by a GSE such as Fannie Mae or Freddie Mac, or an agency of the U.S. Government such as Ginnie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-1553845</wp:posOffset>
            </wp:positionH>
            <wp:positionV relativeFrom="paragraph">
              <wp:posOffset>-1068070</wp:posOffset>
            </wp:positionV>
            <wp:extent cx="7063740" cy="3086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63740" cy="308610"/>
                    </a:xfrm>
                    <a:prstGeom prst="rect">
                      <a:avLst/>
                    </a:prstGeom>
                    <a:noFill/>
                  </pic:spPr>
                </pic:pic>
              </a:graphicData>
            </a:graphic>
          </wp:anchor>
        </w:drawing>
        <w:drawing>
          <wp:anchor simplePos="0" relativeHeight="251657728" behindDoc="1" locked="0" layoutInCell="0" allowOverlap="1">
            <wp:simplePos x="0" y="0"/>
            <wp:positionH relativeFrom="column">
              <wp:posOffset>-1553845</wp:posOffset>
            </wp:positionH>
            <wp:positionV relativeFrom="paragraph">
              <wp:posOffset>-313690</wp:posOffset>
            </wp:positionV>
            <wp:extent cx="7063740" cy="308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63740" cy="308610"/>
                    </a:xfrm>
                    <a:prstGeom prst="rect">
                      <a:avLst/>
                    </a:prstGeom>
                    <a:noFill/>
                  </pic:spPr>
                </pic:pic>
              </a:graphicData>
            </a:graphic>
          </wp:anchor>
        </w:drawing>
      </w:r>
    </w:p>
    <w:p>
      <w:pPr>
        <w:spacing w:after="0" w:line="67" w:lineRule="exact"/>
        <w:rPr>
          <w:sz w:val="20"/>
          <w:szCs w:val="20"/>
          <w:color w:val="auto"/>
        </w:rPr>
      </w:pPr>
    </w:p>
    <w:p>
      <w:pPr>
        <w:sectPr>
          <w:pgSz w:w="11900" w:h="16838" w:orient="portrait"/>
          <w:cols w:equalWidth="0" w:num="2">
            <w:col w:w="2040" w:space="416"/>
            <w:col w:w="8784"/>
          </w:cols>
          <w:pgMar w:left="320" w:top="1134" w:right="339" w:bottom="1440" w:gutter="0" w:footer="0" w:header="0"/>
          <w:type w:val="continuous"/>
        </w:sectPr>
      </w:pPr>
    </w:p>
    <w:p>
      <w:pPr>
        <w:ind w:left="660" w:hanging="328"/>
        <w:spacing w:after="0" w:line="261" w:lineRule="auto"/>
        <w:tabs>
          <w:tab w:leader="none" w:pos="6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investments are included in the "Securitized residential mortgage loans, at fair value" or "Residential mortgage loans, at fair value" line items on the consolidated balance sheets.</w:t>
      </w:r>
    </w:p>
    <w:p>
      <w:pPr>
        <w:ind w:left="640" w:hanging="30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investments are included in the "Real estate securities, at fair value" line item on the consolidated balance sheets.</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investment portfolio includes commercial loans and commercial-mortgage backed securities ("CMBS") (collectively, the "Legacy WMC Commercial Investments") that were acquired in the WMC acquisition. The Legacy WMC commercial loans primarily include first lien commercial mortgage loan participations and are included in the "Commercial loans, at fair value" line item on the consolidated balance sheets. The Legacy WMC CMBS primarily include fixed-rate and floating-rate CMBS, secured by, or evidencing an ownership interest in, a single commercial mortgage loan or a pool of commercial mortgage loans, and are included in the "Real estate securities, at fair value" line item on the consolidated balance sheets. We expect to either hold the Legacy WMC Commercial Investments until maturity or opportunistically exit these investments.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sources of income are net interest income from our investment portfolio, changes in the fair value of our investments or hedge portfolio, and income from our investment in Arc Home. Net interest income consists of the interest income we earn on investments less the interest expense we incur on borrowed funds, inclusive of our cost or benefit of hedging. Income from our investment in Arc Home is generated through its mortgage banking activities which represents the origination and subsequent sale of residential mortgage loans and servicing income sourced from its mortgage servicing rights.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were incorporated in Maryland on March 1, 2011 and commenced operations in July 2011. We conduct our operations to qualify and be taxed as a REIT for U.S. federal income tax purposes. Accordingly, we generally will not be subject to U.S. federal income taxes on our taxable income that we distribute to our stockholders as long as we maintain our intended qualification as a REIT, with the exception of business conducted in our domestic taxable REIT subsidiaries ("TRSs") which are subject to corporate income tax. We also operate our business in a manner that permits us to maintain our exemption from registration under the Investment Company Act.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Our Manager and TPG Angelo Gordon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externally managed by our Manager, AG REIT Management, LLC, an indirect subsidiary of TPG (NASDAQ: TPG), a leading global alternative asset management firm.</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terms of our management agreement, our Manager provides us with our management team, including our officers, along with appropriate support personnel. All of our officers are employees of TPG or its affiliates. We do not have any employees. Our Manager is at all times subject to the supervision and oversight of our Board of Directors and has only such functions and authority as our Board of Directors delegates to it. Our Manager has delegated to TPG Angelo Gordon, an affiliate of TPG, the overall responsibility of its day-to-day duties and obligations arising under our management agreement. TPG Angelo Gordon is the direct parent company of our Manager and is a registered investment adviser under the Investment Advisers Act of 1940, as amended.</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our relationship with our Manager, we benefit from the expertise and relationships that TPG's Credit platform has established which provides us with resources to generate attractive risk-adjusted returns for our stockholders. Our management has significant experience in the mortgage industry and expertise in structured credit investments. We are able to leverage our Manager, along with our ownership interest in Arc Home, a vertically integrated origination platform, to access investment opportunities in the non-agency residential mortgage loan market. This strategic advantage has enabled us to grow our investment portfolio and remain active in the securitization markets, utilizing the TPG Credit platform's proprietary securitization platform to deliver non-agency investments to a diverse mix of investors.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fourth quarter of 2025 and through January 2026, Federal Reserve Chair Jerome Powell adopted a cautious posture as the central bank balanced a softening labor market against persistent inflation. Although the unemployment rate reached 4.4% by year-end, core inflation remained sticky near 3.0%. In response, the FOMC delivered two 25 basis point cuts in October and December, bringing the target Fed Funds range to 3.50% to 3.75%. However, at the January 2026 meeting, the Committee elected to hold rates steady, with Chair Powell signaling a patient, "meeting-by-meeting" approach. Throughout the first quarter of 2026, this cautious outlook was reinforced by a significant shift in the geopolitical and inflationary landscape. While the labor market showed relative stability with the unemployment rate ticking down slightly to 4.3% in March, the emergence of a Middle East conflict in late February triggered a sharp spike in energy prices. This energy shock complicated the disinflation narrative, pushing headline personal consumption expenditure (PCE) expectations for the second quarter toward 3.7% and prompting the Federal Reserve to maintain its pause at the March Federal Open Market Committee meeting.</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 April 2026, the "higher-for-longer" sentiment has intensified. The Treasury market, which had seen the yield spread between 2-year and 10-year U.S. Treasuries widen to 70 basis points in January, experienced a notable flattening in late March as front-end yields rose in response to diminishing rate-cut expectations. As of quarter end, the 10-year Treasury yield was 4.32%, while the spread to the 2-year compressed to approximately 51 basis points. Reflecting this upward pressure on long-term borrowing costs, the 30-year fixed mortgage rate edged back up to 6.4% to end the quarter, reversing the modest easing to start the year.</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RMBS credit spreads were mixed in the first quarter of 2026. Senior and mezzanine Non-QM spreads widened by 10 to 20 basis points, while subordinate tranches were as much as 25 to 50 basis points wider owing to the broader risk-off sentiment experienced at the end of the quarter. Senior prime jumbo spreads were approximately 10 basis points tighter, and other investment grade prime jumbo spreads tightened roughly 15 to 20 basis points, with that tightening mostly occurring at the start of the quarter. Closed-end second lien spreads were a few basis points tighter higher in the capital structure while mezzanine tranches were flat to a few basis points wider.</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first quarter, primary RMBS market activity rose to $63 billion, a 10% increase from prior quarter and a robust 39% annual increase. Based on the pace of activity in the first quarter, annual issuance would approximate $250 billion, exceeding the $210 billion issued in 2025, and representing the largest post-GFC vintage. For the first quarter, the most active sector was Non-QM at $28 billion, followed by Home Equity Loans at $14 billion and Prime/Agency-Eligible at $12 billion. In addition, this quarter’s annual growth was largely driven by Non-QM, a rise of $13 billion, and Home Equity Loans, a rise of approximately $8 billion. Non-QM comprised the bulk of the first quarter’s activity at 45% with Home Equity Loans and Prime/Agency-Eligible following at 22% and 19%, respectively. Residential transition loans, also known as fix-and-flip loans, comprised 3% of total issuance and CRT was approximately 4%. Other sectors such as Single-Family Rental and Re/Non-performing loans comprised the balance.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S&amp;P Cotality Case-Shiller U.S. National Home Price Index was 0.9% higher year-over-year in January 2026, the latest data available, about 1.5% lower than the peak established in June 2025. Regional price variations continued to exist, and on an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4" w:name="page45"/>
    <w:bookmarkEnd w:id="44"/>
    <w:p>
      <w:pPr>
        <w:jc w:val="both"/>
        <w:spacing w:after="0" w:line="256" w:lineRule="auto"/>
        <w:rPr>
          <w:sz w:val="20"/>
          <w:szCs w:val="20"/>
          <w:color w:val="auto"/>
        </w:rPr>
      </w:pPr>
      <w:r>
        <w:rPr>
          <w:rFonts w:ascii="Times New Roman" w:cs="Times New Roman" w:eastAsia="Times New Roman" w:hAnsi="Times New Roman"/>
          <w:sz w:val="18"/>
          <w:szCs w:val="18"/>
          <w:color w:val="auto"/>
        </w:rPr>
        <w:t>annual basis, metros in the Northeast and Midwest continued to lead gains while regions in Southeast, Texas and the Mountain West have been weaker. New York City area home prices led annual gains, rising by 4.9% from January 2025 to January 2026, and Chicago followed nearby at 4.6%. Detroit rose by 4.1% and Cleveland 3.6% over the period. On the other hand, regions in California were mixed. Southern California metros were a little higher while San Francisco fell by 40 basis points. Denver was lower by 2% and Dallas by 1.5%. In the Southeast, Atlanta slightly declined while Miami decreased by 90 basis points, and Tampa was 2.5% lower compared to year-ago readings. Home price growth and available for-sale inventory have had a relatively strong inverse relationship as regions with inventory growth using 2019 as a baseline, have had weaker home price gains, and vice versa.</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Prevailing mortgage rates spent most of the quarter in the 6% to 6.15% area before rising in the latter part of March and continued to rise in April, according to the Freddie Mac Primary Mortgage Market Survey. Mortgage rates in April have reverted and are more in-line with September 2025 levels. Conforming mortgage interest rate locks mirrored the Freddie Mac survey and were in the very low 6% area until rising to approximately 6.4% at the end of the first quarter and into the start of April. The rise in the mortgage rate on outstanding mortgage debt continued to decelerate with that rate increasing just 4 basis points to 4.24% as of the fourth quarter of 2025, the latest data available, roughly 200 to 225 basis points lower than prevailing mortgage rates. This rate is over 110 basis points higher than its low of 3.31% in the first quarter of 2022. While this suggests some thawing of the mortgage lock-in effect, or disincentive for existing homeowners to sell their homes because their current mortgage rate is well below current market rates, this rate is up only 21 basis points from the start of 2025, showing the stickiness of low-rate borrowers staying in place and reduced housing activity.</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existing home inventory increased slightly in March 2026 to 1.36 million, the latest data available, roughly in-line with year-ago levels. Existing home inventory in 2025 ran at the highest levels since 2020, averaging 1.3 to 1.5 million for most of the year, however these levels hardly breach the typical inventory levels of 1.5 to 2 million units that prevailed from 2016 to 2019 and well below the range of 1.7 to 2.5 million units from 2000 to 2004, periods with a smaller count of U.S. households. When evaluating new listings, which are a timelier barometer of home sale activity, 944 thousand new listings came to market in the first quarter of 2026, in line with activity in the first quarter of 2024, however 6% below year-ago levels. By comparison, new listings in the first quarter averaged about 1.2 million over 2015 to 2022. Over the previous three years, this reduced level of activity produced an annual shortage of over 1 million new listings compared to annual activity in 2015 to 2019 as well as pandemic-affected 2020 to 2022, underscoring the limited supply theme.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of investment, financing and hedging activities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the "Investment activities," "Financing activities," "Hedging activities," and "Liquidity and capital resources" sections of this Item 2, we present information on our investment portfolio and the related financing arrangements inclusive of unconsolidated ownership interests in affiliates that are accounted for under GAAP using the equity method. Our investment portfolio excludes our investment in Arc Home.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investment portfolio and the related financing arrangements are presented along with a reconciliation to GAAP. This presentation of our investment portfolio is consistent with how our management team evaluates the business, and we believe this presentation, when considered with the GAAP presentation, provides supplemental information useful for investors in evaluating our investment portfolio and financial condition. See Note 10 to the "Notes to Consolidated Financial Statements (unaudited)" for a discussion of investments in debt and equity of affiliates. See below for further terms used when describing our investment portfolio.</w:t>
      </w:r>
    </w:p>
    <w:p>
      <w:pPr>
        <w:spacing w:after="0" w:line="212"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"Investment portfolio"</w:t>
      </w:r>
      <w:r>
        <w:rPr>
          <w:rFonts w:ascii="Times New Roman" w:cs="Times New Roman" w:eastAsia="Times New Roman" w:hAnsi="Times New Roman"/>
          <w:sz w:val="18"/>
          <w:szCs w:val="18"/>
          <w:color w:val="auto"/>
        </w:rPr>
        <w:t xml:space="preserve"> includes our Residential Investments, Agency RMBS, inclusive of TBAs, and Legacy WMC Commercial Investments.</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"Residential Investments"</w:t>
      </w:r>
      <w:r>
        <w:rPr>
          <w:rFonts w:ascii="Times New Roman" w:cs="Times New Roman" w:eastAsia="Times New Roman" w:hAnsi="Times New Roman"/>
          <w:sz w:val="18"/>
          <w:szCs w:val="18"/>
          <w:color w:val="auto"/>
        </w:rPr>
        <w:t xml:space="preserve"> refer to our residential mortgage loans and Non-Agency RMBS.</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1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"Residential mortgage loans" or "Loans" </w:t>
      </w:r>
      <w:r>
        <w:rPr>
          <w:rFonts w:ascii="Times New Roman" w:cs="Times New Roman" w:eastAsia="Times New Roman" w:hAnsi="Times New Roman"/>
          <w:sz w:val="18"/>
          <w:szCs w:val="18"/>
          <w:color w:val="auto"/>
        </w:rPr>
        <w:t>refer to our Non-Agency Loans, Agency-Eligible Loans, Home Equity Loans, and Re/Non-Performing Loans (exclusive of retained tranches from unconsolidated securitizations).</w:t>
      </w:r>
    </w:p>
    <w:p>
      <w:pPr>
        <w:jc w:val="both"/>
        <w:ind w:left="1300" w:right="20" w:hanging="320"/>
        <w:spacing w:after="0" w:line="250" w:lineRule="auto"/>
        <w:tabs>
          <w:tab w:leader="none" w:pos="132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"Non-Agency RMBS" </w:t>
      </w:r>
      <w:r>
        <w:rPr>
          <w:rFonts w:ascii="Times New Roman" w:cs="Times New Roman" w:eastAsia="Times New Roman" w:hAnsi="Times New Roman"/>
          <w:sz w:val="18"/>
          <w:szCs w:val="18"/>
          <w:color w:val="auto"/>
        </w:rPr>
        <w:t>refer to the retained tranches from unconsolidated securitizations of Non-QM Loans, Agency-Eligible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Home Equity Loans, Prime Jumbo Loans, and Re/Non-Performing Loans issued either under the Gold Creek Asset Trust ("GCAT") shelf or from third-parties.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"Real estate securities" </w:t>
      </w:r>
      <w:r>
        <w:rPr>
          <w:rFonts w:ascii="Times New Roman" w:cs="Times New Roman" w:eastAsia="Times New Roman" w:hAnsi="Times New Roman"/>
          <w:sz w:val="18"/>
          <w:szCs w:val="18"/>
          <w:color w:val="auto"/>
        </w:rPr>
        <w:t>refers to our Non-Agency RMBS and Agency RMBS, inclusive of TBAs, as well as Legacy WMC CMBS that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in the WMC acquisition.</w:t>
      </w:r>
    </w:p>
    <w:p>
      <w:pPr>
        <w:ind w:left="66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"Legacy WMC Commercial Investments"</w:t>
      </w:r>
      <w:r>
        <w:rPr>
          <w:rFonts w:ascii="Times New Roman" w:cs="Times New Roman" w:eastAsia="Times New Roman" w:hAnsi="Times New Roman"/>
          <w:sz w:val="18"/>
          <w:szCs w:val="18"/>
          <w:color w:val="auto"/>
        </w:rPr>
        <w:t xml:space="preserve"> refer to the commercial loans and CMBS that we acquired in the WMC acquisition. We expect to either hold the Legacy WMC Commercial Investments until maturity or opportunistically exit these investments.</w:t>
      </w: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"GAAP Residential Investments"</w:t>
      </w:r>
      <w:r>
        <w:rPr>
          <w:rFonts w:ascii="Times New Roman" w:cs="Times New Roman" w:eastAsia="Times New Roman" w:hAnsi="Times New Roman"/>
          <w:sz w:val="18"/>
          <w:szCs w:val="18"/>
          <w:color w:val="auto"/>
        </w:rPr>
        <w:t xml:space="preserve"> refer to our Residential Investments excluding investments held within affiliated entities.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p>
      <w:pPr>
        <w:ind w:right="420" w:firstLine="332"/>
        <w:spacing w:after="0" w:line="531" w:lineRule="auto"/>
        <w:tabs>
          <w:tab w:leader="none" w:pos="6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"GAAP Investment portfolio"</w:t>
      </w:r>
      <w:r>
        <w:rPr>
          <w:rFonts w:ascii="Times New Roman" w:cs="Times New Roman" w:eastAsia="Times New Roman" w:hAnsi="Times New Roman"/>
          <w:sz w:val="18"/>
          <w:szCs w:val="18"/>
          <w:color w:val="auto"/>
        </w:rPr>
        <w:t xml:space="preserve"> includes our GAAP Residential Investments, Agency RMBS, and Legacy WMC Commercial Investments. For a reconciliation of our Investment portfolio to our GAAP Investment portfolio, see the </w:t>
      </w:r>
      <w:r>
        <w:rPr>
          <w:rFonts w:ascii="Times New Roman" w:cs="Times New Roman" w:eastAsia="Times New Roman" w:hAnsi="Times New Roman"/>
          <w:sz w:val="18"/>
          <w:szCs w:val="18"/>
          <w:i w:val="1"/>
          <w:iCs w:val="1"/>
          <w:color w:val="auto"/>
        </w:rPr>
        <w:t>Investment Portfolio</w:t>
      </w:r>
      <w:r>
        <w:rPr>
          <w:rFonts w:ascii="Times New Roman" w:cs="Times New Roman" w:eastAsia="Times New Roman" w:hAnsi="Times New Roman"/>
          <w:sz w:val="18"/>
          <w:szCs w:val="18"/>
          <w:color w:val="auto"/>
        </w:rPr>
        <w:t xml:space="preserve"> section below.</w:t>
      </w:r>
    </w:p>
    <w:p>
      <w:pPr>
        <w:spacing w:after="0"/>
        <w:rPr>
          <w:sz w:val="20"/>
          <w:szCs w:val="20"/>
          <w:color w:val="auto"/>
        </w:rPr>
      </w:pPr>
      <w:r>
        <w:rPr>
          <w:rFonts w:ascii="Times New Roman" w:cs="Times New Roman" w:eastAsia="Times New Roman" w:hAnsi="Times New Roman"/>
          <w:sz w:val="18"/>
          <w:szCs w:val="18"/>
          <w:b w:val="1"/>
          <w:bCs w:val="1"/>
          <w:color w:val="auto"/>
        </w:rPr>
        <w:t>Book value per share</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below table details book value per common share (in thousands, except per share data). Per share amounts for book value are calculated using all outstanding common shares in accordance with GAAP as of period end.</w:t>
      </w:r>
    </w:p>
    <w:p>
      <w:pPr>
        <w:spacing w:after="0" w:line="232" w:lineRule="exact"/>
        <w:rPr>
          <w:sz w:val="20"/>
          <w:szCs w:val="20"/>
          <w:color w:val="auto"/>
        </w:rPr>
      </w:pPr>
    </w:p>
    <w:tbl>
      <w:tblPr>
        <w:tblLayout w:type="fixed"/>
        <w:tblInd w:w="138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8"/>
                <w:szCs w:val="18"/>
                <w:color w:val="auto"/>
              </w:rPr>
            </w:pPr>
          </w:p>
        </w:tc>
        <w:tc>
          <w:tcPr>
            <w:tcW w:w="1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544,396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560,734</w:t>
            </w:r>
          </w:p>
        </w:tc>
      </w:tr>
      <w:tr>
        <w:trPr>
          <w:trHeight w:val="213"/>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Liquidation preference of preferred stock</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(227,991)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(227,991)</w:t>
            </w:r>
          </w:p>
        </w:tc>
      </w:tr>
      <w:tr>
        <w:trPr>
          <w:trHeight w:val="21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Book Value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316,405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332,743</w:t>
            </w:r>
          </w:p>
        </w:tc>
      </w:tr>
      <w:tr>
        <w:trPr>
          <w:trHeight w:val="213"/>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Common shares outstanding</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31,735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31,744</w:t>
            </w:r>
          </w:p>
        </w:tc>
      </w:tr>
      <w:tr>
        <w:trPr>
          <w:trHeight w:val="21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Book value per common share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operating results can be affected by a number of factors and primarily depend on the size and composition of our investment portfolio, the level of our net interest income, the fair value of our assets and the supply of, and demand for, our investments in residential mortgage loans in the marketplace, among other things, which can be impacted by unanticipated credit events experienced by borrowers whose residential mortgage loans are included in our investment portfolio, such as defaults, liquidations or delinquencies, and other unanticipated events in our markets. Our primary source of net income or loss available to common stockholders is our net interest income, inclusive of our cost or benefit of hedging, which represents the difference between the interest earned on our investment portfolio and the costs of financing and economic hedges in place on our investment portfolio, as well as any income or losses from our equity investments in affiliates which includes operating income/(loss) from Arc Home.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compared to the Three Months Ended March 31, 2025</w:t>
      </w:r>
    </w:p>
    <w:p>
      <w:pPr>
        <w:spacing w:after="0" w:line="2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table below presents certain information from our consolidated statements of operations for the three months ended March 31, 2026 and 2025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4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4"/>
        </w:trPr>
        <w:tc>
          <w:tcPr>
            <w:tcW w:w="5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 of Operations Data:</w:t>
            </w:r>
          </w:p>
        </w:tc>
        <w:tc>
          <w:tcPr>
            <w:tcW w:w="2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14"/>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20,678</w:t>
            </w:r>
          </w:p>
        </w:tc>
      </w:tr>
      <w:tr>
        <w:trPr>
          <w:trHeight w:val="21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109,165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90,281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18,884</w:t>
            </w:r>
          </w:p>
        </w:tc>
      </w:tr>
      <w:tr>
        <w:trPr>
          <w:trHeight w:val="20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Interest Income</w:t>
            </w:r>
          </w:p>
        </w:tc>
        <w:tc>
          <w:tcPr>
            <w:tcW w:w="2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w:t>
            </w:r>
          </w:p>
        </w:tc>
      </w:tr>
      <w:tr>
        <w:trPr>
          <w:trHeight w:val="253"/>
        </w:trPr>
        <w:tc>
          <w:tcPr>
            <w:tcW w:w="5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Income/(Loss)</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component of interest rate swaps</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realized gain/(loss)</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1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unrealized gain/(loss)</w:t>
            </w: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(16,460)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(17,262)</w:t>
            </w:r>
          </w:p>
        </w:tc>
      </w:tr>
      <w:tr>
        <w:trPr>
          <w:trHeight w:val="20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Income/(Loss)</w:t>
            </w:r>
          </w:p>
        </w:tc>
        <w:tc>
          <w:tcPr>
            <w:tcW w:w="2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(17,725)</w:t>
            </w:r>
          </w:p>
        </w:tc>
      </w:tr>
      <w:tr>
        <w:trPr>
          <w:trHeight w:val="253"/>
        </w:trPr>
        <w:tc>
          <w:tcPr>
            <w:tcW w:w="5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Management fee to affiliate</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Non-investment related expenses</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related expenses</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related expenses</w:t>
            </w: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207"/>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Expenses</w:t>
            </w: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r>
      <w:tr>
        <w:trPr>
          <w:trHeight w:val="253"/>
        </w:trPr>
        <w:tc>
          <w:tcPr>
            <w:tcW w:w="5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spacing w:after="0"/>
              <w:rPr>
                <w:sz w:val="21"/>
                <w:szCs w:val="21"/>
                <w:color w:val="auto"/>
              </w:rPr>
            </w:pPr>
          </w:p>
        </w:tc>
      </w:tr>
      <w:tr>
        <w:trPr>
          <w:trHeight w:val="207"/>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Income/(loss) before equity in earnings/(loss) from affiliates</w:t>
            </w: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(15,700)</w:t>
            </w:r>
          </w:p>
        </w:tc>
      </w:tr>
      <w:tr>
        <w:trPr>
          <w:trHeight w:val="253"/>
        </w:trPr>
        <w:tc>
          <w:tcPr>
            <w:tcW w:w="5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1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 earnings/(loss) from affiliates</w:t>
            </w: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w:t>
            </w:r>
          </w:p>
        </w:tc>
      </w:tr>
      <w:tr>
        <w:trPr>
          <w:trHeight w:val="21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Income/(Loss) before Income Taxes</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(14,885)</w:t>
            </w:r>
          </w:p>
        </w:tc>
      </w:tr>
      <w:tr>
        <w:trPr>
          <w:trHeight w:val="270"/>
        </w:trPr>
        <w:tc>
          <w:tcPr>
            <w:tcW w:w="5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0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Income/(Loss)</w:t>
            </w: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(15,039)</w:t>
            </w:r>
          </w:p>
        </w:tc>
      </w:tr>
      <w:tr>
        <w:trPr>
          <w:trHeight w:val="259"/>
        </w:trPr>
        <w:tc>
          <w:tcPr>
            <w:tcW w:w="5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59"/>
        </w:trPr>
        <w:tc>
          <w:tcPr>
            <w:tcW w:w="5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spacing w:after="0"/>
              <w:rPr>
                <w:sz w:val="22"/>
                <w:szCs w:val="22"/>
                <w:color w:val="auto"/>
              </w:rPr>
            </w:pPr>
          </w:p>
        </w:tc>
      </w:tr>
      <w:tr>
        <w:trPr>
          <w:trHeight w:val="209"/>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Income/(Loss) Available to Common Stockholders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(14,888)</w:t>
            </w:r>
          </w:p>
        </w:tc>
      </w:tr>
      <w:tr>
        <w:trPr>
          <w:trHeight w:val="20"/>
        </w:trPr>
        <w:tc>
          <w:tcPr>
            <w:tcW w:w="5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is calculated using the effective interest method for our GAAP investment portfolio.</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increased from the three months ended March 31, 2025 to the three months ended March 31, 2026 primarily due to a higher weighted average amortized cost of our GAAP investment portfolio as a result of purchases of residential mortgage loans and Non-Agency RMBS. The following table presents a summary of the weighted average amortized cost of and the weighted average yield on our GAAP investment portfolio ($ in millions).</w:t>
      </w:r>
    </w:p>
    <w:p>
      <w:pPr>
        <w:spacing w:after="0" w:line="3"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00" w:type="dxa"/>
            <w:vAlign w:val="bottom"/>
            <w:gridSpan w:val="5"/>
          </w:tcPr>
          <w:p>
            <w:pPr>
              <w:ind w:left="9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4"/>
        </w:trPr>
        <w:tc>
          <w:tcPr>
            <w:tcW w:w="5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amortized cost of our GAAP investment portfolio</w:t>
            </w: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8,535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7,197</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1,338</w:t>
            </w: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yield on our GAAP investment portfolio</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0.01 %</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is inclusive of our financing cost related to our financing arrangements on our GAAP investment portfolio, securitized debt, and Senior Unsecured Notes.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increased from the three months ended March 31, 2025 to the three months ended March 31, 2026 due to a higher weighted average GAAP financing balance outstanding resulting primarily from the issuance of securitized debt during the period. Additionally, there was an increase in the weighted average financing rate. The following table presents a summary of the weighted average financing balance and the weighted average financing rate on our GAAP investment portfolio ($ in millions).</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gridSpan w:val="5"/>
          </w:tcPr>
          <w:p>
            <w:pPr>
              <w:ind w:left="9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4"/>
        </w:trPr>
        <w:tc>
          <w:tcPr>
            <w:tcW w:w="5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GAAP financing balance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8,063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6,749</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1,314</w:t>
            </w: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financing rate on our GAAP investment portfolio</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0.07 %</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component of interest rate swaps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component of interest rate swaps represents the net interest income received or expense paid on our interest rate swaps.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income on the net interest component of interest rate swaps during the three months ended March 31, 2026 and 2025 as a result of our swap portfolio being in a net receive position during each of the entire periods. The decrease in income from the three months ended March 31, 2025 to the three months ended March 31, 2026 was the result of a decrease in the weighted average receive rate. The following table presents a summary of the weighted average notional value and the weighted average (pay)/receive rate on our interest rate swap portfolio for the three months ended March 31, 2026 and 2025 ($ in millions).</w:t>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40" w:type="dxa"/>
            <w:vAlign w:val="bottom"/>
            <w:gridSpan w:val="5"/>
          </w:tcPr>
          <w:p>
            <w:pPr>
              <w:ind w:left="9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4"/>
        </w:trPr>
        <w:tc>
          <w:tcPr>
            <w:tcW w:w="5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weighted average interest rate swap notional value</w:t>
            </w: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r>
      <w:tr>
        <w:trPr>
          <w:trHeight w:val="210"/>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252525"/>
              </w:rPr>
              <w:t>Net weighted average (pay)/receive rate</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0.85 %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w:t>
            </w:r>
          </w:p>
        </w:tc>
      </w:tr>
    </w:tbl>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gain/(loss)</w:t>
      </w:r>
    </w:p>
    <w:p>
      <w:pPr>
        <w:spacing w:after="0" w:line="22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following table presents a summary of Net realized gain/(loss) for the three months ended March 31, 2026 and 2025 (in thousands). See Note 3, Note 4, and Note 7 to the “Notes to Consolidated Financial Statements (unaudited)” for additional information on realized gains/(losses).</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6860" w:type="dxa"/>
            <w:vAlign w:val="bottom"/>
          </w:tcPr>
          <w:p>
            <w:pPr>
              <w:spacing w:after="0"/>
              <w:rPr>
                <w:sz w:val="18"/>
                <w:szCs w:val="18"/>
                <w:color w:val="auto"/>
              </w:rPr>
            </w:pPr>
          </w:p>
        </w:tc>
        <w:tc>
          <w:tcPr>
            <w:tcW w:w="4240" w:type="dxa"/>
            <w:vAlign w:val="bottom"/>
            <w:tcBorders>
              <w:bottom w:val="single" w:sz="8" w:color="auto"/>
            </w:tcBorders>
            <w:gridSpan w:val="5"/>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686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11"/>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of residential mortgage loans and loans transferred to or sold from Other assets</w:t>
            </w:r>
          </w:p>
        </w:tc>
        <w:tc>
          <w:tcPr>
            <w:tcW w:w="1620" w:type="dxa"/>
            <w:vAlign w:val="bottom"/>
            <w:shd w:val="clear" w:color="auto" w:fill="CCEEFF"/>
          </w:tcPr>
          <w:p>
            <w:pPr>
              <w:jc w:val="right"/>
              <w:ind w:right="14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w:t>
            </w:r>
          </w:p>
        </w:tc>
      </w:tr>
      <w:tr>
        <w:trPr>
          <w:trHeight w:val="213"/>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Sales of real estate securities</w:t>
            </w:r>
          </w:p>
        </w:tc>
        <w:tc>
          <w:tcPr>
            <w:tcW w:w="1620" w:type="dxa"/>
            <w:vAlign w:val="bottom"/>
          </w:tcPr>
          <w:p>
            <w:pPr>
              <w:spacing w:after="0"/>
              <w:rPr>
                <w:sz w:val="18"/>
                <w:szCs w:val="18"/>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1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 of derivatives and other instruments</w:t>
            </w:r>
          </w:p>
        </w:tc>
        <w:tc>
          <w:tcPr>
            <w:tcW w:w="16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w:t>
            </w:r>
          </w:p>
        </w:tc>
      </w:tr>
      <w:tr>
        <w:trPr>
          <w:trHeight w:val="204"/>
        </w:trPr>
        <w:tc>
          <w:tcPr>
            <w:tcW w:w="6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Net realized gain/(loss)</w:t>
            </w:r>
          </w:p>
        </w:tc>
        <w:tc>
          <w:tcPr>
            <w:tcW w:w="1620" w:type="dxa"/>
            <w:vAlign w:val="bottom"/>
          </w:tcPr>
          <w:p>
            <w:pPr>
              <w:jc w:val="right"/>
              <w:ind w:right="14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Net unrealized gain/(loss)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Net unrealized gain/(loss) for the three months ended March 31, 2026 and 2025 (in thousands).</w:t>
      </w:r>
    </w:p>
    <w:p>
      <w:pPr>
        <w:spacing w:after="0" w:line="52" w:lineRule="exact"/>
        <w:rPr>
          <w:sz w:val="20"/>
          <w:szCs w:val="20"/>
          <w:color w:val="auto"/>
        </w:rPr>
      </w:pPr>
    </w:p>
    <w:tbl>
      <w:tblPr>
        <w:tblLayout w:type="fixed"/>
        <w:tblInd w:w="820" w:type="dxa"/>
        <w:tblCellMar>
          <w:top w:w="0" w:type="dxa"/>
          <w:left w:w="0" w:type="dxa"/>
          <w:bottom w:w="0" w:type="dxa"/>
          <w:right w:w="0" w:type="dxa"/>
        </w:tblCellMar>
      </w:tblPr>
      <w:tr>
        <w:trPr>
          <w:trHeight w:val="215"/>
        </w:trPr>
        <w:tc>
          <w:tcPr>
            <w:tcW w:w="5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5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00" w:type="dxa"/>
            <w:vAlign w:val="bottom"/>
          </w:tcPr>
          <w:p>
            <w:pPr>
              <w:spacing w:after="0"/>
              <w:rPr>
                <w:sz w:val="18"/>
                <w:szCs w:val="18"/>
                <w:color w:val="auto"/>
              </w:rPr>
            </w:pPr>
          </w:p>
        </w:tc>
        <w:tc>
          <w:tcPr>
            <w:tcW w:w="17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11"/>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(79,721)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107,757</w:t>
            </w:r>
          </w:p>
        </w:tc>
      </w:tr>
      <w:tr>
        <w:trPr>
          <w:trHeight w:val="213"/>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loans</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w:t>
            </w:r>
          </w:p>
        </w:tc>
      </w:tr>
      <w:tr>
        <w:trPr>
          <w:trHeight w:val="21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securities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13"/>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Securitized debt</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(100,022)</w:t>
            </w:r>
          </w:p>
        </w:tc>
      </w:tr>
      <w:tr>
        <w:trPr>
          <w:trHeight w:val="21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(6,404)</w:t>
            </w: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unrealized gain/(loss)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 to affiliate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management fee is based upon a percentage of our Stockholders’ Equity. See the "Contractual obligations" section of this Item 2 for further detail on the calculation of our management fee and for the definition of 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Non-investment related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non-investment related expenses for the three months ended March 31, 2026 and 2025 (in thousands).</w:t>
      </w:r>
    </w:p>
    <w:p>
      <w:pPr>
        <w:spacing w:after="0" w:line="52"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4120" w:type="dxa"/>
            <w:vAlign w:val="bottom"/>
            <w:tcBorders>
              <w:bottom w:val="single" w:sz="8" w:color="auto"/>
            </w:tcBorders>
            <w:gridSpan w:val="4"/>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40" w:type="dxa"/>
            <w:vAlign w:val="bottom"/>
            <w:tcBorders>
              <w:bottom w:val="single" w:sz="8" w:color="auto"/>
            </w:tcBorders>
          </w:tcPr>
          <w:p>
            <w:pPr>
              <w:spacing w:after="0"/>
              <w:rPr>
                <w:sz w:val="18"/>
                <w:szCs w:val="18"/>
                <w:color w:val="auto"/>
              </w:rPr>
            </w:pPr>
          </w:p>
        </w:tc>
      </w:tr>
      <w:tr>
        <w:trPr>
          <w:trHeight w:val="211"/>
        </w:trPr>
        <w:tc>
          <w:tcPr>
            <w:tcW w:w="644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540" w:type="dxa"/>
            <w:vAlign w:val="bottom"/>
            <w:tcBorders>
              <w:bottom w:val="single" w:sz="8" w:color="auto"/>
            </w:tcBorders>
          </w:tcPr>
          <w:p>
            <w:pPr>
              <w:spacing w:after="0"/>
              <w:rPr>
                <w:sz w:val="18"/>
                <w:szCs w:val="18"/>
                <w:color w:val="auto"/>
              </w:rPr>
            </w:pPr>
          </w:p>
        </w:tc>
      </w:tr>
      <w:tr>
        <w:trPr>
          <w:trHeight w:val="211"/>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Affiliate reimbursement (1)</w:t>
            </w:r>
          </w:p>
        </w:tc>
        <w:tc>
          <w:tcPr>
            <w:tcW w:w="1760" w:type="dxa"/>
            <w:vAlign w:val="bottom"/>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r>
      <w:tr>
        <w:trPr>
          <w:trHeight w:val="21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17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D&amp;O insurance</w:t>
            </w:r>
          </w:p>
        </w:tc>
        <w:tc>
          <w:tcPr>
            <w:tcW w:w="17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1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Directors' fees and equity based compensation</w:t>
            </w:r>
          </w:p>
        </w:tc>
        <w:tc>
          <w:tcPr>
            <w:tcW w:w="17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Excise tax expense</w:t>
            </w:r>
          </w:p>
        </w:tc>
        <w:tc>
          <w:tcPr>
            <w:tcW w:w="17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3"/>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w:t>
            </w:r>
          </w:p>
        </w:tc>
      </w:tr>
      <w:tr>
        <w:trPr>
          <w:trHeight w:val="21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Non-investment related expenses</w:t>
            </w:r>
          </w:p>
        </w:tc>
        <w:tc>
          <w:tcPr>
            <w:tcW w:w="1760" w:type="dxa"/>
            <w:vAlign w:val="bottom"/>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3,280</w:t>
            </w:r>
          </w:p>
        </w:tc>
      </w:tr>
    </w:tbl>
    <w:p>
      <w:pPr>
        <w:spacing w:after="0" w:line="63" w:lineRule="exact"/>
        <w:rPr>
          <w:sz w:val="20"/>
          <w:szCs w:val="20"/>
          <w:color w:val="auto"/>
        </w:rPr>
      </w:pPr>
    </w:p>
    <w:p>
      <w:pPr>
        <w:jc w:val="both"/>
        <w:ind w:left="660" w:hanging="328"/>
        <w:spacing w:after="0" w:line="266" w:lineRule="auto"/>
        <w:tabs>
          <w:tab w:leader="none" w:pos="6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reimburse our Manager or its affiliates for operating expenses incurred by our Manager or its affiliates on our behalf, including certain compensation expenses and other expenses relating to legal, accounting, and other services. See the "Contractual obligations" section of this Item 2 for further detail.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related expenses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presents a summary of our investment related expenses for the three months ended March 31, 2026 and 2025 (in thousands). These expenses increased from the three months ended March 31, 2025 to the three months ended March 31, 2026 primarily due to an increase in our GAAP residential mortgage loan portfolio.</w:t>
      </w:r>
    </w:p>
    <w:p>
      <w:pPr>
        <w:spacing w:after="0" w:line="3"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4120" w:type="dxa"/>
            <w:vAlign w:val="bottom"/>
            <w:tcBorders>
              <w:bottom w:val="single" w:sz="8" w:color="auto"/>
            </w:tcBorders>
            <w:gridSpan w:val="4"/>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40" w:type="dxa"/>
            <w:vAlign w:val="bottom"/>
            <w:tcBorders>
              <w:bottom w:val="single" w:sz="8" w:color="auto"/>
            </w:tcBorders>
          </w:tcPr>
          <w:p>
            <w:pPr>
              <w:spacing w:after="0"/>
              <w:rPr>
                <w:sz w:val="18"/>
                <w:szCs w:val="18"/>
                <w:color w:val="auto"/>
              </w:rPr>
            </w:pPr>
          </w:p>
        </w:tc>
      </w:tr>
      <w:tr>
        <w:trPr>
          <w:trHeight w:val="211"/>
        </w:trPr>
        <w:tc>
          <w:tcPr>
            <w:tcW w:w="644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540" w:type="dxa"/>
            <w:vAlign w:val="bottom"/>
            <w:tcBorders>
              <w:bottom w:val="single" w:sz="8" w:color="auto"/>
            </w:tcBorders>
          </w:tcPr>
          <w:p>
            <w:pPr>
              <w:spacing w:after="0"/>
              <w:rPr>
                <w:sz w:val="18"/>
                <w:szCs w:val="18"/>
                <w:color w:val="auto"/>
              </w:rPr>
            </w:pPr>
          </w:p>
        </w:tc>
      </w:tr>
      <w:tr>
        <w:trPr>
          <w:trHeight w:val="211"/>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Affiliate reimbursement (1)</w:t>
            </w:r>
          </w:p>
        </w:tc>
        <w:tc>
          <w:tcPr>
            <w:tcW w:w="1760" w:type="dxa"/>
            <w:vAlign w:val="bottom"/>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Servicing fees</w:t>
            </w:r>
          </w:p>
        </w:tc>
        <w:tc>
          <w:tcPr>
            <w:tcW w:w="17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w:t>
            </w: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loan asset management fees</w:t>
            </w:r>
          </w:p>
        </w:tc>
        <w:tc>
          <w:tcPr>
            <w:tcW w:w="17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r>
      <w:tr>
        <w:trPr>
          <w:trHeight w:val="21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Trustee and bank fees</w:t>
            </w:r>
          </w:p>
        </w:tc>
        <w:tc>
          <w:tcPr>
            <w:tcW w:w="17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04"/>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Investment related expenses</w:t>
            </w:r>
          </w:p>
        </w:tc>
        <w:tc>
          <w:tcPr>
            <w:tcW w:w="1760" w:type="dxa"/>
            <w:vAlign w:val="bottom"/>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4,298</w:t>
            </w:r>
          </w:p>
        </w:tc>
        <w:tc>
          <w:tcPr>
            <w:tcW w:w="100" w:type="dxa"/>
            <w:vAlign w:val="bottom"/>
          </w:tcPr>
          <w:p>
            <w:pPr>
              <w:spacing w:after="0"/>
              <w:rPr>
                <w:sz w:val="17"/>
                <w:szCs w:val="17"/>
                <w:color w:val="auto"/>
              </w:rPr>
            </w:pPr>
          </w:p>
        </w:tc>
        <w:tc>
          <w:tcPr>
            <w:tcW w:w="1740" w:type="dxa"/>
            <w:vAlign w:val="bottom"/>
          </w:tcPr>
          <w:p>
            <w:pPr>
              <w:jc w:val="right"/>
              <w:ind w:right="157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w:t>
            </w:r>
          </w:p>
        </w:tc>
      </w:tr>
    </w:tbl>
    <w:p>
      <w:pPr>
        <w:spacing w:after="0" w:line="82" w:lineRule="exact"/>
        <w:rPr>
          <w:sz w:val="20"/>
          <w:szCs w:val="20"/>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are required to reimburse our Manager or its affiliates for operating expenses incurred by our Manager or its affiliates on our behalf associated with our investment portfolio.</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related expenses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related expenses generally includes expenses associated with purchasing and securitizing residential mortgage loans. However, during the three months ended March 31, 2026, the expenses primarily consisted of $0.2 million related to legacy WMC commercial loan expenses and $0.2 million related to expenses associated with our “at-the-market” equity offering program. During the three months ended March 31, 2025, the expenses were primarily related to the execution of one rated securitization.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earnings/(loss) from affiliates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Equity in earnings/(loss) from affiliates represents our share of earnings and profits of investments held within affiliated entities. Substantially all of these investments are comprised of real estate securities, loans, and our investment in AG Arc which holds our investment in Arc Home. The below tables summarize the components of the "Equity in earnings/(loss) from affiliates" line item on our consolidated statements of operations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20" w:type="dxa"/>
            <w:vAlign w:val="bottom"/>
            <w:tcBorders>
              <w:bottom w:val="single" w:sz="8" w:color="auto"/>
            </w:tcBorders>
          </w:tcPr>
          <w:p>
            <w:pPr>
              <w:spacing w:after="0"/>
              <w:rPr>
                <w:sz w:val="18"/>
                <w:szCs w:val="18"/>
                <w:color w:val="auto"/>
              </w:rPr>
            </w:pPr>
          </w:p>
        </w:tc>
      </w:tr>
      <w:tr>
        <w:trPr>
          <w:trHeight w:val="211"/>
        </w:trPr>
        <w:tc>
          <w:tcPr>
            <w:tcW w:w="602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11"/>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MATT Non-QM Securities</w:t>
            </w:r>
          </w:p>
        </w:tc>
        <w:tc>
          <w:tcPr>
            <w:tcW w:w="1800" w:type="dxa"/>
            <w:vAlign w:val="bottom"/>
            <w:shd w:val="clear" w:color="auto" w:fill="CCEEFF"/>
          </w:tcPr>
          <w:p>
            <w:pPr>
              <w:jc w:val="right"/>
              <w:ind w:right="16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Re/Non-Performing Securities</w:t>
            </w:r>
          </w:p>
        </w:tc>
        <w:tc>
          <w:tcPr>
            <w:tcW w:w="18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 Arc (1)</w:t>
            </w:r>
          </w:p>
        </w:tc>
        <w:tc>
          <w:tcPr>
            <w:tcW w:w="18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w:t>
            </w:r>
          </w:p>
        </w:tc>
      </w:tr>
      <w:tr>
        <w:trPr>
          <w:trHeight w:val="204"/>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earnings/(loss) from affiliates</w:t>
            </w:r>
          </w:p>
        </w:tc>
        <w:tc>
          <w:tcPr>
            <w:tcW w:w="1800" w:type="dxa"/>
            <w:vAlign w:val="bottom"/>
          </w:tcPr>
          <w:p>
            <w:pPr>
              <w:jc w:val="right"/>
              <w:ind w:right="16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17"/>
                <w:szCs w:val="17"/>
                <w:color w:val="auto"/>
              </w:rPr>
            </w:pP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w:t>
            </w:r>
          </w:p>
        </w:tc>
      </w:tr>
    </w:tbl>
    <w:p>
      <w:pPr>
        <w:spacing w:after="0" w:line="86"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August 1, 2025, our allocation of AG Arc’s earnings is 66.0%. For all prior periods, our allocation of AG Arc’s earnings was 44.6%.</w:t>
      </w:r>
    </w:p>
    <w:p>
      <w:pPr>
        <w:spacing w:after="0" w:line="311"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0" w:name="page51"/>
    <w:bookmarkEnd w:id="50"/>
    <w:p>
      <w:pPr>
        <w:ind w:right="20"/>
        <w:spacing w:after="0" w:line="275" w:lineRule="auto"/>
        <w:rPr>
          <w:sz w:val="20"/>
          <w:szCs w:val="20"/>
          <w:color w:val="auto"/>
        </w:rPr>
      </w:pPr>
      <w:r>
        <w:rPr>
          <w:rFonts w:ascii="Times New Roman" w:cs="Times New Roman" w:eastAsia="Times New Roman" w:hAnsi="Times New Roman"/>
          <w:sz w:val="18"/>
          <w:szCs w:val="18"/>
          <w:color w:val="auto"/>
        </w:rPr>
        <w:t>The below table breaks out the components in the "Equity in earnings/(loss) from affiliates" line item on our consolidated statements of operations (in thousands).</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6860" w:type="dxa"/>
            <w:vAlign w:val="bottom"/>
          </w:tcPr>
          <w:p>
            <w:pPr>
              <w:spacing w:after="0"/>
              <w:rPr>
                <w:sz w:val="18"/>
                <w:szCs w:val="18"/>
                <w:color w:val="auto"/>
              </w:rPr>
            </w:pPr>
          </w:p>
        </w:tc>
        <w:tc>
          <w:tcPr>
            <w:tcW w:w="376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Borders>
              <w:bottom w:val="single" w:sz="8" w:color="auto"/>
            </w:tcBorders>
          </w:tcPr>
          <w:p>
            <w:pPr>
              <w:spacing w:after="0"/>
              <w:rPr>
                <w:sz w:val="18"/>
                <w:szCs w:val="18"/>
                <w:color w:val="auto"/>
              </w:rPr>
            </w:pPr>
          </w:p>
        </w:tc>
      </w:tr>
      <w:tr>
        <w:trPr>
          <w:trHeight w:val="211"/>
        </w:trPr>
        <w:tc>
          <w:tcPr>
            <w:tcW w:w="686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480" w:type="dxa"/>
            <w:vAlign w:val="bottom"/>
            <w:tcBorders>
              <w:bottom w:val="single" w:sz="8" w:color="auto"/>
            </w:tcBorders>
          </w:tcPr>
          <w:p>
            <w:pPr>
              <w:spacing w:after="0"/>
              <w:rPr>
                <w:sz w:val="18"/>
                <w:szCs w:val="18"/>
                <w:color w:val="auto"/>
              </w:rPr>
            </w:pPr>
          </w:p>
        </w:tc>
      </w:tr>
      <w:tr>
        <w:trPr>
          <w:trHeight w:val="211"/>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1600" w:type="dxa"/>
            <w:vAlign w:val="bottom"/>
            <w:shd w:val="clear" w:color="auto" w:fill="CCEEFF"/>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r>
      <w:tr>
        <w:trPr>
          <w:trHeight w:val="213"/>
        </w:trPr>
        <w:tc>
          <w:tcPr>
            <w:tcW w:w="6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6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68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Net Interest Income (1)</w:t>
            </w:r>
          </w:p>
        </w:tc>
        <w:tc>
          <w:tcPr>
            <w:tcW w:w="16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r>
      <w:tr>
        <w:trPr>
          <w:trHeight w:val="256"/>
        </w:trPr>
        <w:tc>
          <w:tcPr>
            <w:tcW w:w="68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unrealized gain/(loss)</w:t>
            </w:r>
          </w:p>
        </w:tc>
        <w:tc>
          <w:tcPr>
            <w:tcW w:w="16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w:t>
            </w:r>
          </w:p>
        </w:tc>
      </w:tr>
      <w:tr>
        <w:trPr>
          <w:trHeight w:val="213"/>
        </w:trPr>
        <w:tc>
          <w:tcPr>
            <w:tcW w:w="6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operating expenses (1)</w:t>
            </w:r>
          </w:p>
        </w:tc>
        <w:tc>
          <w:tcPr>
            <w:tcW w:w="16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MATT Non-QM Securities and Re/Non Performing Securities (2)</w:t>
            </w:r>
          </w:p>
        </w:tc>
        <w:tc>
          <w:tcPr>
            <w:tcW w:w="16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57"/>
        </w:trPr>
        <w:tc>
          <w:tcPr>
            <w:tcW w:w="68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operating income/(loss) from AG Arc (1) (3)</w:t>
            </w:r>
          </w:p>
        </w:tc>
        <w:tc>
          <w:tcPr>
            <w:tcW w:w="16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3"/>
        </w:trPr>
        <w:tc>
          <w:tcPr>
            <w:tcW w:w="6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income/(loss) from AG Arc (3)</w:t>
            </w:r>
          </w:p>
        </w:tc>
        <w:tc>
          <w:tcPr>
            <w:tcW w:w="1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9"/>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Unrealized gain/(loss) on investment in AG Arc (4)</w:t>
            </w:r>
          </w:p>
        </w:tc>
        <w:tc>
          <w:tcPr>
            <w:tcW w:w="16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w:t>
            </w:r>
          </w:p>
        </w:tc>
      </w:tr>
      <w:tr>
        <w:trPr>
          <w:trHeight w:val="213"/>
        </w:trPr>
        <w:tc>
          <w:tcPr>
            <w:tcW w:w="6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Elimination of gains on loans sold from AG Arc to MITT (1) (5)</w:t>
            </w:r>
          </w:p>
        </w:tc>
        <w:tc>
          <w:tcPr>
            <w:tcW w:w="16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AG Arc Earnings/(Loss)</w:t>
            </w:r>
          </w:p>
        </w:tc>
        <w:tc>
          <w:tcPr>
            <w:tcW w:w="16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8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w:t>
            </w: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 in earnings/(loss) from affiliates</w:t>
            </w:r>
          </w:p>
        </w:tc>
        <w:tc>
          <w:tcPr>
            <w:tcW w:w="1600" w:type="dxa"/>
            <w:vAlign w:val="bottom"/>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tcPr>
          <w:p>
            <w:pPr>
              <w:spacing w:after="0"/>
              <w:rPr>
                <w:sz w:val="17"/>
                <w:szCs w:val="17"/>
                <w:color w:val="auto"/>
              </w:rPr>
            </w:pPr>
          </w:p>
        </w:tc>
        <w:tc>
          <w:tcPr>
            <w:tcW w:w="1600" w:type="dxa"/>
            <w:vAlign w:val="bottom"/>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w:t>
            </w:r>
          </w:p>
        </w:tc>
      </w:tr>
    </w:tbl>
    <w:p>
      <w:pPr>
        <w:spacing w:after="0" w:line="86"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items included in Earnings Available for Distribution. Refer to the “Earnings Available for Distribution” section below for further detail.</w:t>
      </w:r>
    </w:p>
    <w:p>
      <w:pPr>
        <w:spacing w:after="0" w:line="23"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represents earnings/(loss) from our investment in MATT Non-QM Securities.</w:t>
      </w:r>
    </w:p>
    <w:p>
      <w:pPr>
        <w:spacing w:after="0" w:line="5" w:lineRule="exact"/>
        <w:rPr>
          <w:rFonts w:ascii="Times New Roman" w:cs="Times New Roman" w:eastAsia="Times New Roman" w:hAnsi="Times New Roman"/>
          <w:sz w:val="16"/>
          <w:szCs w:val="16"/>
          <w:color w:val="auto"/>
        </w:rPr>
      </w:pPr>
    </w:p>
    <w:p>
      <w:pPr>
        <w:jc w:val="both"/>
        <w:ind w:left="660" w:hanging="328"/>
        <w:spacing w:after="0" w:line="253" w:lineRule="auto"/>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operating income/(loss) from AG Arc represents income/(loss) related to Arc Home's lending and servicing operations, net of operating expenses and related current tax expense or benefit. Other income/(loss) from AG Arc represents realized and unrealized changes in the fair value of Arc Home's mortgage servicing rights, transaction related expenses, and other asset impairments, net of related tax expense or benefit.</w:t>
      </w:r>
    </w:p>
    <w:p>
      <w:pPr>
        <w:spacing w:after="0" w:line="1" w:lineRule="exact"/>
        <w:rPr>
          <w:rFonts w:ascii="Times New Roman" w:cs="Times New Roman" w:eastAsia="Times New Roman" w:hAnsi="Times New Roman"/>
          <w:sz w:val="16"/>
          <w:szCs w:val="16"/>
          <w:color w:val="auto"/>
        </w:rPr>
      </w:pPr>
    </w:p>
    <w:p>
      <w:pPr>
        <w:jc w:val="both"/>
        <w:ind w:left="660" w:hanging="328"/>
        <w:spacing w:after="0" w:line="253" w:lineRule="auto"/>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2026, the fair value of our investment in Arc Home was calculated using a valuation multiple of 1.05x of book value which increased from 1.025x of book value as of December 31, 2025. As of March 31, 2025, the fair value of our investment in Arc Home was calculated using a valuation multiple of</w:t>
      </w: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1.00x of book value which increased from 0.95x of book value as of December 31, 2024.</w:t>
      </w:r>
    </w:p>
    <w:p>
      <w:pPr>
        <w:spacing w:after="0" w:line="8" w:lineRule="exact"/>
        <w:rPr>
          <w:rFonts w:ascii="Times New Roman" w:cs="Times New Roman" w:eastAsia="Times New Roman" w:hAnsi="Times New Roman"/>
          <w:sz w:val="16"/>
          <w:szCs w:val="16"/>
          <w:color w:val="auto"/>
        </w:rPr>
      </w:pPr>
    </w:p>
    <w:p>
      <w:pPr>
        <w:ind w:left="660" w:hanging="328"/>
        <w:spacing w:after="0" w:line="270" w:lineRule="auto"/>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earnings recognized by AG Arc do not include our portion of gains recorded by Arc Home in connection with the sale of residential mortgage loans to us. Refer to Note 10 to the "Notes to Consolidated Financial Statements (unaudited)" for more information on this accounting policy.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for the three months ended March 31, 2026 relates to taxable income recognized on investments in residential mortgage loans held within our our taxable REIT subsidiary. During the three months ended March 31, 2025, income tax expense represented minimum state and local tax filing fees.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on Preferred Stock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our Series A Preferred Stock, Series B Preferred Stock, and Series C Preferred Stock are entitled to receive cumulative cash dividends at their respective rates per annum on the $25.00 per share liquidation preference for each series. Our Series A Preferred Stock and Series B Preferred Stock have fixed rates of 8.25% and 8.00%, respectively. The initial dividend rate for our Series C Preferred Stock, from issuance through September 16, 2024, was 8.000%. On and after September 17, 2024, dividends on the Series C Preferred Stock accumulate at an annual floating rate of three-month CME Term SOFR (plus a tenor spread adjustment of 0.26161%) plus a spread of 6.476%.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Available for Distribution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One of our objectives is to generate net income from net interest margin on our portfolio, and management uses EAD, as one of several metrics, to help measure our performance against this objective. Management believes that this non-GAAP measure, when considered with our GAAP financial statements, provides supplemental information useful for investors to help evaluate our financial performance. However, management also believes that our definition of EAD has important limitations as it does not include certain earnings or losses our management team considers in evaluating our financial performance. Our presentation of EAD may not be comparable to similarly-titled measures of other companies, who may use different calculations. This non-</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GAAP measure should not be considered a substitute for, or superior to, Net Income/(loss) available to common stockholders or Net income/(loss) per diluted common share calculated in accordance with GAAP. Our GAAP financial results and the reconciliations from these results should be carefully evaluated.</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EAD, a non-GAAP financial measure, as Net Income/(loss) available to common stockholders excluding (i) (a) unrealized gains/(losses) on loans, real estate securities, derivatives and other investments, inclusive of our investment in AG Arc and Arc Home's net mortgage servicing rights, and</w:t>
      </w:r>
    </w:p>
    <w:p>
      <w:pPr>
        <w:jc w:val="both"/>
        <w:ind w:firstLine="8"/>
        <w:spacing w:after="0" w:line="252" w:lineRule="auto"/>
        <w:tabs>
          <w:tab w:leader="none" w:pos="29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realized gains/(losses) on the sale or termination of such instruments, (ii) any transaction related expenses incurred in connection with the acquisition, disposition, or securitization of our investments, (iii) the income tax effect on non-EAD income/(loss) items, and (iv) certain other nonrecurring gains or losses. Items (i) through (iv) above include any amount related to those items held in affiliated entities. EAD includes the net interest income and other income earned on our investments on a yield adjusted basis, including the net interest component of interest rate swaps, TBA dollar roll income/(loss), or any other investment activity that may earn or pay net interest or its economic equivalent. Additionally, EAD includes the net operating income/(loss) from Arc Home.</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Transaction related expenses are primarily comprised of costs incurred prior to or at the time of executing our securitizations and acquiring or disposing of residential mortgage loans. These costs are nonrecurring and may include underwriting fees, legal fees, diligence fees, and other similar transaction related expenses. Recurring expenses, such as servicing fees, custodial fees, trustee fees and other similar ongoing fees are not excluded from earnings available for distribution. Management considers the transaction related expenses and income taxes related to non-EAD income/(loss) items to be similar to realized losses incurred at the acquisition, disposition, or securitization of an asset and does not view them as being part of its core operations.</w:t>
      </w:r>
    </w:p>
    <w:p>
      <w:pPr>
        <w:spacing w:after="0" w:line="21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 reconciliation of "Net Income/(loss) available to common stockholders" to EAD for three months ended March 31, 2026 and 2025 is set forth below (in thousands, except per share data).</w:t>
      </w:r>
    </w:p>
    <w:p>
      <w:pPr>
        <w:spacing w:after="0" w:line="1" w:lineRule="exact"/>
        <w:rPr>
          <w:sz w:val="20"/>
          <w:szCs w:val="20"/>
          <w:color w:val="auto"/>
        </w:rPr>
      </w:pPr>
    </w:p>
    <w:tbl>
      <w:tblPr>
        <w:tblLayout w:type="fixed"/>
        <w:tblInd w:w="380" w:type="dxa"/>
        <w:tblCellMar>
          <w:top w:w="0" w:type="dxa"/>
          <w:left w:w="0" w:type="dxa"/>
          <w:bottom w:w="0" w:type="dxa"/>
          <w:right w:w="0" w:type="dxa"/>
        </w:tblCellMar>
      </w:tblPr>
      <w:tr>
        <w:trPr>
          <w:trHeight w:val="215"/>
        </w:trPr>
        <w:tc>
          <w:tcPr>
            <w:tcW w:w="5860" w:type="dxa"/>
            <w:vAlign w:val="bottom"/>
          </w:tcPr>
          <w:p>
            <w:pPr>
              <w:spacing w:after="0"/>
              <w:rPr>
                <w:sz w:val="18"/>
                <w:szCs w:val="18"/>
                <w:color w:val="auto"/>
              </w:rPr>
            </w:pPr>
          </w:p>
        </w:tc>
        <w:tc>
          <w:tcPr>
            <w:tcW w:w="4080" w:type="dxa"/>
            <w:vAlign w:val="bottom"/>
            <w:tcBorders>
              <w:bottom w:val="single" w:sz="8" w:color="auto"/>
            </w:tcBorders>
            <w:gridSpan w:val="4"/>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60" w:type="dxa"/>
            <w:vAlign w:val="bottom"/>
            <w:tcBorders>
              <w:bottom w:val="single" w:sz="8" w:color="auto"/>
            </w:tcBorders>
          </w:tcPr>
          <w:p>
            <w:pPr>
              <w:spacing w:after="0"/>
              <w:rPr>
                <w:sz w:val="18"/>
                <w:szCs w:val="18"/>
                <w:color w:val="auto"/>
              </w:rPr>
            </w:pPr>
          </w:p>
        </w:tc>
      </w:tr>
      <w:tr>
        <w:trPr>
          <w:trHeight w:val="211"/>
        </w:trPr>
        <w:tc>
          <w:tcPr>
            <w:tcW w:w="586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560" w:type="dxa"/>
            <w:vAlign w:val="bottom"/>
            <w:tcBorders>
              <w:bottom w:val="single" w:sz="8" w:color="auto"/>
            </w:tcBorders>
          </w:tcPr>
          <w:p>
            <w:pPr>
              <w:spacing w:after="0"/>
              <w:rPr>
                <w:sz w:val="18"/>
                <w:szCs w:val="18"/>
                <w:color w:val="auto"/>
              </w:rPr>
            </w:pPr>
          </w:p>
        </w:tc>
      </w:tr>
      <w:tr>
        <w:trPr>
          <w:trHeight w:val="21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Income/(loss) available to common stockholders</w:t>
            </w:r>
          </w:p>
        </w:tc>
        <w:tc>
          <w:tcPr>
            <w:tcW w:w="1720" w:type="dxa"/>
            <w:vAlign w:val="bottom"/>
            <w:shd w:val="clear" w:color="auto" w:fill="CCEEFF"/>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(8,715)</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6,173</w:t>
            </w: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(Deduct):</w:t>
            </w: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9"/>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realized (gain)/loss</w:t>
            </w:r>
          </w:p>
        </w:tc>
        <w:tc>
          <w:tcPr>
            <w:tcW w:w="1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5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unrealized (gain)/loss</w:t>
            </w:r>
          </w:p>
        </w:tc>
        <w:tc>
          <w:tcPr>
            <w:tcW w:w="1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16,460</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r>
      <w:tr>
        <w:trPr>
          <w:trHeight w:val="219"/>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Transaction related expenses (1)</w:t>
            </w:r>
          </w:p>
        </w:tc>
        <w:tc>
          <w:tcPr>
            <w:tcW w:w="1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r>
      <w:tr>
        <w:trPr>
          <w:trHeight w:val="213"/>
        </w:trPr>
        <w:tc>
          <w:tcPr>
            <w:tcW w:w="5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Equity in (earnings)/loss from affiliates</w:t>
            </w:r>
          </w:p>
        </w:tc>
        <w:tc>
          <w:tcPr>
            <w:tcW w:w="1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w:t>
            </w:r>
          </w:p>
        </w:tc>
      </w:tr>
      <w:tr>
        <w:trPr>
          <w:trHeight w:val="219"/>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EAD from equity method investments (2)</w:t>
            </w:r>
          </w:p>
        </w:tc>
        <w:tc>
          <w:tcPr>
            <w:tcW w:w="17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8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r>
      <w:tr>
        <w:trPr>
          <w:trHeight w:val="207"/>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available for distribution</w:t>
            </w:r>
          </w:p>
        </w:tc>
        <w:tc>
          <w:tcPr>
            <w:tcW w:w="1720" w:type="dxa"/>
            <w:vAlign w:val="bottom"/>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8,127</w:t>
            </w:r>
          </w:p>
        </w:tc>
        <w:tc>
          <w:tcPr>
            <w:tcW w:w="80" w:type="dxa"/>
            <w:vAlign w:val="bottom"/>
          </w:tcPr>
          <w:p>
            <w:pPr>
              <w:spacing w:after="0"/>
              <w:rPr>
                <w:sz w:val="17"/>
                <w:szCs w:val="17"/>
                <w:color w:val="auto"/>
              </w:rPr>
            </w:pPr>
          </w:p>
        </w:tc>
        <w:tc>
          <w:tcPr>
            <w:tcW w:w="1720" w:type="dxa"/>
            <w:vAlign w:val="bottom"/>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5,982</w:t>
            </w:r>
          </w:p>
        </w:tc>
      </w:tr>
      <w:tr>
        <w:trPr>
          <w:trHeight w:val="151"/>
        </w:trPr>
        <w:tc>
          <w:tcPr>
            <w:tcW w:w="58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210"/>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available for distribution, per Diluted Share</w:t>
            </w:r>
          </w:p>
        </w:tc>
        <w:tc>
          <w:tcPr>
            <w:tcW w:w="1720" w:type="dxa"/>
            <w:vAlign w:val="bottom"/>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80" w:type="dxa"/>
            <w:vAlign w:val="bottom"/>
          </w:tcPr>
          <w:p>
            <w:pPr>
              <w:spacing w:after="0"/>
              <w:rPr>
                <w:sz w:val="18"/>
                <w:szCs w:val="18"/>
                <w:color w:val="auto"/>
              </w:rPr>
            </w:pPr>
          </w:p>
        </w:tc>
        <w:tc>
          <w:tcPr>
            <w:tcW w:w="1720" w:type="dxa"/>
            <w:vAlign w:val="bottom"/>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r>
    </w:tbl>
    <w:p>
      <w:pPr>
        <w:spacing w:after="0" w:line="86" w:lineRule="exact"/>
        <w:rPr>
          <w:sz w:val="20"/>
          <w:szCs w:val="20"/>
          <w:color w:val="auto"/>
        </w:rPr>
      </w:pPr>
    </w:p>
    <w:p>
      <w:pPr>
        <w:ind w:left="660" w:hanging="328"/>
        <w:spacing w:after="0" w:line="271" w:lineRule="auto"/>
        <w:tabs>
          <w:tab w:leader="none" w:pos="6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presents additional detail related to transaction related expenses excluded from EAD (in thousands). The interest expense line item relates to the amortization of deferred financing costs and the income tax expense line item relates to taxes incurred on items excluded from EAD, as defined above.</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2"/>
        </w:trPr>
        <w:tc>
          <w:tcPr>
            <w:tcW w:w="45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gridSpan w:val="4"/>
          </w:tcPr>
          <w:p>
            <w:pPr>
              <w:jc w:val="right"/>
              <w:ind w:right="137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line item:</w:t>
            </w:r>
          </w:p>
        </w:tc>
        <w:tc>
          <w:tcPr>
            <w:tcW w:w="320" w:type="dxa"/>
            <w:vAlign w:val="bottom"/>
          </w:tcPr>
          <w:p>
            <w:pPr>
              <w:spacing w:after="0"/>
              <w:rPr>
                <w:sz w:val="18"/>
                <w:szCs w:val="18"/>
                <w:color w:val="auto"/>
              </w:rPr>
            </w:pP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20" w:type="dxa"/>
            <w:vAlign w:val="bottom"/>
          </w:tcPr>
          <w:p>
            <w:pPr>
              <w:spacing w:after="0"/>
              <w:rPr>
                <w:sz w:val="18"/>
                <w:szCs w:val="18"/>
                <w:color w:val="auto"/>
              </w:rPr>
            </w:pPr>
          </w:p>
        </w:tc>
        <w:tc>
          <w:tcPr>
            <w:tcW w:w="182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11"/>
        </w:trPr>
        <w:tc>
          <w:tcPr>
            <w:tcW w:w="45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Transaction related expenses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w:t>
            </w:r>
          </w:p>
        </w:tc>
      </w:tr>
      <w:tr>
        <w:trPr>
          <w:trHeight w:val="213"/>
        </w:trPr>
        <w:tc>
          <w:tcPr>
            <w:tcW w:w="4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9"/>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related expenses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w:t>
            </w:r>
          </w:p>
        </w:tc>
      </w:tr>
    </w:tbl>
    <w:p>
      <w:pPr>
        <w:spacing w:after="0" w:line="86" w:lineRule="exact"/>
        <w:rPr>
          <w:sz w:val="20"/>
          <w:szCs w:val="20"/>
          <w:color w:val="auto"/>
        </w:rPr>
      </w:pPr>
    </w:p>
    <w:p>
      <w:pPr>
        <w:ind w:left="660" w:hanging="328"/>
        <w:spacing w:after="0" w:line="280" w:lineRule="auto"/>
        <w:tabs>
          <w:tab w:leader="none" w:pos="6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presents additional detail related to EAD from equity method investments (in thousands). Refer to the “Equity in earnings/(loss) from affiliates” section within the “Results of Operations” above for additional detail.</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3940" w:type="dxa"/>
            <w:vAlign w:val="bottom"/>
            <w:tcBorders>
              <w:bottom w:val="single" w:sz="8" w:color="auto"/>
            </w:tcBorders>
            <w:gridSpan w:val="4"/>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Borders>
              <w:bottom w:val="single" w:sz="8" w:color="auto"/>
            </w:tcBorders>
          </w:tcPr>
          <w:p>
            <w:pPr>
              <w:spacing w:after="0"/>
              <w:rPr>
                <w:sz w:val="18"/>
                <w:szCs w:val="18"/>
                <w:color w:val="auto"/>
              </w:rPr>
            </w:pPr>
          </w:p>
        </w:tc>
      </w:tr>
      <w:tr>
        <w:trPr>
          <w:trHeight w:val="211"/>
        </w:trPr>
        <w:tc>
          <w:tcPr>
            <w:tcW w:w="46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420" w:type="dxa"/>
            <w:vAlign w:val="bottom"/>
            <w:tcBorders>
              <w:bottom w:val="single" w:sz="8" w:color="auto"/>
            </w:tcBorders>
          </w:tcPr>
          <w:p>
            <w:pPr>
              <w:spacing w:after="0"/>
              <w:rPr>
                <w:sz w:val="18"/>
                <w:szCs w:val="18"/>
                <w:color w:val="auto"/>
              </w:rPr>
            </w:pPr>
          </w:p>
        </w:tc>
      </w:tr>
      <w:tr>
        <w:trPr>
          <w:trHeight w:val="211"/>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interest income</w:t>
            </w:r>
          </w:p>
        </w:tc>
        <w:tc>
          <w:tcPr>
            <w:tcW w:w="1660" w:type="dxa"/>
            <w:vAlign w:val="bottom"/>
            <w:shd w:val="clear" w:color="auto" w:fill="CCEEFF"/>
          </w:tcPr>
          <w:p>
            <w:pPr>
              <w:jc w:val="right"/>
              <w:ind w:right="14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681</w:t>
            </w:r>
          </w:p>
        </w:tc>
      </w:tr>
      <w:tr>
        <w:trPr>
          <w:trHeight w:val="213"/>
        </w:trPr>
        <w:tc>
          <w:tcPr>
            <w:tcW w:w="4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6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(41)</w:t>
            </w:r>
          </w:p>
        </w:tc>
      </w:tr>
      <w:tr>
        <w:trPr>
          <w:trHeight w:val="219"/>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operating income/(loss) from AG Arc</w:t>
            </w:r>
          </w:p>
        </w:tc>
        <w:tc>
          <w:tcPr>
            <w:tcW w:w="16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110</w:t>
            </w:r>
          </w:p>
        </w:tc>
      </w:tr>
      <w:tr>
        <w:trPr>
          <w:trHeight w:val="213"/>
        </w:trPr>
        <w:tc>
          <w:tcPr>
            <w:tcW w:w="4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Elimination of gains on loans sold from AG Arc to MITT</w:t>
            </w:r>
          </w:p>
        </w:tc>
        <w:tc>
          <w:tcPr>
            <w:tcW w:w="1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(88)</w:t>
            </w:r>
          </w:p>
        </w:tc>
      </w:tr>
      <w:tr>
        <w:trPr>
          <w:trHeight w:val="21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EAD from equity method investments</w:t>
            </w:r>
          </w:p>
        </w:tc>
        <w:tc>
          <w:tcPr>
            <w:tcW w:w="1660" w:type="dxa"/>
            <w:vAlign w:val="bottom"/>
            <w:shd w:val="clear" w:color="auto" w:fill="CCEEFF"/>
          </w:tcPr>
          <w:p>
            <w:pPr>
              <w:jc w:val="right"/>
              <w:ind w:right="14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662</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Investment activities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activities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aim to allocate capital to investment opportunities with attractive risk/return profiles in our target asset classes. Our investment activities primarily include acquiring and securitizing newly-originated residential mortgage loans. We finance our acquired loans through various financing lines on a short-term basis and securitize the loans to obtain long-term, non-recourse, non-mark-to-market financing as market conditions permit. We may also invest in Agency RMBS to utilize excess liquidity. Our investment and capital allocation decisions depend on prevailing market conditions and compliance with Investment Company Act and REIT tests, among other factors, and may change over time in response to opportunities available in different economic and capital market environments. As a result, in reacting to market conditions and taking into account a variety of other factors, including liquidity, duration, and interest rate expectations, the mix of our assets changes over time as we deploy capital. We actively evaluate our investments based on factors including, among others, the characteristics of the underlying collateral, geography, expected return, expected future prepayment trends, supply of and demand for our investments, costs of financing, costs of hedging, expected future interest rate volatility, and the overall shape of the U.S. Treasury and interest rate swap yield curves.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interest margin and leverage ratio</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margin and leverage ratio are metrics that management believes should be considered when evaluating the performance of our investment portfolio. Net interest margin provides investors visibility into our profitability of interest income versus interest expense including the net effect of our interest rate swaps for insight into earnings available for distribution.</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GAAP net interest margin and non-GAAP net interest margin, a non-GAAP financial measure, are calculated by subtracting the weighted average cost of funds from the weighted average yield for our GAAP investment portfolio and our investment portfolio, respectively. The weighted average yield represents an effective interest rate on our cost basis, which utilizes all estimates of future cash flows and adjusts for actual prepayment and cash flow activity as of quarter-end. The calculation of weighted average yield is weighted on amortized cost at quarter-end. The weighted average cost of funds is the sum of the weighted average funding costs on total financing arrangements outstanding at quarter-end, including all non-recourse financing arrangements, and our weighted average hedging cost or benefit, which is the weighted average of the net pay or receive rates on our interest rate swaps. GAAP and non-GAAP cost of funds are weighted by the outstanding financing arrangements on our GAAP investment portfolio and our investment portfolio, respectively, and the amortized cost of securitized debt and senior unsecured notes at quarter-end.</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leverage ratio is determined by our portfolio mix as well as many additional factors, including the liquidity of our portfolio, the availability and price of our financing, the available capacity to finance our assets, and anticipated regulatory developments. See the "Financing activities" section below for more detail on our leverage ratio.</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color w:val="auto"/>
        </w:rPr>
        <w:t>Investment portfolio</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Investment Portfolio, inclusive of net interest margin and leverage ratios, as of March 31, 2026 and a reconciliation of these metrics on our Investment Portfolio to their respective metrics on our GAAP Investment Portfolio ($ in thousands).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3"/>
                <w:szCs w:val="13"/>
                <w:b w:val="1"/>
                <w:bCs w:val="1"/>
                <w:color w:val="auto"/>
              </w:rPr>
              <w:t>Securitized Debt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100" w:type="dxa"/>
            <w:vAlign w:val="bottom"/>
            <w:vMerge w:val="restart"/>
          </w:tcPr>
          <w:p>
            <w:pPr>
              <w:ind w:left="740"/>
              <w:spacing w:after="0"/>
              <w:rPr>
                <w:sz w:val="20"/>
                <w:szCs w:val="20"/>
                <w:color w:val="auto"/>
              </w:rPr>
            </w:pPr>
            <w:r>
              <w:rPr>
                <w:rFonts w:ascii="Times New Roman" w:cs="Times New Roman" w:eastAsia="Times New Roman" w:hAnsi="Times New Roman"/>
                <w:sz w:val="13"/>
                <w:szCs w:val="13"/>
                <w:b w:val="1"/>
                <w:bCs w:val="1"/>
                <w:color w:val="auto"/>
              </w:rPr>
              <w:t>Instrument</w:t>
            </w:r>
          </w:p>
        </w:tc>
        <w:tc>
          <w:tcPr>
            <w:tcW w:w="10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00" w:type="dxa"/>
            <w:vAlign w:val="bottom"/>
          </w:tcPr>
          <w:p>
            <w:pPr>
              <w:spacing w:after="0"/>
              <w:rPr>
                <w:sz w:val="15"/>
                <w:szCs w:val="15"/>
                <w:color w:val="auto"/>
              </w:rPr>
            </w:pPr>
          </w:p>
        </w:tc>
        <w:tc>
          <w:tcPr>
            <w:tcW w:w="720" w:type="dxa"/>
            <w:vAlign w:val="bottom"/>
            <w:vMerge w:val="restart"/>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100" w:type="dxa"/>
            <w:vAlign w:val="bottom"/>
            <w:vMerge w:val="restart"/>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Yield (a)(b)</w:t>
            </w:r>
          </w:p>
        </w:tc>
        <w:tc>
          <w:tcPr>
            <w:tcW w:w="10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00" w:type="dxa"/>
            <w:vAlign w:val="bottom"/>
          </w:tcPr>
          <w:p>
            <w:pPr>
              <w:spacing w:after="0"/>
              <w:rPr>
                <w:sz w:val="15"/>
                <w:szCs w:val="15"/>
                <w:color w:val="auto"/>
              </w:rPr>
            </w:pPr>
          </w:p>
        </w:tc>
        <w:tc>
          <w:tcPr>
            <w:tcW w:w="720" w:type="dxa"/>
            <w:vAlign w:val="bottom"/>
            <w:vMerge w:val="restart"/>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10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Financing</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Cost of</w:t>
            </w:r>
          </w:p>
        </w:tc>
        <w:tc>
          <w:tcPr>
            <w:tcW w:w="8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Allocated</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Net Interest</w:t>
            </w:r>
          </w:p>
        </w:tc>
        <w:tc>
          <w:tcPr>
            <w:tcW w:w="7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Leverage</w:t>
            </w:r>
          </w:p>
        </w:tc>
        <w:tc>
          <w:tcPr>
            <w:tcW w:w="0" w:type="dxa"/>
            <w:vAlign w:val="bottom"/>
          </w:tcPr>
          <w:p>
            <w:pPr>
              <w:spacing w:after="0"/>
              <w:rPr>
                <w:sz w:val="1"/>
                <w:szCs w:val="1"/>
                <w:color w:val="auto"/>
              </w:rPr>
            </w:pPr>
          </w:p>
        </w:tc>
      </w:tr>
      <w:tr>
        <w:trPr>
          <w:trHeight w:val="171"/>
        </w:trPr>
        <w:tc>
          <w:tcPr>
            <w:tcW w:w="2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rPr>
              <w:t>Arrangements</w:t>
            </w: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Funds (c)</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Equity (d)</w:t>
            </w: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Margin</w:t>
            </w: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Ratio (e)</w:t>
            </w:r>
          </w:p>
        </w:tc>
        <w:tc>
          <w:tcPr>
            <w:tcW w:w="0" w:type="dxa"/>
            <w:vAlign w:val="bottom"/>
          </w:tcPr>
          <w:p>
            <w:pPr>
              <w:spacing w:after="0"/>
              <w:rPr>
                <w:sz w:val="1"/>
                <w:szCs w:val="1"/>
                <w:color w:val="auto"/>
              </w:rPr>
            </w:pPr>
          </w:p>
        </w:tc>
      </w:tr>
      <w:tr>
        <w:trPr>
          <w:trHeight w:val="184"/>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Investments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Securitized Non-Agency Loans</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6,787,729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6,543,261</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5.71 %</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6,104,907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5,922,951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415,277</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5.34 %</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205,033</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0.37 %</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2.0x</w:t>
            </w:r>
          </w:p>
        </w:tc>
        <w:tc>
          <w:tcPr>
            <w:tcW w:w="0" w:type="dxa"/>
            <w:vAlign w:val="bottom"/>
          </w:tcPr>
          <w:p>
            <w:pPr>
              <w:spacing w:after="0"/>
              <w:rPr>
                <w:sz w:val="1"/>
                <w:szCs w:val="1"/>
                <w:color w:val="auto"/>
              </w:rPr>
            </w:pPr>
          </w:p>
        </w:tc>
      </w:tr>
      <w:tr>
        <w:trPr>
          <w:trHeight w:val="197"/>
        </w:trPr>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Securitized Home Equity Loans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856,797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864,198</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7.40 %</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735,616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735,458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64,826</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5.57 %</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63,914</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1.83 %</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1.0x</w:t>
            </w:r>
          </w:p>
        </w:tc>
        <w:tc>
          <w:tcPr>
            <w:tcW w:w="0" w:type="dxa"/>
            <w:vAlign w:val="bottom"/>
          </w:tcPr>
          <w:p>
            <w:pPr>
              <w:spacing w:after="0"/>
              <w:rPr>
                <w:sz w:val="1"/>
                <w:szCs w:val="1"/>
                <w:color w:val="auto"/>
              </w:rPr>
            </w:pPr>
          </w:p>
        </w:tc>
      </w:tr>
      <w:tr>
        <w:trPr>
          <w:trHeight w:val="140"/>
        </w:trPr>
        <w:tc>
          <w:tcPr>
            <w:tcW w:w="2200" w:type="dxa"/>
            <w:vAlign w:val="bottom"/>
            <w:gridSpan w:val="2"/>
          </w:tcPr>
          <w:p>
            <w:pPr>
              <w:ind w:left="240"/>
              <w:spacing w:after="0" w:line="140" w:lineRule="exact"/>
              <w:rPr>
                <w:sz w:val="20"/>
                <w:szCs w:val="20"/>
                <w:color w:val="auto"/>
              </w:rPr>
            </w:pPr>
            <w:r>
              <w:rPr>
                <w:rFonts w:ascii="Times New Roman" w:cs="Times New Roman" w:eastAsia="Times New Roman" w:hAnsi="Times New Roman"/>
                <w:sz w:val="13"/>
                <w:szCs w:val="13"/>
                <w:color w:val="auto"/>
              </w:rPr>
              <w:t>Securitized Re/Non-Performing</w:t>
            </w: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143,346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131,289</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6.04 %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94,781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91,299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ind w:right="75"/>
              <w:spacing w:after="0"/>
              <w:rPr>
                <w:sz w:val="20"/>
                <w:szCs w:val="20"/>
                <w:color w:val="auto"/>
              </w:rPr>
            </w:pPr>
            <w:r>
              <w:rPr>
                <w:rFonts w:ascii="Times New Roman" w:cs="Times New Roman" w:eastAsia="Times New Roman" w:hAnsi="Times New Roman"/>
                <w:sz w:val="13"/>
                <w:szCs w:val="13"/>
                <w:color w:val="auto"/>
              </w:rPr>
              <w:t>27,191</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3.97 %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ind w:right="15"/>
              <w:spacing w:after="0"/>
              <w:rPr>
                <w:sz w:val="20"/>
                <w:szCs w:val="20"/>
                <w:color w:val="auto"/>
              </w:rPr>
            </w:pPr>
            <w:r>
              <w:rPr>
                <w:rFonts w:ascii="Times New Roman" w:cs="Times New Roman" w:eastAsia="Times New Roman" w:hAnsi="Times New Roman"/>
                <w:sz w:val="13"/>
                <w:szCs w:val="13"/>
                <w:color w:val="auto"/>
              </w:rPr>
              <w:t>12,799</w:t>
            </w: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2.07 %</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2.1x</w:t>
            </w:r>
          </w:p>
        </w:tc>
        <w:tc>
          <w:tcPr>
            <w:tcW w:w="0" w:type="dxa"/>
            <w:vAlign w:val="bottom"/>
          </w:tcPr>
          <w:p>
            <w:pPr>
              <w:spacing w:after="0"/>
              <w:rPr>
                <w:sz w:val="1"/>
                <w:szCs w:val="1"/>
                <w:color w:val="auto"/>
              </w:rPr>
            </w:pPr>
          </w:p>
        </w:tc>
      </w:tr>
      <w:tr>
        <w:trPr>
          <w:trHeight w:val="169"/>
        </w:trPr>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Loans</w:t>
            </w: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Agency-Eligible Loans</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21,238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21,487</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6.41 %</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19,672</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5.38 %</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1,815</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1.03 %</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10.8x</w:t>
            </w:r>
          </w:p>
        </w:tc>
        <w:tc>
          <w:tcPr>
            <w:tcW w:w="0" w:type="dxa"/>
            <w:vAlign w:val="bottom"/>
          </w:tcPr>
          <w:p>
            <w:pPr>
              <w:spacing w:after="0"/>
              <w:rPr>
                <w:sz w:val="1"/>
                <w:szCs w:val="1"/>
                <w:color w:val="auto"/>
              </w:rPr>
            </w:pPr>
          </w:p>
        </w:tc>
      </w:tr>
      <w:tr>
        <w:trPr>
          <w:trHeight w:val="181"/>
        </w:trPr>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Home Equity Loans</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172,594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173,207</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87,343</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85,864</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1.79 %</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1.0x</w:t>
            </w:r>
          </w:p>
        </w:tc>
        <w:tc>
          <w:tcPr>
            <w:tcW w:w="0" w:type="dxa"/>
            <w:vAlign w:val="bottom"/>
          </w:tcPr>
          <w:p>
            <w:pPr>
              <w:spacing w:after="0"/>
              <w:rPr>
                <w:sz w:val="1"/>
                <w:szCs w:val="1"/>
                <w:color w:val="auto"/>
              </w:rPr>
            </w:pPr>
          </w:p>
        </w:tc>
      </w:tr>
      <w:tr>
        <w:trPr>
          <w:trHeight w:val="197"/>
        </w:trPr>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Non-Agency Loans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32,893</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4.81 %</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27,227</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5.47 %</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5,666</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(0.66)%</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4.8x</w:t>
            </w:r>
          </w:p>
        </w:tc>
        <w:tc>
          <w:tcPr>
            <w:tcW w:w="0" w:type="dxa"/>
            <w:vAlign w:val="bottom"/>
          </w:tcPr>
          <w:p>
            <w:pPr>
              <w:spacing w:after="0"/>
              <w:rPr>
                <w:sz w:val="1"/>
                <w:szCs w:val="1"/>
                <w:color w:val="auto"/>
              </w:rPr>
            </w:pPr>
          </w:p>
        </w:tc>
      </w:tr>
      <w:tr>
        <w:trPr>
          <w:trHeight w:val="181"/>
        </w:trPr>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Residential Whole Loans</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w:t>
            </w:r>
          </w:p>
        </w:tc>
        <w:tc>
          <w:tcPr>
            <w:tcW w:w="100" w:type="dxa"/>
            <w:vAlign w:val="bottom"/>
          </w:tcPr>
          <w:p>
            <w:pPr>
              <w:spacing w:after="0"/>
              <w:rPr>
                <w:sz w:val="15"/>
                <w:szCs w:val="15"/>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NM</w:t>
            </w: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5"/>
                <w:szCs w:val="15"/>
                <w:color w:val="auto"/>
              </w:rPr>
            </w:pP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937</w:t>
            </w:r>
          </w:p>
        </w:tc>
        <w:tc>
          <w:tcPr>
            <w:tcW w:w="80" w:type="dxa"/>
            <w:vAlign w:val="bottom"/>
          </w:tcPr>
          <w:p>
            <w:pPr>
              <w:spacing w:after="0"/>
              <w:rPr>
                <w:sz w:val="15"/>
                <w:szCs w:val="15"/>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NM</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97"/>
        </w:trPr>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Non-Agency RMBS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224,548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230,704</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8.54 %</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154,366</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4.48 %</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76,338</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4.06 %</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1.9x</w:t>
            </w:r>
          </w:p>
        </w:tc>
        <w:tc>
          <w:tcPr>
            <w:tcW w:w="0" w:type="dxa"/>
            <w:vAlign w:val="bottom"/>
          </w:tcPr>
          <w:p>
            <w:pPr>
              <w:spacing w:after="0"/>
              <w:rPr>
                <w:sz w:val="1"/>
                <w:szCs w:val="1"/>
                <w:color w:val="auto"/>
              </w:rPr>
            </w:pPr>
          </w:p>
        </w:tc>
      </w:tr>
      <w:tr>
        <w:trPr>
          <w:trHeight w:val="174"/>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Residential Investments</w:t>
            </w: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8,240,841</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7,997,976</w:t>
            </w:r>
          </w:p>
        </w:tc>
        <w:tc>
          <w:tcPr>
            <w:tcW w:w="10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6.01 %</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6,935,304</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6,749,708</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795,902</w:t>
            </w:r>
          </w:p>
        </w:tc>
        <w:tc>
          <w:tcPr>
            <w:tcW w:w="8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5.33 %</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452,366</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0.68 %</w:t>
            </w:r>
          </w:p>
        </w:tc>
        <w:tc>
          <w:tcPr>
            <w:tcW w:w="10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1.8x</w:t>
            </w:r>
          </w:p>
        </w:tc>
        <w:tc>
          <w:tcPr>
            <w:tcW w:w="0" w:type="dxa"/>
            <w:vAlign w:val="bottom"/>
          </w:tcPr>
          <w:p>
            <w:pPr>
              <w:spacing w:after="0"/>
              <w:rPr>
                <w:sz w:val="1"/>
                <w:szCs w:val="1"/>
                <w:color w:val="auto"/>
              </w:rPr>
            </w:pPr>
          </w:p>
        </w:tc>
      </w:tr>
      <w:tr>
        <w:trPr>
          <w:trHeight w:val="224"/>
        </w:trPr>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Agency RMBS</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15,660</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8.06 %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10,397</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5,263</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3.77 %</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2.0x</w:t>
            </w:r>
          </w:p>
        </w:tc>
        <w:tc>
          <w:tcPr>
            <w:tcW w:w="0" w:type="dxa"/>
            <w:vAlign w:val="bottom"/>
          </w:tcPr>
          <w:p>
            <w:pPr>
              <w:spacing w:after="0"/>
              <w:rPr>
                <w:sz w:val="1"/>
                <w:szCs w:val="1"/>
                <w:color w:val="auto"/>
              </w:rPr>
            </w:pPr>
          </w:p>
        </w:tc>
      </w:tr>
      <w:tr>
        <w:trPr>
          <w:trHeight w:val="224"/>
        </w:trPr>
        <w:tc>
          <w:tcPr>
            <w:tcW w:w="2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10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Legacy WMC Commercial Investments (f)</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Commercial Loans (g)</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51,504</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25,392</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6.43 %</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26,112</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1.0x</w:t>
            </w:r>
          </w:p>
        </w:tc>
        <w:tc>
          <w:tcPr>
            <w:tcW w:w="0" w:type="dxa"/>
            <w:vAlign w:val="bottom"/>
          </w:tcPr>
          <w:p>
            <w:pPr>
              <w:spacing w:after="0"/>
              <w:rPr>
                <w:sz w:val="1"/>
                <w:szCs w:val="1"/>
                <w:color w:val="auto"/>
              </w:rPr>
            </w:pPr>
          </w:p>
        </w:tc>
      </w:tr>
      <w:tr>
        <w:trPr>
          <w:trHeight w:val="183"/>
        </w:trPr>
        <w:tc>
          <w:tcPr>
            <w:tcW w:w="22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3"/>
                <w:szCs w:val="13"/>
                <w:color w:val="auto"/>
              </w:rPr>
              <w:t>CMBS (h)</w:t>
            </w: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46,866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42,250</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16.66 %</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18,540</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5.20 %</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23,710</w:t>
            </w: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11.46 %</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0.8x</w:t>
            </w:r>
          </w:p>
        </w:tc>
        <w:tc>
          <w:tcPr>
            <w:tcW w:w="0" w:type="dxa"/>
            <w:vAlign w:val="bottom"/>
          </w:tcPr>
          <w:p>
            <w:pPr>
              <w:spacing w:after="0"/>
              <w:rPr>
                <w:sz w:val="1"/>
                <w:szCs w:val="1"/>
                <w:color w:val="auto"/>
              </w:rPr>
            </w:pPr>
          </w:p>
        </w:tc>
      </w:tr>
      <w:tr>
        <w:trPr>
          <w:trHeight w:val="124"/>
        </w:trPr>
        <w:tc>
          <w:tcPr>
            <w:tcW w:w="2200" w:type="dxa"/>
            <w:vAlign w:val="bottom"/>
            <w:gridSpan w:val="2"/>
            <w:shd w:val="clear" w:color="auto" w:fill="CCEEFF"/>
          </w:tcPr>
          <w:p>
            <w:pPr>
              <w:ind w:left="20"/>
              <w:spacing w:after="0" w:line="124" w:lineRule="exact"/>
              <w:rPr>
                <w:sz w:val="20"/>
                <w:szCs w:val="20"/>
                <w:color w:val="auto"/>
              </w:rPr>
            </w:pPr>
            <w:r>
              <w:rPr>
                <w:rFonts w:ascii="Times New Roman" w:cs="Times New Roman" w:eastAsia="Times New Roman" w:hAnsi="Times New Roman"/>
                <w:sz w:val="13"/>
                <w:szCs w:val="13"/>
                <w:b w:val="1"/>
                <w:bCs w:val="1"/>
                <w:color w:val="auto"/>
              </w:rPr>
              <w:t>Total Legacy WMC Commercial</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112,885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93,754</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6.92 %</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43,932</w:t>
            </w: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5.91 %</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49,822</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1.01 %</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0.9x</w:t>
            </w:r>
          </w:p>
        </w:tc>
        <w:tc>
          <w:tcPr>
            <w:tcW w:w="0" w:type="dxa"/>
            <w:vAlign w:val="bottom"/>
          </w:tcPr>
          <w:p>
            <w:pPr>
              <w:spacing w:after="0"/>
              <w:rPr>
                <w:sz w:val="1"/>
                <w:szCs w:val="1"/>
                <w:color w:val="auto"/>
              </w:rPr>
            </w:pPr>
          </w:p>
        </w:tc>
      </w:tr>
      <w:tr>
        <w:trPr>
          <w:trHeight w:val="173"/>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Investment Portfolio</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8,369,750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8,107,390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6.03 %</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6,935,304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6,749,708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850,231</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5.33 %</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507,451</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0.70 %</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1.6x</w:t>
            </w:r>
          </w:p>
        </w:tc>
        <w:tc>
          <w:tcPr>
            <w:tcW w:w="0" w:type="dxa"/>
            <w:vAlign w:val="bottom"/>
          </w:tcPr>
          <w:p>
            <w:pPr>
              <w:spacing w:after="0"/>
              <w:rPr>
                <w:sz w:val="1"/>
                <w:szCs w:val="1"/>
                <w:color w:val="auto"/>
              </w:rPr>
            </w:pPr>
          </w:p>
        </w:tc>
      </w:tr>
      <w:tr>
        <w:trPr>
          <w:trHeight w:val="181"/>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Cash and Cash Equivalents (i)</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49,307</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3.53 %</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Swaps (j)</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9,082</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0.33 %</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Arc Home</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52,334</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 Unsecured Notes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(96,655)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10.61 %</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Non-Interest Earning Assets, net</w:t>
            </w: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22,877</w:t>
            </w: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544,396</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1.7x</w:t>
            </w:r>
          </w:p>
        </w:tc>
        <w:tc>
          <w:tcPr>
            <w:tcW w:w="0" w:type="dxa"/>
            <w:vAlign w:val="bottom"/>
          </w:tcPr>
          <w:p>
            <w:pPr>
              <w:spacing w:after="0"/>
              <w:rPr>
                <w:sz w:val="1"/>
                <w:szCs w:val="1"/>
                <w:color w:val="auto"/>
              </w:rPr>
            </w:pPr>
          </w:p>
        </w:tc>
      </w:tr>
      <w:tr>
        <w:trPr>
          <w:trHeight w:val="372"/>
        </w:trPr>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3"/>
                <w:szCs w:val="13"/>
                <w:b w:val="1"/>
                <w:bCs w:val="1"/>
                <w:color w:val="auto"/>
              </w:rPr>
              <w:t>Securitized Debt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00" w:type="dxa"/>
            <w:vAlign w:val="bottom"/>
          </w:tcPr>
          <w:p>
            <w:pPr>
              <w:spacing w:after="0"/>
              <w:rPr>
                <w:sz w:val="15"/>
                <w:szCs w:val="15"/>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Yield (a)(b)</w:t>
            </w:r>
          </w:p>
        </w:tc>
        <w:tc>
          <w:tcPr>
            <w:tcW w:w="8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00" w:type="dxa"/>
            <w:vAlign w:val="bottom"/>
          </w:tcPr>
          <w:p>
            <w:pPr>
              <w:spacing w:after="0"/>
              <w:rPr>
                <w:sz w:val="15"/>
                <w:szCs w:val="15"/>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Financing</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Cost of</w:t>
            </w:r>
          </w:p>
        </w:tc>
        <w:tc>
          <w:tcPr>
            <w:tcW w:w="8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Allocated</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Net Interest</w:t>
            </w:r>
          </w:p>
        </w:tc>
        <w:tc>
          <w:tcPr>
            <w:tcW w:w="7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Leverage</w:t>
            </w: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Arrangements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Funds (c)</w:t>
            </w:r>
          </w:p>
        </w:tc>
        <w:tc>
          <w:tcPr>
            <w:tcW w:w="8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Equity (d)</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Margin</w:t>
            </w:r>
          </w:p>
        </w:tc>
        <w:tc>
          <w:tcPr>
            <w:tcW w:w="7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Ratio (e)</w:t>
            </w:r>
          </w:p>
        </w:tc>
        <w:tc>
          <w:tcPr>
            <w:tcW w:w="0" w:type="dxa"/>
            <w:vAlign w:val="bottom"/>
          </w:tcPr>
          <w:p>
            <w:pPr>
              <w:spacing w:after="0"/>
              <w:rPr>
                <w:sz w:val="1"/>
                <w:szCs w:val="1"/>
                <w:color w:val="auto"/>
              </w:rPr>
            </w:pPr>
          </w:p>
        </w:tc>
      </w:tr>
      <w:tr>
        <w:trPr>
          <w:trHeight w:val="184"/>
        </w:trPr>
        <w:tc>
          <w:tcPr>
            <w:tcW w:w="2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Investment Portfolio</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8,369,750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8,107,390</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6.03 %</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6,935,304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6,749,708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850,231</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5.33 %</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507,451</w:t>
            </w: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0.70 %</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1.6x</w:t>
            </w:r>
          </w:p>
        </w:tc>
        <w:tc>
          <w:tcPr>
            <w:tcW w:w="0" w:type="dxa"/>
            <w:vAlign w:val="bottom"/>
          </w:tcPr>
          <w:p>
            <w:pPr>
              <w:spacing w:after="0"/>
              <w:rPr>
                <w:sz w:val="1"/>
                <w:szCs w:val="1"/>
                <w:color w:val="auto"/>
              </w:rPr>
            </w:pPr>
          </w:p>
        </w:tc>
      </w:tr>
      <w:tr>
        <w:trPr>
          <w:trHeight w:val="140"/>
        </w:trPr>
        <w:tc>
          <w:tcPr>
            <w:tcW w:w="220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auto"/>
              </w:rPr>
              <w:t>Investments in Debt and Equity of</w:t>
            </w: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9,307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9,227</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13.32 %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2"/>
                <w:szCs w:val="12"/>
                <w:color w:val="auto"/>
              </w:rPr>
            </w:pPr>
          </w:p>
        </w:tc>
        <w:tc>
          <w:tcPr>
            <w:tcW w:w="680" w:type="dxa"/>
            <w:vAlign w:val="bottom"/>
            <w:vMerge w:val="restart"/>
          </w:tcPr>
          <w:p>
            <w:pPr>
              <w:jc w:val="right"/>
              <w:ind w:right="15"/>
              <w:spacing w:after="0"/>
              <w:rPr>
                <w:sz w:val="20"/>
                <w:szCs w:val="20"/>
                <w:color w:val="auto"/>
              </w:rPr>
            </w:pPr>
            <w:r>
              <w:rPr>
                <w:rFonts w:ascii="Times New Roman" w:cs="Times New Roman" w:eastAsia="Times New Roman" w:hAnsi="Times New Roman"/>
                <w:sz w:val="13"/>
                <w:szCs w:val="13"/>
                <w:color w:val="auto"/>
              </w:rPr>
              <w:t>9,227</w:t>
            </w: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13.32 %</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69"/>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Affiliates</w:t>
            </w: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GAAP Investment Portfolio</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8,360,443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8,098,163</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6.02 %</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6,935,304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6,749,708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850,231</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5.33 %</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498,224</w:t>
            </w: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0.69 %</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14.1x</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NM - Not Meaningful</w:t>
      </w:r>
    </w:p>
    <w:p>
      <w:pPr>
        <w:spacing w:after="0" w:line="13"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any net TBA positions.</w:t>
      </w:r>
    </w:p>
    <w:p>
      <w:pPr>
        <w:spacing w:after="0" w:line="4" w:lineRule="exact"/>
        <w:rPr>
          <w:rFonts w:ascii="Times New Roman" w:cs="Times New Roman" w:eastAsia="Times New Roman" w:hAnsi="Times New Roman"/>
          <w:sz w:val="13"/>
          <w:szCs w:val="13"/>
          <w:color w:val="auto"/>
        </w:rPr>
      </w:pPr>
    </w:p>
    <w:p>
      <w:pPr>
        <w:ind w:left="640" w:hanging="308"/>
        <w:spacing w:after="0"/>
        <w:tabs>
          <w:tab w:leader="none" w:pos="64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weighted average yields are calculated based on the amortized cost of the underlying loans and securities.</w:t>
      </w:r>
    </w:p>
    <w:p>
      <w:pPr>
        <w:spacing w:after="0" w:line="6" w:lineRule="exact"/>
        <w:rPr>
          <w:rFonts w:ascii="Times New Roman" w:cs="Times New Roman" w:eastAsia="Times New Roman" w:hAnsi="Times New Roman"/>
          <w:sz w:val="13"/>
          <w:szCs w:val="13"/>
          <w:color w:val="auto"/>
        </w:rPr>
      </w:pPr>
    </w:p>
    <w:p>
      <w:pPr>
        <w:ind w:left="660" w:hanging="328"/>
        <w:spacing w:after="0" w:line="253" w:lineRule="auto"/>
        <w:tabs>
          <w:tab w:leader="none" w:pos="656"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 of funds related to the financing on our investment portfolio inclusive of the benefit of 0.02% from our interest rate hedges was 5.33%. When including our Senior Unsecured Notes, the total cost of funds was 5.40%.</w:t>
      </w:r>
    </w:p>
    <w:p>
      <w:pPr>
        <w:spacing w:after="0" w:line="1" w:lineRule="exact"/>
        <w:rPr>
          <w:rFonts w:ascii="Times New Roman" w:cs="Times New Roman" w:eastAsia="Times New Roman" w:hAnsi="Times New Roman"/>
          <w:sz w:val="13"/>
          <w:szCs w:val="13"/>
          <w:color w:val="auto"/>
        </w:rPr>
      </w:pPr>
    </w:p>
    <w:p>
      <w:pPr>
        <w:ind w:left="640" w:hanging="308"/>
        <w:spacing w:after="0"/>
        <w:tabs>
          <w:tab w:leader="none" w:pos="64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Allocated equity represents the investment fair value less the associated securitized debt at fair value and financing arrangements, where applicable.</w:t>
      </w:r>
    </w:p>
    <w:p>
      <w:pPr>
        <w:spacing w:after="0" w:line="6" w:lineRule="exact"/>
        <w:rPr>
          <w:rFonts w:ascii="Times New Roman" w:cs="Times New Roman" w:eastAsia="Times New Roman" w:hAnsi="Times New Roman"/>
          <w:sz w:val="13"/>
          <w:szCs w:val="13"/>
          <w:color w:val="auto"/>
        </w:rPr>
      </w:pPr>
    </w:p>
    <w:p>
      <w:pPr>
        <w:jc w:val="both"/>
        <w:ind w:left="660" w:hanging="328"/>
        <w:spacing w:after="0" w:line="251" w:lineRule="auto"/>
        <w:tabs>
          <w:tab w:leader="none" w:pos="656"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leverage ratio on each asset class and on our investment portfolio represents Economic Leverage as defined below in the "Financing Activities" section and is calculated by dividing each investment type's total recourse financing arrangements less any cash posted as collateral by its equity invested inclusive of any cash collateral posted on financing arrangements. The Economic Leverage Ratio excludes any fully non-recourse financing arrangements and includes any net receivables or payables on TBAs. The leverage ratio on our GAAP Investment Portfolio represents GAAP leverage as defined below in the "Financing Activities" section.</w:t>
      </w:r>
    </w:p>
    <w:p>
      <w:pPr>
        <w:spacing w:after="0" w:line="1" w:lineRule="exact"/>
        <w:rPr>
          <w:rFonts w:ascii="Times New Roman" w:cs="Times New Roman" w:eastAsia="Times New Roman" w:hAnsi="Times New Roman"/>
          <w:sz w:val="13"/>
          <w:szCs w:val="13"/>
          <w:color w:val="auto"/>
        </w:rPr>
      </w:pPr>
    </w:p>
    <w:p>
      <w:pPr>
        <w:ind w:left="660" w:hanging="328"/>
        <w:spacing w:after="0"/>
        <w:tabs>
          <w:tab w:leader="none" w:pos="66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expect to either hold the Legacy WMC Commercial Investments until maturity or opportunistically exit these investments.</w:t>
      </w:r>
    </w:p>
    <w:p>
      <w:pPr>
        <w:spacing w:after="0" w:line="6" w:lineRule="exact"/>
        <w:rPr>
          <w:rFonts w:ascii="Times New Roman" w:cs="Times New Roman" w:eastAsia="Times New Roman" w:hAnsi="Times New Roman"/>
          <w:sz w:val="13"/>
          <w:szCs w:val="13"/>
          <w:color w:val="auto"/>
        </w:rPr>
      </w:pPr>
    </w:p>
    <w:p>
      <w:pPr>
        <w:ind w:left="640" w:hanging="308"/>
        <w:spacing w:after="0"/>
        <w:tabs>
          <w:tab w:leader="none" w:pos="64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Legacy WMC Commercial Loans are on non-accrual or cost-recovery status.</w:t>
      </w:r>
    </w:p>
    <w:p>
      <w:pPr>
        <w:spacing w:after="0" w:line="4" w:lineRule="exact"/>
        <w:rPr>
          <w:rFonts w:ascii="Times New Roman" w:cs="Times New Roman" w:eastAsia="Times New Roman" w:hAnsi="Times New Roman"/>
          <w:sz w:val="13"/>
          <w:szCs w:val="13"/>
          <w:color w:val="auto"/>
        </w:rPr>
      </w:pPr>
    </w:p>
    <w:p>
      <w:pPr>
        <w:ind w:left="640" w:hanging="308"/>
        <w:spacing w:after="0"/>
        <w:tabs>
          <w:tab w:leader="none" w:pos="64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Legacy WMC CMBS with an unpaid principal balance of $23.5 million and a fair value of $5.1 million which are on non-accrual or cost recovery status.</w:t>
      </w:r>
    </w:p>
    <w:p>
      <w:pPr>
        <w:spacing w:after="0" w:line="6" w:lineRule="exact"/>
        <w:rPr>
          <w:rFonts w:ascii="Times New Roman" w:cs="Times New Roman" w:eastAsia="Times New Roman" w:hAnsi="Times New Roman"/>
          <w:sz w:val="13"/>
          <w:szCs w:val="13"/>
          <w:color w:val="auto"/>
        </w:rPr>
      </w:pPr>
    </w:p>
    <w:p>
      <w:pPr>
        <w:ind w:left="640" w:hanging="308"/>
        <w:spacing w:after="0"/>
        <w:tabs>
          <w:tab w:leader="none" w:pos="64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and cash equivalents may include a portion of cash invested in money market funds. The net interest margin represents the interest earned on money market funds as of period end.</w:t>
      </w:r>
    </w:p>
    <w:p>
      <w:pPr>
        <w:spacing w:after="0" w:line="4" w:lineRule="exact"/>
        <w:rPr>
          <w:rFonts w:ascii="Times New Roman" w:cs="Times New Roman" w:eastAsia="Times New Roman" w:hAnsi="Times New Roman"/>
          <w:sz w:val="13"/>
          <w:szCs w:val="13"/>
          <w:color w:val="auto"/>
        </w:rPr>
      </w:pPr>
    </w:p>
    <w:p>
      <w:pPr>
        <w:jc w:val="both"/>
        <w:ind w:left="660" w:hanging="328"/>
        <w:spacing w:after="0" w:line="259" w:lineRule="auto"/>
        <w:tabs>
          <w:tab w:leader="none" w:pos="648"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rate swaps represents the sum of the net fair value of interest rate swaps and the margin posted on interest rate swaps as of period end. Net interest margin on interest rate swaps represents the weighted average net receive/(pay) rate as of period end. The impact of the net interest component of interest rate swaps on the cost of funds is included within the respective investment portfolio asset line items.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Securitized Non-Agency Loans and Home Equity Loans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noted above, our investment activities primarily include acquiring and securitizing newly-originated residential mortgage loans. Non-Agency VIEs are collateralized by Non-Agency and Agency-Eligible Loans. Home Equity VIEs are collateralized by revolving lines of credit and closed-end loans secured primarily by a second lien on a residential mortgaged property. Refer to Notes 2 and 3 to the “Notes to Consolidated Financial Statements (unaudited)” for additional information on the assets and liabilities of our consolidated Non-Agency VIEs and Home Equity VIEs.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each securitization transaction, a pool of loans is transferred into a newly formed securitization trust. The securitization trust issues various classes of mortgage pass-through certificates backed by the cash flows from the underlying residential mortgage loans (the "Certificates"). When we sponsor a residential mortgage loan securitization, we are generally required to retain at least 5% of the fair value of the Certificates issued in the securitization ("Risk Retention Rules"). We can retain either an "eligible vertical interest" (which consists of at least 5% of each class of securities issued in the securitization), an "eligible horizontal residual interest" (which is the most subordinate class of securities with a fair value of at least 5% of the aggregate credit risk) or a combination of both totaling 5% (the "Required Credit Risk"). We typically sell the senior classes of Certificates to unrelated third parties. When we choose to retain an eligible horizontal residual interest, we generally purchase the most subordinated classes of Certificates and the excess cash flow Certificates. When we choose to retain an eligible vertical interest, we purchase a 5% interest in each class of Certificates issued. We also may purchase the Certificates entitled to excess servicing fees and other Certificates not required to meet Risk Retention Rules.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determined to be the primary beneficiary of these securitization transactions, we consolidate the respective VIE created to facilitate the transaction and record "Securitized residential mortgage loans" and "Securitized debt" on the consolidated balance sheets in accordance with U.S. GAAP. However, our equity at risk represents certain Certificates from each securitization which we retain.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5" w:name="page56"/>
    <w:bookmarkEnd w:id="55"/>
    <w:p>
      <w:pPr>
        <w:ind w:right="20"/>
        <w:spacing w:after="0" w:line="275" w:lineRule="auto"/>
        <w:rPr>
          <w:sz w:val="20"/>
          <w:szCs w:val="20"/>
          <w:color w:val="auto"/>
        </w:rPr>
      </w:pPr>
      <w:r>
        <w:rPr>
          <w:rFonts w:ascii="Times New Roman" w:cs="Times New Roman" w:eastAsia="Times New Roman" w:hAnsi="Times New Roman"/>
          <w:sz w:val="18"/>
          <w:szCs w:val="18"/>
          <w:color w:val="auto"/>
        </w:rPr>
        <w:t>The following table summarizes our Securitized residential mortgage loans and Securitized debt, as well as the economic interest on retained Certificates related to our Non-Agency VIEs and Home Equity VIEs as of March 31, 2026 (in thousands).</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Non-Agency VIEs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Home Equity VIEs</w:t>
            </w:r>
          </w:p>
        </w:tc>
        <w:tc>
          <w:tcPr>
            <w:tcW w:w="0" w:type="dxa"/>
            <w:vAlign w:val="bottom"/>
          </w:tcPr>
          <w:p>
            <w:pPr>
              <w:spacing w:after="0"/>
              <w:rPr>
                <w:sz w:val="1"/>
                <w:szCs w:val="1"/>
                <w:color w:val="auto"/>
              </w:rPr>
            </w:pPr>
          </w:p>
        </w:tc>
      </w:tr>
      <w:tr>
        <w:trPr>
          <w:trHeight w:val="159"/>
        </w:trPr>
        <w:tc>
          <w:tcPr>
            <w:tcW w:w="5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Unpaid Principal</w:t>
            </w:r>
          </w:p>
        </w:tc>
        <w:tc>
          <w:tcPr>
            <w:tcW w:w="180" w:type="dxa"/>
            <w:vAlign w:val="bottom"/>
          </w:tcPr>
          <w:p>
            <w:pPr>
              <w:spacing w:after="0"/>
              <w:rPr>
                <w:sz w:val="13"/>
                <w:szCs w:val="13"/>
                <w:color w:val="auto"/>
              </w:rPr>
            </w:pPr>
          </w:p>
        </w:tc>
        <w:tc>
          <w:tcPr>
            <w:tcW w:w="11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Unpaid Principal</w:t>
            </w:r>
          </w:p>
        </w:tc>
        <w:tc>
          <w:tcPr>
            <w:tcW w:w="160" w:type="dxa"/>
            <w:vAlign w:val="bottom"/>
          </w:tcPr>
          <w:p>
            <w:pPr>
              <w:spacing w:after="0"/>
              <w:rPr>
                <w:sz w:val="13"/>
                <w:szCs w:val="13"/>
                <w:color w:val="auto"/>
              </w:rPr>
            </w:pPr>
          </w:p>
        </w:tc>
        <w:tc>
          <w:tcPr>
            <w:tcW w:w="10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5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Securitized residential mortgage loans in VIEs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6,728,033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6,543,261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798,646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864,198</w:t>
            </w:r>
          </w:p>
        </w:tc>
        <w:tc>
          <w:tcPr>
            <w:tcW w:w="0" w:type="dxa"/>
            <w:vAlign w:val="bottom"/>
          </w:tcPr>
          <w:p>
            <w:pPr>
              <w:spacing w:after="0"/>
              <w:rPr>
                <w:sz w:val="1"/>
                <w:szCs w:val="1"/>
                <w:color w:val="auto"/>
              </w:rPr>
            </w:pPr>
          </w:p>
        </w:tc>
      </w:tr>
      <w:tr>
        <w:trPr>
          <w:trHeight w:val="213"/>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Securitized debt in VIEs (1)</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6,144,984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5,922,951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712,612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735,458</w:t>
            </w: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 (2)</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0" w:type="dxa"/>
            <w:vAlign w:val="bottom"/>
          </w:tcPr>
          <w:p>
            <w:pPr>
              <w:spacing w:after="0"/>
              <w:rPr>
                <w:sz w:val="1"/>
                <w:szCs w:val="1"/>
                <w:color w:val="auto"/>
              </w:rPr>
            </w:pPr>
          </w:p>
        </w:tc>
      </w:tr>
      <w:tr>
        <w:trPr>
          <w:trHeight w:val="207"/>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Retained Certificates from VIEs (3)(4)(5)(6)</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623,149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129,795</w:t>
            </w:r>
          </w:p>
        </w:tc>
        <w:tc>
          <w:tcPr>
            <w:tcW w:w="0" w:type="dxa"/>
            <w:vAlign w:val="bottom"/>
          </w:tcPr>
          <w:p>
            <w:pPr>
              <w:spacing w:after="0"/>
              <w:rPr>
                <w:sz w:val="1"/>
                <w:szCs w:val="1"/>
                <w:color w:val="auto"/>
              </w:rPr>
            </w:pPr>
          </w:p>
        </w:tc>
      </w:tr>
      <w:tr>
        <w:trPr>
          <w:trHeight w:val="273"/>
        </w:trPr>
        <w:tc>
          <w:tcPr>
            <w:tcW w:w="50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14"/>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Retained interests in VIEs</w:t>
            </w:r>
          </w:p>
        </w:tc>
        <w:tc>
          <w:tcPr>
            <w:tcW w:w="24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Face</w:t>
            </w:r>
          </w:p>
        </w:tc>
        <w:tc>
          <w:tcPr>
            <w:tcW w:w="180" w:type="dxa"/>
            <w:vAlign w:val="bottom"/>
          </w:tcPr>
          <w:p>
            <w:pPr>
              <w:spacing w:after="0"/>
              <w:rPr>
                <w:sz w:val="18"/>
                <w:szCs w:val="18"/>
                <w:color w:val="auto"/>
              </w:rPr>
            </w:pP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Current Face</w:t>
            </w:r>
          </w:p>
        </w:tc>
        <w:tc>
          <w:tcPr>
            <w:tcW w:w="1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1"/>
        </w:trPr>
        <w:tc>
          <w:tcPr>
            <w:tcW w:w="50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Senior Bonds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127,041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129,089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33,133</w:t>
            </w:r>
          </w:p>
        </w:tc>
      </w:tr>
      <w:tr>
        <w:trPr>
          <w:trHeight w:val="213"/>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Mezzanine Bonds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w:t>
            </w: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Subordinate Bonds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435,265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320,952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48,372</w:t>
            </w:r>
          </w:p>
        </w:tc>
      </w:tr>
      <w:tr>
        <w:trPr>
          <w:trHeight w:val="213"/>
        </w:trPr>
        <w:tc>
          <w:tcPr>
            <w:tcW w:w="5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Interest Only / Excess Servicing Bonds (1)(7)</w:t>
            </w:r>
          </w:p>
        </w:tc>
        <w:tc>
          <w:tcPr>
            <w:tcW w:w="24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gridSpan w:val="2"/>
          </w:tcPr>
          <w:p>
            <w:pPr>
              <w:ind w:left="1140"/>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151,306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gridSpan w:val="2"/>
          </w:tcPr>
          <w:p>
            <w:pPr>
              <w:ind w:left="110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47,161</w:t>
            </w:r>
          </w:p>
        </w:tc>
      </w:tr>
      <w:tr>
        <w:trPr>
          <w:trHeight w:val="212"/>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Retained Certificates from VIEs (3)(4)(5)(6)</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623,149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129,795</w:t>
            </w:r>
          </w:p>
        </w:tc>
      </w:tr>
      <w:tr>
        <w:trPr>
          <w:trHeight w:val="213"/>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Financing arrangements on retained Certificates from VIEs</w:t>
            </w:r>
          </w:p>
        </w:tc>
        <w:tc>
          <w:tcPr>
            <w:tcW w:w="24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415,277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64,826</w:t>
            </w:r>
          </w:p>
        </w:tc>
      </w:tr>
      <w:tr>
        <w:trPr>
          <w:trHeight w:val="212"/>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Retained Certificates from VIEs, net of financing arrangements</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64,969</w:t>
            </w:r>
          </w:p>
        </w:tc>
      </w:tr>
    </w:tbl>
    <w:p>
      <w:pPr>
        <w:spacing w:after="0" w:line="81" w:lineRule="exact"/>
        <w:rPr>
          <w:sz w:val="20"/>
          <w:szCs w:val="20"/>
          <w:color w:val="auto"/>
        </w:rPr>
      </w:pPr>
    </w:p>
    <w:p>
      <w:pPr>
        <w:jc w:val="both"/>
        <w:ind w:left="660" w:hanging="328"/>
        <w:spacing w:after="0" w:line="256" w:lineRule="auto"/>
        <w:tabs>
          <w:tab w:leader="none" w:pos="6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Only securities have no principal balances and bear interest based on a notional value. The notional value is used solely to determine interest distributions on the interest only classes of securities. The Securitized debt in the Non-Agency VIEs and Interest Only/Excess Servicing Bonds line items include interest only classes with a notional value of $3.5 billion and $10.8 billion, respectively. The Securitized debt in the Home Equity VIEs and Interest Only/Excess Servicing Bonds line items include interest only classes with a notional value of $265.1 million and $533.5 million, respectively.</w:t>
      </w:r>
    </w:p>
    <w:p>
      <w:pPr>
        <w:spacing w:after="0" w:line="2" w:lineRule="exact"/>
        <w:rPr>
          <w:rFonts w:ascii="Times New Roman" w:cs="Times New Roman" w:eastAsia="Times New Roman" w:hAnsi="Times New Roman"/>
          <w:sz w:val="16"/>
          <w:szCs w:val="16"/>
          <w:color w:val="auto"/>
        </w:rPr>
      </w:pPr>
    </w:p>
    <w:p>
      <w:pPr>
        <w:jc w:val="both"/>
        <w:ind w:left="660" w:hanging="328"/>
        <w:spacing w:after="0" w:line="252" w:lineRule="auto"/>
        <w:tabs>
          <w:tab w:leader="none" w:pos="6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Non-Agency VIEs, represents the fair value of real estate owned within the VIEs and cash held in reserve accounts. We record real estate owned at the lower of cost or fair value less estimated costs to sell. We recorded real estate owned within our Non-Agency VIEs at $2.8 million. For Home Equity VIEs, represents cash held in reserve accounts within the Home Equity VIEs and included within our restricted cash.</w:t>
      </w:r>
    </w:p>
    <w:p>
      <w:pPr>
        <w:jc w:val="both"/>
        <w:ind w:left="660" w:hanging="328"/>
        <w:spacing w:after="0" w:line="253" w:lineRule="auto"/>
        <w:tabs>
          <w:tab w:leader="none" w:pos="6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Maximum loss exposure from our involvement with VIEs pertains to the fair value of the Certificates retained from the VIEs. We generally have no obligation to provide any other explicit or implicit support to the securitization trusts. Refer to Note 12 to the "Notes to Consolidated Financial Statements (unaudited)" for commitments related to the undrawn portion of a borrowers' home equity line of credit for which the Company may be required to fund.</w:t>
      </w:r>
    </w:p>
    <w:p>
      <w:pPr>
        <w:spacing w:after="0" w:line="1" w:lineRule="exact"/>
        <w:rPr>
          <w:rFonts w:ascii="Times New Roman" w:cs="Times New Roman" w:eastAsia="Times New Roman" w:hAnsi="Times New Roman"/>
          <w:sz w:val="16"/>
          <w:szCs w:val="16"/>
          <w:color w:val="auto"/>
        </w:rPr>
      </w:pPr>
    </w:p>
    <w:p>
      <w:pPr>
        <w:jc w:val="both"/>
        <w:ind w:left="660" w:hanging="328"/>
        <w:spacing w:after="0" w:line="254" w:lineRule="auto"/>
        <w:tabs>
          <w:tab w:leader="none" w:pos="6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equity at risk included bonds in our Non-Agency VIEs and Home Equity VIEs with a fair value of $398.6 million and $43.3 million, respectively, held in order to comply with Risk Retention Rules. We are generally required to hold the Required Credit Risk until the later of (i) the fifth anniversary of the securitization closing date and (ii) the date on which the aggregate unpaid principal balance of the mortgage loans has been reduced to 25% of the aggregate unpaid principal balance of the mortgage loans as of the securitization closing date, but no longer than the seventh anniversary of the closing date.</w:t>
      </w:r>
    </w:p>
    <w:p>
      <w:pPr>
        <w:ind w:left="660" w:hanging="328"/>
        <w:spacing w:after="0" w:line="255" w:lineRule="auto"/>
        <w:tabs>
          <w:tab w:leader="none" w:pos="6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portion of our equity at risk includes bonds exposed to the first loss of the securitization in the Non-Agency VIEs and Home Equity VIEs with a fair value of $97.3 million and $47.2 million, respectively.</w:t>
      </w:r>
    </w:p>
    <w:p>
      <w:pPr>
        <w:ind w:left="660" w:hanging="328"/>
        <w:spacing w:after="0"/>
        <w:tabs>
          <w:tab w:leader="none" w:pos="6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net other asset/(liabilities) held within the Non-Agency VIEs and Home Equity VIEs of $7.4 million and $3.3 million, respectively.</w:t>
      </w:r>
    </w:p>
    <w:p>
      <w:pPr>
        <w:spacing w:after="0" w:line="5" w:lineRule="exact"/>
        <w:rPr>
          <w:rFonts w:ascii="Times New Roman" w:cs="Times New Roman" w:eastAsia="Times New Roman" w:hAnsi="Times New Roman"/>
          <w:sz w:val="16"/>
          <w:szCs w:val="16"/>
          <w:color w:val="auto"/>
        </w:rPr>
      </w:pPr>
    </w:p>
    <w:p>
      <w:pPr>
        <w:jc w:val="both"/>
        <w:ind w:left="660" w:hanging="328"/>
        <w:spacing w:after="0" w:line="256" w:lineRule="auto"/>
        <w:tabs>
          <w:tab w:leader="none" w:pos="6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the sponsor and depositor of each securitization, we may purchase all of the outstanding Certificates (an "Optional Redemption") following the earlier of (1) an applicable anniversary date (typically two or three years) of the respective securitization or (2) the date at which the unpaid principal balance of the applicable collateral has declined below a certain percentage (typically 10% to 30%) of the principal balance originally contributed to the securitization. As of March 31, 2026, there were 11 Non-Agency securitizations with an unpaid principal balance of $2.5 billion that met the criteria for an Optional Redemption.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Securitized residential mortgage loans and Residential mortgage loans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collateral characteristics of our residential mortgage loans as of March 31, 2026 ($ in thousands).</w:t>
      </w:r>
    </w:p>
    <w:p>
      <w:pPr>
        <w:spacing w:after="0" w:line="57"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Unpaid</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Weighted Average (1)(2)</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8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Loan Count</w:t>
            </w:r>
          </w:p>
        </w:tc>
        <w:tc>
          <w:tcPr>
            <w:tcW w:w="136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Original LTV Ratio</w:t>
            </w:r>
          </w:p>
        </w:tc>
        <w:tc>
          <w:tcPr>
            <w:tcW w:w="104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Current FICO</w:t>
            </w: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Life (Years) (5)</w:t>
            </w:r>
          </w:p>
        </w:tc>
        <w:tc>
          <w:tcPr>
            <w:tcW w:w="0" w:type="dxa"/>
            <w:vAlign w:val="bottom"/>
          </w:tcPr>
          <w:p>
            <w:pPr>
              <w:spacing w:after="0"/>
              <w:rPr>
                <w:sz w:val="1"/>
                <w:szCs w:val="1"/>
                <w:color w:val="auto"/>
              </w:rPr>
            </w:pPr>
          </w:p>
        </w:tc>
      </w:tr>
      <w:tr>
        <w:trPr>
          <w:trHeight w:val="198"/>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7"/>
                <w:szCs w:val="17"/>
                <w:color w:val="auto"/>
              </w:rPr>
            </w:pPr>
          </w:p>
        </w:tc>
        <w:tc>
          <w:tcPr>
            <w:tcW w:w="12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tcPr>
          <w:p>
            <w:pPr>
              <w:spacing w:after="0"/>
              <w:rPr>
                <w:sz w:val="17"/>
                <w:szCs w:val="17"/>
                <w:color w:val="auto"/>
              </w:rPr>
            </w:pPr>
          </w:p>
        </w:tc>
        <w:tc>
          <w:tcPr>
            <w:tcW w:w="9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Securitized residential mortgage loans</w:t>
            </w:r>
          </w:p>
        </w:tc>
        <w:tc>
          <w:tcPr>
            <w:tcW w:w="1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Non-Agency Loans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6,728,033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6,543,261</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17,787</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70.85 %</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Home Equity Loans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798,646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864,198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65.68 %</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Re- and Non-Performing Loans</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152,632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131,289</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80.22 %</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4.21 %</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Securitized residential mortgage loans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7,679,311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7,538,748</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28,686</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70.50 %</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6.22 %</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0" w:type="dxa"/>
            <w:vAlign w:val="bottom"/>
          </w:tcPr>
          <w:p>
            <w:pPr>
              <w:spacing w:after="0"/>
              <w:rPr>
                <w:sz w:val="1"/>
                <w:szCs w:val="1"/>
                <w:color w:val="auto"/>
              </w:rPr>
            </w:pPr>
          </w:p>
        </w:tc>
      </w:tr>
      <w:tr>
        <w:trPr>
          <w:trHeight w:val="196"/>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Residential mortgage loans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Agency-Eligible Loans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20,951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21,487</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70.82 %</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195"/>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Home Equity Loans</w:t>
            </w:r>
          </w:p>
        </w:tc>
        <w:tc>
          <w:tcPr>
            <w:tcW w:w="1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166,703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173,207</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64.06 %</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Non-Agency Loans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33,660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32,893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76.67 %</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196"/>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 and Non-Performing Loans (1)</w:t>
            </w: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120" w:type="dxa"/>
            <w:vAlign w:val="bottom"/>
          </w:tcPr>
          <w:p>
            <w:pPr>
              <w:spacing w:after="0"/>
              <w:rPr>
                <w:sz w:val="17"/>
                <w:szCs w:val="17"/>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N/A</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03"/>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Residential mortgage loans</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222,294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228,524</w:t>
            </w: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w:t>
            </w: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66.62 %</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182"/>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 of March 31, 2026</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7,901,605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7,767,272</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30,451</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70.39 %</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6.27 %</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60" w:right="20" w:hanging="328"/>
        <w:spacing w:after="0" w:line="261" w:lineRule="auto"/>
        <w:tabs>
          <w:tab w:leader="none" w:pos="65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count and weighted average excludes the Re- and Non-Performing Loans subcategory of Residential mortgage loans above as there may be limited data available regarding the underlying collateral of these residual positions.</w:t>
      </w:r>
    </w:p>
    <w:p>
      <w:pPr>
        <w:ind w:left="640" w:hanging="308"/>
        <w:spacing w:after="0"/>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weighted based on unpaid principal balance.</w:t>
      </w:r>
    </w:p>
    <w:p>
      <w:pPr>
        <w:spacing w:after="0" w:line="14" w:lineRule="exact"/>
        <w:rPr>
          <w:rFonts w:ascii="Times New Roman" w:cs="Times New Roman" w:eastAsia="Times New Roman" w:hAnsi="Times New Roman"/>
          <w:sz w:val="14"/>
          <w:szCs w:val="14"/>
          <w:color w:val="auto"/>
        </w:rPr>
      </w:pPr>
    </w:p>
    <w:p>
      <w:pPr>
        <w:ind w:left="660" w:hanging="328"/>
        <w:spacing w:after="0" w:line="261" w:lineRule="auto"/>
        <w:tabs>
          <w:tab w:leader="none" w:pos="65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original LTV or, for Re- and Non-Performing Loans and Non-Agency Loans acquired from WMC, the LTV at acquisition. For Home Equity Loans, represents the combined LTV, which considers the loan balances on a borrower’s first mortgage and related Home Equity Loan.</w:t>
      </w:r>
    </w:p>
    <w:p>
      <w:pPr>
        <w:ind w:left="640" w:hanging="308"/>
        <w:spacing w:after="0"/>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current FICO excludes borrowers where FICO scores were not available. Data is based on the latest available information.</w:t>
      </w:r>
    </w:p>
    <w:p>
      <w:pPr>
        <w:spacing w:after="0" w:line="4" w:lineRule="exact"/>
        <w:rPr>
          <w:rFonts w:ascii="Times New Roman" w:cs="Times New Roman" w:eastAsia="Times New Roman" w:hAnsi="Times New Roman"/>
          <w:sz w:val="14"/>
          <w:szCs w:val="14"/>
          <w:color w:val="auto"/>
        </w:rPr>
      </w:pPr>
    </w:p>
    <w:p>
      <w:pPr>
        <w:ind w:left="660" w:hanging="328"/>
        <w:spacing w:after="0" w:line="278" w:lineRule="auto"/>
        <w:tabs>
          <w:tab w:leader="none" w:pos="65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life is based on projected life. Typically, actual maturities are shorter than stated contractual maturities. Maturities are affected by the contractual lives of the underlying mortgages, periodic payments of principal, and prepayments of principal.</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3 to the "Notes to Consolidated Financial Statements (unaudited)" for additional information on credit quality and a breakout of geographic concentration of credit risk within loans we include in the "Securitized residential mortgage loans, at fair value" and "Residential mortgage loans, at fair value" line items on our consolidated balance sheets.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 WMC Commercial loans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the borrowers of the Legacy WMC Commercial loans were in maturity default. The lender parties (including us) are evaluating with the borrowers consensual sales of the underlying properties collateralizing the loans and/or transferring title of all or certain of the properties to the lender parties via a deed-in-lieu of foreclosure. See Note 3 to the "Notes to Consolidated Financial Statements (unaudited)" for information on the status of the Legacy WMC Commercial loans, as well as coupons, weighted average life, geographic concentration, collateral characteristics, LTV, and maturities of the loans we include in the "Commercial loans, at fair value" line item on our consolidated balance sheets.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Non-Agency RMBS and Legacy WMC CMBS</w:t>
      </w:r>
    </w:p>
    <w:p>
      <w:pPr>
        <w:spacing w:after="0" w:line="25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fair value, coupon, and weighted average life of our Non-Agency RMBS and Legacy WMC CMBS portfolios as of March 31, 2026 ($ in thousands).</w:t>
      </w:r>
    </w:p>
    <w:p>
      <w:pPr>
        <w:spacing w:after="0" w:line="1"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6"/>
          <w:szCs w:val="16"/>
          <w:b w:val="1"/>
          <w:bCs w:val="1"/>
          <w:color w:val="auto"/>
        </w:rPr>
        <w:t>Weighted Average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Instrument</w:t>
            </w: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Current Face</w:t>
            </w:r>
          </w:p>
        </w:tc>
        <w:tc>
          <w:tcPr>
            <w:tcW w:w="20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20" w:type="dxa"/>
            <w:vAlign w:val="bottom"/>
            <w:tcBorders>
              <w:top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Coupon (1)</w:t>
            </w:r>
          </w:p>
        </w:tc>
        <w:tc>
          <w:tcPr>
            <w:tcW w:w="140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Life (Years) (2)</w:t>
            </w:r>
          </w:p>
        </w:tc>
      </w:tr>
      <w:tr>
        <w:trPr>
          <w:trHeight w:val="211"/>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Non-Agency RMBS by collateral type:</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29"/>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Non-QM Loans (3)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53,311</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55,690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1.73 %</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Agency-Eligible Loans (3)</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42,309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3.61 %</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r>
      <w:tr>
        <w:trPr>
          <w:trHeight w:val="213"/>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Home Equity Loans (3)</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128,849</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5.47 %</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r>
      <w:tr>
        <w:trPr>
          <w:trHeight w:val="219"/>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Prime Jumbo Loans (3)</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w:t>
            </w:r>
          </w:p>
        </w:tc>
      </w:tr>
      <w:tr>
        <w:trPr>
          <w:trHeight w:val="213"/>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 and Non-Performing Loans (3)</w:t>
            </w:r>
          </w:p>
        </w:tc>
        <w:tc>
          <w:tcPr>
            <w:tcW w:w="160" w:type="dxa"/>
            <w:vAlign w:val="bottom"/>
          </w:tcPr>
          <w:p>
            <w:pPr>
              <w:spacing w:after="0"/>
              <w:rPr>
                <w:sz w:val="18"/>
                <w:szCs w:val="18"/>
                <w:color w:val="auto"/>
              </w:rPr>
            </w:pP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N/A</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12"/>
        </w:trPr>
        <w:tc>
          <w:tcPr>
            <w:tcW w:w="5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Non-Agency RMBS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206,547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230,704</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3.18 %</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r>
      <w:tr>
        <w:trPr>
          <w:trHeight w:val="270"/>
        </w:trPr>
        <w:tc>
          <w:tcPr>
            <w:tcW w:w="5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16"/>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Legacy WMC CMBS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Single-Asset/Single-Borrower - Fixed Rate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48,498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25,093</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6.11 %</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19"/>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Single-Asset/Single-Borrower - Floating Rate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0.53</w:t>
            </w:r>
          </w:p>
        </w:tc>
      </w:tr>
      <w:tr>
        <w:trPr>
          <w:trHeight w:val="213"/>
        </w:trPr>
        <w:tc>
          <w:tcPr>
            <w:tcW w:w="52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Conduit - Fixed Rate</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15,042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11,313</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4.20 %</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w:t>
            </w:r>
          </w:p>
        </w:tc>
      </w:tr>
      <w:tr>
        <w:trPr>
          <w:trHeight w:val="212"/>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Legacy WMC CMBS (4)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42,250</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5.92 %</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70"/>
        </w:trPr>
        <w:tc>
          <w:tcPr>
            <w:tcW w:w="5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r>
      <w:tr>
        <w:trPr>
          <w:trHeight w:val="20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Non-Agency RMBS and Legacy WMC CMBS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272,954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3.66 %</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213"/>
        </w:trPr>
        <w:tc>
          <w:tcPr>
            <w:tcW w:w="5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Less: Investments in Debt and Equity of Affiliates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9,227</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0.60 %</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2"/>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GAAP Non-Agency RMBS and Legacy WMC CMBS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284,623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263,727</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4.64 %</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r>
    </w:tbl>
    <w:p>
      <w:pPr>
        <w:spacing w:after="0" w:line="81"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residual investments with a zero coupon rate are excluded from this calculation.</w:t>
      </w:r>
    </w:p>
    <w:p>
      <w:pPr>
        <w:spacing w:after="0" w:line="23"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 average life is based on projected life. Typically, actual maturities are shorter than stated contractual maturities.</w:t>
      </w:r>
    </w:p>
    <w:p>
      <w:pPr>
        <w:spacing w:after="0" w:line="5" w:lineRule="exact"/>
        <w:rPr>
          <w:rFonts w:ascii="Times New Roman" w:cs="Times New Roman" w:eastAsia="Times New Roman" w:hAnsi="Times New Roman"/>
          <w:sz w:val="16"/>
          <w:szCs w:val="16"/>
          <w:color w:val="auto"/>
        </w:rPr>
      </w:pPr>
    </w:p>
    <w:p>
      <w:pPr>
        <w:jc w:val="both"/>
        <w:ind w:left="660" w:hanging="328"/>
        <w:spacing w:after="0" w:line="253" w:lineRule="auto"/>
        <w:tabs>
          <w:tab w:leader="none" w:pos="6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Only securities have no principal balances and bear interest based on a notional value. The notional value is used solely to determine interest distributions on the interest only classes of securities. The notional value of interest only classes included in the Non-QM Loans, Agency-Eligible Loans, Home Equity Loans, and Re- and Non-Performing Loans line items was $278.0 million, $37.8 million, $290.8 million, and $0.7 million, respectively.</w:t>
      </w:r>
    </w:p>
    <w:p>
      <w:pPr>
        <w:spacing w:after="0" w:line="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Legacy WMC CMBS with an unpaid principal balance of $23.5 million and a fair value of $5.1 million which are on non-accrual or cost recovery status.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of our Non-Agency RMBS and Legacy WMC CMBS by credit rating as of March 31, 2026 (in thousands).</w:t>
      </w:r>
    </w:p>
    <w:p>
      <w:pPr>
        <w:spacing w:after="0" w:line="295" w:lineRule="exact"/>
        <w:rPr>
          <w:sz w:val="20"/>
          <w:szCs w:val="20"/>
          <w:color w:val="auto"/>
        </w:rPr>
      </w:pPr>
    </w:p>
    <w:tbl>
      <w:tblPr>
        <w:tblLayout w:type="fixed"/>
        <w:tblInd w:w="480" w:type="dxa"/>
        <w:tblCellMar>
          <w:top w:w="0" w:type="dxa"/>
          <w:left w:w="0" w:type="dxa"/>
          <w:bottom w:w="0" w:type="dxa"/>
          <w:right w:w="0" w:type="dxa"/>
        </w:tblCellMar>
      </w:tblPr>
      <w:tr>
        <w:trPr>
          <w:trHeight w:val="215"/>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Credit Rating (1)</w:t>
            </w:r>
          </w:p>
        </w:tc>
        <w:tc>
          <w:tcPr>
            <w:tcW w:w="340" w:type="dxa"/>
            <w:vAlign w:val="bottom"/>
          </w:tcPr>
          <w:p>
            <w:pPr>
              <w:spacing w:after="0"/>
              <w:rPr>
                <w:sz w:val="18"/>
                <w:szCs w:val="18"/>
                <w:color w:val="auto"/>
              </w:rPr>
            </w:pPr>
          </w:p>
        </w:tc>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Non-Agency RMBS</w:t>
            </w:r>
          </w:p>
        </w:tc>
        <w:tc>
          <w:tcPr>
            <w:tcW w:w="320" w:type="dxa"/>
            <w:vAlign w:val="bottom"/>
          </w:tcPr>
          <w:p>
            <w:pPr>
              <w:spacing w:after="0"/>
              <w:rPr>
                <w:sz w:val="18"/>
                <w:szCs w:val="18"/>
                <w:color w:val="auto"/>
              </w:rPr>
            </w:pPr>
          </w:p>
        </w:tc>
        <w:tc>
          <w:tcPr>
            <w:tcW w:w="222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Legacy WMC CMBS</w:t>
            </w:r>
          </w:p>
        </w:tc>
      </w:tr>
      <w:tr>
        <w:trPr>
          <w:trHeight w:val="213"/>
        </w:trPr>
        <w:tc>
          <w:tcPr>
            <w:tcW w:w="5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AAA</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89,113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AA</w:t>
            </w:r>
          </w:p>
        </w:tc>
        <w:tc>
          <w:tcPr>
            <w:tcW w:w="3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t>
            </w:r>
          </w:p>
        </w:tc>
        <w:tc>
          <w:tcPr>
            <w:tcW w:w="34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BBB</w:t>
            </w:r>
          </w:p>
        </w:tc>
        <w:tc>
          <w:tcPr>
            <w:tcW w:w="3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BB</w:t>
            </w:r>
          </w:p>
        </w:tc>
        <w:tc>
          <w:tcPr>
            <w:tcW w:w="34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6,155</w:t>
            </w:r>
          </w:p>
        </w:tc>
      </w:tr>
      <w:tr>
        <w:trPr>
          <w:trHeight w:val="21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w:t>
            </w:r>
          </w:p>
        </w:tc>
        <w:tc>
          <w:tcPr>
            <w:tcW w:w="3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w:t>
            </w:r>
          </w:p>
        </w:tc>
      </w:tr>
      <w:tr>
        <w:trPr>
          <w:trHeight w:val="219"/>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Below B</w:t>
            </w:r>
          </w:p>
        </w:tc>
        <w:tc>
          <w:tcPr>
            <w:tcW w:w="34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34,887</w:t>
            </w:r>
          </w:p>
        </w:tc>
      </w:tr>
      <w:tr>
        <w:trPr>
          <w:trHeight w:val="213"/>
        </w:trPr>
        <w:tc>
          <w:tcPr>
            <w:tcW w:w="5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Not Rated</w:t>
            </w:r>
          </w:p>
        </w:tc>
        <w:tc>
          <w:tcPr>
            <w:tcW w:w="3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2"/>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Non-Agency RMBS and Legacy WMC CMBS</w:t>
            </w: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42,250</w:t>
            </w:r>
          </w:p>
        </w:tc>
      </w:tr>
      <w:tr>
        <w:trPr>
          <w:trHeight w:val="21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Investments in Debt and Equity of Affiliates</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GAAP Non-Agency RMBS and Legacy WMC CMBS</w:t>
            </w: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42,250</w:t>
            </w:r>
          </w:p>
        </w:tc>
      </w:tr>
    </w:tbl>
    <w:p>
      <w:pPr>
        <w:spacing w:after="0" w:line="81"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minimum rating for rated assets of S&amp;P, Moody's, Morningstar, and Fitch credit ratings, stated in terms of the S&amp;P equivalent.</w:t>
      </w:r>
    </w:p>
    <w:p>
      <w:pPr>
        <w:spacing w:after="0" w:line="200" w:lineRule="exact"/>
        <w:rPr>
          <w:rFonts w:ascii="Times New Roman" w:cs="Times New Roman" w:eastAsia="Times New Roman" w:hAnsi="Times New Roman"/>
          <w:sz w:val="16"/>
          <w:szCs w:val="16"/>
          <w:color w:val="auto"/>
        </w:rPr>
      </w:pPr>
    </w:p>
    <w:p>
      <w:pPr>
        <w:spacing w:after="0" w:line="354"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geographic concentration of the underlying collateral for our Non-Agency RMBS and Legacy WMC CMBS portfolios as of March 31, 2026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Non-Agency RMBS</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Legacy WMC CMBS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11"/>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Geographic Location</w:t>
            </w:r>
          </w:p>
        </w:tc>
        <w:tc>
          <w:tcPr>
            <w:tcW w:w="184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Concentration</w:t>
            </w:r>
          </w:p>
        </w:tc>
        <w:tc>
          <w:tcPr>
            <w:tcW w:w="280" w:type="dxa"/>
            <w:vAlign w:val="bottom"/>
          </w:tcPr>
          <w:p>
            <w:pPr>
              <w:spacing w:after="0"/>
              <w:rPr>
                <w:sz w:val="18"/>
                <w:szCs w:val="18"/>
                <w:color w:val="auto"/>
              </w:rPr>
            </w:pPr>
          </w:p>
        </w:tc>
        <w:tc>
          <w:tcPr>
            <w:tcW w:w="13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Geographic Location</w:t>
            </w:r>
          </w:p>
        </w:tc>
        <w:tc>
          <w:tcPr>
            <w:tcW w:w="120" w:type="dxa"/>
            <w:vAlign w:val="bottom"/>
          </w:tcPr>
          <w:p>
            <w:pPr>
              <w:spacing w:after="0"/>
              <w:rPr>
                <w:sz w:val="18"/>
                <w:szCs w:val="18"/>
                <w:color w:val="auto"/>
              </w:rPr>
            </w:pPr>
          </w:p>
        </w:tc>
        <w:tc>
          <w:tcPr>
            <w:tcW w:w="194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Concentration</w:t>
            </w:r>
          </w:p>
        </w:tc>
        <w:tc>
          <w:tcPr>
            <w:tcW w:w="260" w:type="dxa"/>
            <w:vAlign w:val="bottom"/>
          </w:tcPr>
          <w:p>
            <w:pPr>
              <w:spacing w:after="0"/>
              <w:rPr>
                <w:sz w:val="18"/>
                <w:szCs w:val="18"/>
                <w:color w:val="auto"/>
              </w:rPr>
            </w:pPr>
          </w:p>
        </w:tc>
        <w:tc>
          <w:tcPr>
            <w:tcW w:w="13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1"/>
        </w:trPr>
        <w:tc>
          <w:tcPr>
            <w:tcW w:w="1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California</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28.8 %</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66,380</w:t>
            </w: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California</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17,297</w:t>
            </w:r>
          </w:p>
        </w:tc>
      </w:tr>
      <w:tr>
        <w:trPr>
          <w:trHeight w:val="213"/>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Florida</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23,061</w:t>
            </w:r>
          </w:p>
        </w:tc>
        <w:tc>
          <w:tcPr>
            <w:tcW w:w="120" w:type="dxa"/>
            <w:vAlign w:val="bottom"/>
          </w:tcPr>
          <w:p>
            <w:pPr>
              <w:spacing w:after="0"/>
              <w:rPr>
                <w:sz w:val="18"/>
                <w:szCs w:val="18"/>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Minnesota</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10,415</w:t>
            </w:r>
          </w:p>
        </w:tc>
      </w:tr>
      <w:tr>
        <w:trPr>
          <w:trHeight w:val="21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York</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13,794</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Texas</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3,777</w:t>
            </w:r>
          </w:p>
        </w:tc>
      </w:tr>
      <w:tr>
        <w:trPr>
          <w:trHeight w:val="213"/>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Texas</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9,144</w:t>
            </w:r>
          </w:p>
        </w:tc>
        <w:tc>
          <w:tcPr>
            <w:tcW w:w="120" w:type="dxa"/>
            <w:vAlign w:val="bottom"/>
          </w:tcPr>
          <w:p>
            <w:pPr>
              <w:spacing w:after="0"/>
              <w:rPr>
                <w:sz w:val="18"/>
                <w:szCs w:val="18"/>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York</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1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Arizona</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8,188</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Pennsylvania</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w:t>
            </w:r>
          </w:p>
        </w:tc>
      </w:tr>
      <w:tr>
        <w:trPr>
          <w:trHeight w:val="213"/>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110,137</w:t>
            </w:r>
          </w:p>
        </w:tc>
        <w:tc>
          <w:tcPr>
            <w:tcW w:w="120" w:type="dxa"/>
            <w:vAlign w:val="bottom"/>
          </w:tcPr>
          <w:p>
            <w:pPr>
              <w:spacing w:after="0"/>
              <w:rPr>
                <w:sz w:val="18"/>
                <w:szCs w:val="18"/>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5,753</w:t>
            </w:r>
          </w:p>
        </w:tc>
      </w:tr>
      <w:tr>
        <w:trPr>
          <w:trHeight w:val="212"/>
        </w:trPr>
        <w:tc>
          <w:tcPr>
            <w:tcW w:w="2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230,704</w:t>
            </w: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42,250</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Agency RMBS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our investment activities primarily include acquiring and securitizing newly-originated residential mortgage loans, from time to time we invest excess liquidity into Agency RMBS. The following table presents the fair value, constant prepayment rate (“CPR”), coupon, and weighted average life experienced on our Agency RMBS portfolio as of March 31, 2026 ($ in thousands).</w:t>
      </w:r>
    </w:p>
    <w:p>
      <w:pPr>
        <w:spacing w:after="0" w:line="3" w:lineRule="exact"/>
        <w:rPr>
          <w:sz w:val="20"/>
          <w:szCs w:val="20"/>
          <w:color w:val="auto"/>
        </w:rPr>
      </w:pPr>
    </w:p>
    <w:tbl>
      <w:tblPr>
        <w:tblLayout w:type="fixed"/>
        <w:tblInd w:w="1160" w:type="dxa"/>
        <w:tblCellMar>
          <w:top w:w="0" w:type="dxa"/>
          <w:left w:w="0" w:type="dxa"/>
          <w:bottom w:w="0" w:type="dxa"/>
          <w:right w:w="0" w:type="dxa"/>
        </w:tblCellMar>
      </w:tblPr>
      <w:tr>
        <w:trPr>
          <w:trHeight w:val="212"/>
        </w:trPr>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500" w:type="dxa"/>
            <w:vAlign w:val="bottom"/>
            <w:tcBorders>
              <w:bottom w:val="single" w:sz="8" w:color="auto"/>
            </w:tcBorders>
          </w:tcPr>
          <w:p>
            <w:pPr>
              <w:spacing w:after="0"/>
              <w:rPr>
                <w:sz w:val="18"/>
                <w:szCs w:val="18"/>
                <w:color w:val="auto"/>
              </w:rPr>
            </w:pPr>
          </w:p>
        </w:tc>
      </w:tr>
      <w:tr>
        <w:trPr>
          <w:trHeight w:val="214"/>
        </w:trPr>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70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CPR (1)</w:t>
            </w:r>
          </w:p>
        </w:tc>
        <w:tc>
          <w:tcPr>
            <w:tcW w:w="154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Coupon</w:t>
            </w: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Life (Years) (2)</w:t>
            </w:r>
          </w:p>
        </w:tc>
      </w:tr>
      <w:tr>
        <w:trPr>
          <w:trHeight w:val="211"/>
        </w:trPr>
        <w:tc>
          <w:tcPr>
            <w:tcW w:w="2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Agency RMBS Interest Only</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15,660</w:t>
            </w: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4.54 %</w:t>
            </w: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r>
    </w:tbl>
    <w:p>
      <w:pPr>
        <w:spacing w:after="0" w:line="67"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weighted average monthly CPRs published during the period for our in-place portfolio.</w:t>
      </w:r>
    </w:p>
    <w:p>
      <w:pPr>
        <w:spacing w:after="0" w:line="26"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 average life is based on projected life. Typically, actual maturities are shorter than stated contractual maturities.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52525"/>
        </w:rPr>
        <w:t>Financing activities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leverage to finance the purchase of our investment portfolio. Our leverage has primarily been in the form of repurchase agreements and facilities used to finance residential mortgage loans (which we refer to collectively as financing arrangements). We also utilize securitized debt to finance our loan portfolio. In addition, we may obtain financing through the issuance of senior unsecured notes.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52525"/>
        </w:rPr>
        <w:t>Financing Arrangements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Repurchase agreements involve the sale and a simultaneous agreement to repurchase the transferred assets or similar assets at a future date. The amount borrowed generally is equal to the fair value of the assets pledged less an agreed-upon discount, referred to as a "haircut." The size of the haircut reflects the perceived risk associated with the pledged asset. Haircuts may change as our financing arrangements mature or roll and are sensitive to governmental regulations. Interest rates for our financing arrangements are determined based on prevailing rates (typically a spread over a base rate) corresponding to the terms of the borrowings, and interest is paid on a monthly basis or, for shorter term arrangements, at the end of the term. Repurchase agreements typically have a term of up to one year for loans and a term of 30 to 90 days for securities. Repurchase agreements are generally mark-to-market with respect to margin calls and recourse to us. We also have certain financing arrangements collateralized by residential mortgage loans which are recourse to us, but are not subject to mark-to-market margin calls. We had outstanding financing arrangements with six counterparties as of March 31, 2026.</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financing arrangements generally include customary representations, warranties, and covenants, but may also contain more restrictive supplemental terms and conditions. Although specific to each financing arrangement, typical supplemental terms include requirements of minimum equity and liquidity, leverage ratios, and performance triggers. In addition, some of the financing arrangements contain cross default features, whereby default under an agreement with one lender simultaneously causes default under agreements with other lenders. To the extent that we fail to comply with the covenants contained in these financing arrangements or are otherwise found to be in default under the terms of such agreements, the counterparty has the right to accelerate amounts due under the associated agreement. As of March 31, 2026, we are in compliance with all of our financial covenants.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252525"/>
        </w:rPr>
        <w:t>Securitized Debt</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explained in the “Investment Activities” section above, our investment strategy focuses on acquiring and securitizing newly originated residential mortgage loans. In each securitization transaction, a pool of loans is transferred into a newly formed securitization trust. This trust issues Certificates, and we typically sell the senior classes of these Certificates to unrelated third parties. We record “Securitized debt" on our consolidated balance sheet in accordance with U.S. GAAP when we determine that we are the primary beneficiary of the securitization transaction. The proceeds from securitization transactions are used to repay any outstanding financing arrangements initially employed to acquire newly originated residential mortgage loans, replacing recourse financing with mark-to-market margin calls with securitized debt. Securitized debt is generally long-term in nature, non-recourse to us and is not subject to mark-to-market margin calls. Additionally, generally the holders of the securitized debt have no recourse to the general credit of the Company and we have no obligation to provide any other explicit or implicit support to the securitization trusts.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2024, we issued senior unsecured notes which consist of $34.5 million principal amount 9.500% Senior Notes due February 2029 and $65.0 million principal amount 9.500% Senior Notes due May 2029. See Note 6 to the "Notes to Consolidated Financial Statements (unaudited)" for additional information on the Senior Unsecured Notes.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Leverage</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leverage to increase potential returns to our stockholders. Our financing strategy is designed to increase the size of our investment portfolio by borrowing against the fair value of the assets in our portfolio. As discussed above, financing arrangements are generally recourse to the Company whereas securitized debt used to finance our Non-Agency VIEs, Home Equity VIEs, and RPL/NPL VIEs is generally non-recourse to the Company. In addition to disclosing GAAP leverage, we also disclose Economic Leverage, which excludes non-recourse financing. Management believes that this non-GAAP measure, when considered with our GAAP financial statements, provides supplemental information useful for investors to help evaluate our use of leverage and the related risk associated with our leverage profile. Our presentation of Economic Leverage may not be comparable to similarly-titled measures of other companies, who may use different calculations. This non-GAAP measure should not be considered a substitute for, or superior to, GAAP leverage calculated in accordance with GAAP. Our GAAP financial results and the reconciliations from these results should be carefully evaluated.</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GAAP leverage as the sum of (1) Securitized debt, at fair value, (2) Financing arrangements, net of any restricted cash posted on such financing arrangements, (3) Senior Unsecured Notes, and (4) the amount payable on purchases that have not yet settled less the financing remaining on sales that have not yet settled. We define Economic Leverage, a non-GAAP metric, as the sum of our GAAP leverage, exclusive of any fully non-recourse financing arrangements, and our net TBA position (at cost), if any. Our leverage does not include any financing utilized through AG Arc.</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calculations in the table below divide GAAP Leverage and Economic Leverage by our GAAP stockholders’ equity to derive our leverage ratios. The following table presents a reconciliation of our Economic Leverage ratio to GAAP Leverage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80" w:type="dxa"/>
            <w:vAlign w:val="bottom"/>
          </w:tcPr>
          <w:p>
            <w:pPr>
              <w:spacing w:after="0"/>
              <w:rPr>
                <w:sz w:val="18"/>
                <w:szCs w:val="18"/>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Leverage</w:t>
            </w:r>
          </w:p>
        </w:tc>
        <w:tc>
          <w:tcPr>
            <w:tcW w:w="200" w:type="dxa"/>
            <w:vAlign w:val="bottom"/>
          </w:tcPr>
          <w:p>
            <w:pPr>
              <w:spacing w:after="0"/>
              <w:rPr>
                <w:sz w:val="18"/>
                <w:szCs w:val="18"/>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5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Leverage Ratio</w:t>
            </w:r>
          </w:p>
        </w:tc>
      </w:tr>
      <w:tr>
        <w:trPr>
          <w:trHeight w:val="213"/>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Securitized debt, at fair value (1)</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6,749,708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1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Financing arrangements (2)</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850,231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Unsecured Notes (2)</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cash posted on financing arrangements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Payable on unsettled trades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r>
      <w:tr>
        <w:trPr>
          <w:trHeight w:val="207"/>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GAAP Leverage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7,688,763</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544,396</w:t>
            </w: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14.1x</w:t>
            </w:r>
          </w:p>
        </w:tc>
      </w:tr>
      <w:tr>
        <w:trPr>
          <w:trHeight w:val="21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Non-recourse financing arrangements (1)</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(6,749,708)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r>
      <w:tr>
        <w:trPr>
          <w:trHeight w:val="204"/>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Economic Leverage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939,055</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544,396</w:t>
            </w: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1.7x</w:t>
            </w:r>
          </w:p>
        </w:tc>
      </w:tr>
    </w:tbl>
    <w:p>
      <w:pPr>
        <w:spacing w:after="0" w:line="86" w:lineRule="exact"/>
        <w:rPr>
          <w:sz w:val="20"/>
          <w:szCs w:val="20"/>
          <w:color w:val="auto"/>
        </w:rPr>
      </w:pPr>
    </w:p>
    <w:p>
      <w:pPr>
        <w:ind w:left="240" w:hanging="232"/>
        <w:spacing w:after="0"/>
        <w:tabs>
          <w:tab w:leader="none" w:pos="2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Securitized debt, at fair value is non-recourse to the Company.</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Financing arrangements and senior unsecured notes are recourse to the Company.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Hedging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maintaining our qualification as a REIT and our Investment Company Act exemption, to the extent leverage is deployed, we may utilize derivative instruments in an effort to hedge the interest rate risk associated with the financing of our portfolio. Specifically, we may seek to hedge our exposure to potential interest rate mismatches between the interest we earn on our investments and our borrowing costs caused by fluctuations in short-term interest rates. We may utilize interest rate swaps, swaption agreements, and other financial instruments such as short positions in to-be-announced securities. In utilizing leverage and interest rate derivatives, our objectives are to improve risk-adjusted returns and, where possible, to lock in, on a long-term basis, a spread between the yield on our assets and the costs of our financing and hedging. Derivatives have not been designated as hedging instruments for GAAP. See Note 7 in the "Notes to Consolidated Financial Statements (unaudited)" for more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Federal income tax law generally requires that a REIT distribute annually at least 90% of its REIT ordinary taxable income, without regard to the deduction for dividends paid and excluding net capital gains and that it pay tax at regular corporate rates to the extent that it annually distributes less than 100% of its net taxable income. Before we pay any dividend, whether for U.S. federal income tax purposes or otherwise, we must first meet both our operating requirements and debt service on our financing arrangements and other debt payable. If our cash available for distribution is less than our net taxable income, we could be required to sell assets or borrow funds to make required cash distributions or we may make a portion of the required distribution in the form of a taxable stock distribution or distribution of debt securities.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above, our distribution requirements are based on taxable income rather than GAAP net income. Differences between taxable income and GAAP net income include (i) unrealized gains and losses associated with investment and derivative portfolios which are marked-to-market in current income for GAAP purposes, but excluded from taxable income until realized or settled, (ii) temporary differences related to amortization of premiums and discounts paid on investments, (iii) the timing and amount of deductions related to stock-based compensation, (iv) temporary differences related to the recognition of realized gains and losses on sold investments and certain terminated derivatives, (v) taxes, and (vi) differences between GAAP income or losses in our TRSs and taxable income resulting from dividend distributions to the REIT from our TRSs. Undistributed taxable income is based on current estimates and is not finalized until we file our annual tax return for that tax year, typically in October of the following year. As of December 31, 2025, we had estimated undistributed taxable income of approximately $0.12 per common share.</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declared common stock dividends of $0.24 per share. During the same period, the Company declared and paid preferred stock dividends on its Series A Preferred Stock, Series B Preferred Stock, and Series C Preferred Stock of $0.51563, $0.50, and $0.652391 per share,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liquidity determines our ability to meet our cash obligations, including distributions to our stockholders, payment of our expenses, financing our investments and satisfying other general business needs.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principal sources of cash consist of borrowings under securitized debt and financing arrangements, principal and interest payments we receive on our investment portfolio, cash generated from our operating results, proceeds from the sale of investments, and proceeds from capital market transactions. We typically use cash to repay principal and interest on our securitized debt, financing arrangements and senior unsecured notes, to purchase loans, real estate securities, and other real estate related assets, to make dividend payments on our capital stock, to repurchase our capital stock, and to fund our operations. We may also generate liquidity when restricted cash that was pledged as collateral for clearing and executing trades, derivatives, and financing arrangements becomes unrestricted when the related collateral requirements are exceeded or at the maturity of the derivative or financing arrangement. Refer to "—Margin requirements" below discussing instances where we may use liquidity to meet margin requirements. As of March 31, 2026, we pledged Home Equity Loans with a fair value of $66.2 million and an unpaid principal balance of $63.7 million, in which we have no outstanding financing but have the ability to borrow at an advance rate of 87.5% of unpaid principal balance pledged as collateral. Of this available financing, $50.0 million is contractually committed. At March 31, 2026, we had $100.0 million of liquidity, which consisted of $49.3 million of cash and cash equivalents, $50.0 million of available committed financing on certain Home Equity Loans, and $0.7 million of unencumbered Agency RMBS available to support our liquidity needs.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color w:val="auto"/>
        </w:rPr>
        <w:t>Margin requirements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fair value of our loans and real estate securities fluctuate according to market conditions. When the fair value of the assets pledged as collateral to secure a financing arrangement decreases to the point where the difference between the collateral fair value and the financing arrangement amount is less than the haircut, our lenders may issue a "margin call," which requires us to post additional collateral to the lender in the form of additional assets or cash. Under our repurchase facilities, our lenders have full discretion to determine the fair value of the securities we pledge to them. Our lenders typically value assets based on recent transactions in the market. Lenders also issue margin calls as the published current principal balance factors change on the pool of mortgages underlying the securities pledged as collateral when scheduled and unscheduled paydowns are announced monthly. We experience margin calls in the ordinary course of our business. In addition to our cash and cash equivalents, we may hold unpledged Agency RMBS and maintain available committed financing on certain residential mortgage loans to effectively manage the margin requirements established by our lenders. We refer to this position as our "liquidity." The level of liquidity we maintain to meet margin calls is directly affected by our leverage levels, our haircuts and the price changes on our assets. Typically, if interest rates increase or if credit spreads widen, then the prices of our collateral (and our unpledged Agency RMBS that constitute a portion of our liquidity) will decline, we will experience margin calls, and we will need to use our liquidity to meet the margin calls. There can be no assurance that we will maintain sufficient levels of liquidity to meet any margin calls. If our haircuts on existing financing arrangements increase, our liquidity will proportionately decrease. We intend to maintain a level of liquidity in relation to our borrowings that enables us to meet reasonably anticipated margin calls but that also allows us to be substantially invested in the residential mortgage market. We may misjudge the appropriate amount of our liquidity by maintaining excessive liquidity, which would lower our investment returns, or by maintaining insufficient liquidity, which may force us to liquidate assets into potentially unfavorable market conditions and harm our results of operations and financial condition.</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Similar to the margin calls that we receive on our borrowing agreements, we may also receive margin calls on our derivative instruments when their fair value declines. This typically occurs when prevailing market rates change adversely, with the severity of the change also dependent on the terms of the derivatives involved. We may also receive margin calls on our derivatives based on the implied volatility of interest rates. Our posting of collateral with our counterparties can be done in cash or assets, and is generally bilateral, which means that if the fair value of our interest rate hedges increases, our counterparty will be required to post collateral with us. Refer to the "Liquidity risk – derivatives" section of Item 3 below for a further discussion on margin.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details changes to our cash, cash equivalents, and restricted cash for the three months ended March 31, 2026 and 2025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60" w:type="dxa"/>
            <w:vAlign w:val="bottom"/>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4"/>
        </w:trPr>
        <w:tc>
          <w:tcPr>
            <w:tcW w:w="55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Period</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76,321</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138,568</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(62,247)</w:t>
            </w:r>
          </w:p>
        </w:tc>
      </w:tr>
      <w:tr>
        <w:trPr>
          <w:trHeight w:val="270"/>
        </w:trPr>
        <w:tc>
          <w:tcPr>
            <w:tcW w:w="5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 (1)</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8,344</w:t>
            </w:r>
          </w:p>
        </w:tc>
      </w:tr>
      <w:tr>
        <w:trPr>
          <w:trHeight w:val="21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 (2)</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326,897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(314,725)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641,622</w:t>
            </w:r>
          </w:p>
        </w:tc>
      </w:tr>
      <w:tr>
        <w:trPr>
          <w:trHeight w:val="21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 (3)</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(355,837)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(649,214)</w:t>
            </w:r>
          </w:p>
        </w:tc>
      </w:tr>
      <w:tr>
        <w:trPr>
          <w:trHeight w:val="270"/>
        </w:trPr>
        <w:tc>
          <w:tcPr>
            <w:tcW w:w="5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 and restricted cash</w:t>
            </w: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(8,599)</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w:t>
            </w:r>
          </w:p>
        </w:tc>
      </w:tr>
      <w:tr>
        <w:trPr>
          <w:trHeight w:val="207"/>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End of Period</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67,722</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129,217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(61,495)</w:t>
            </w:r>
          </w:p>
        </w:tc>
      </w:tr>
    </w:tbl>
    <w:p>
      <w:pPr>
        <w:spacing w:after="0" w:line="81"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provided by operating activities is primarily attributable to net interest income less operating expenses for the three months ended March 31, 2026.</w:t>
      </w:r>
    </w:p>
    <w:p>
      <w:pPr>
        <w:spacing w:after="0" w:line="23" w:lineRule="exact"/>
        <w:rPr>
          <w:rFonts w:ascii="Times New Roman" w:cs="Times New Roman" w:eastAsia="Times New Roman" w:hAnsi="Times New Roman"/>
          <w:sz w:val="16"/>
          <w:szCs w:val="16"/>
          <w:color w:val="auto"/>
        </w:rPr>
      </w:pPr>
    </w:p>
    <w:p>
      <w:pPr>
        <w:ind w:left="660" w:hanging="328"/>
        <w:spacing w:after="0" w:line="248" w:lineRule="auto"/>
        <w:tabs>
          <w:tab w:leader="none" w:pos="6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provided by investing activities for the three months ended March 31, 2026 was primarily attributable to principal repayments on our investment portfolio and proceeds from the sale of certain investments, offset by purchases of residential mortgage loans and real estate securities.</w:t>
      </w:r>
    </w:p>
    <w:p>
      <w:pPr>
        <w:spacing w:after="0" w:line="1" w:lineRule="exact"/>
        <w:rPr>
          <w:rFonts w:ascii="Times New Roman" w:cs="Times New Roman" w:eastAsia="Times New Roman" w:hAnsi="Times New Roman"/>
          <w:sz w:val="16"/>
          <w:szCs w:val="16"/>
          <w:color w:val="auto"/>
        </w:rPr>
      </w:pPr>
    </w:p>
    <w:p>
      <w:pPr>
        <w:ind w:left="660" w:right="20" w:hanging="328"/>
        <w:spacing w:after="0" w:line="270" w:lineRule="auto"/>
        <w:tabs>
          <w:tab w:leader="none" w:pos="6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used in financing activities for the three months ended March 31, 2026 was primarily attributable to principal repayments on securitized debt and dividend payments, offset by net borrowing of repurchase agreements.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programs</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August 3, 2022, our Board of Directors authorized a stock repurchase program (the "2022 Repurchase Program") to repurchase up to $15.0 million of our outstanding common stock. The 2022 Repurchase Program does not have an expiration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62" w:name="page63"/>
    <w:bookmarkEnd w:id="62"/>
    <w:p>
      <w:pPr>
        <w:jc w:val="both"/>
        <w:spacing w:after="0" w:line="255" w:lineRule="auto"/>
        <w:rPr>
          <w:sz w:val="20"/>
          <w:szCs w:val="20"/>
          <w:color w:val="auto"/>
        </w:rPr>
      </w:pPr>
      <w:r>
        <w:rPr>
          <w:rFonts w:ascii="Times New Roman" w:cs="Times New Roman" w:eastAsia="Times New Roman" w:hAnsi="Times New Roman"/>
          <w:sz w:val="18"/>
          <w:szCs w:val="18"/>
          <w:color w:val="auto"/>
        </w:rPr>
        <w:t>date and permits us to repurchase our shares through various methods, including open market repurchases, privately negotiated block transactions and Rule 10b5-1 plans. We may repurchase shares of our common stock from time to time in compliance with SEC regulations and other legal requirements. The extent to which we repurchase our shares, and the timing, manner, price, and amount of any such repurchases, will depend upon a variety of factors including market conditions and other corporate considerations as determined by management, as well as the limits of the 2022 Repurchase Program and our liquidity and business strategy. The 2022 Repurchase Program does not obligate us to acquire any particular amount of shares and may be modified or discontinued at any time. As of the date of this filing, approximately $1.5 million of common stock remained authorized for future share repurchases under the 2022 Repurchase Program. There were no shares repurchased during the three months ended March 31, 2026 and 2024.</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4, 2023, our Board of Directors authorized a stock repurchase program (the "2023 Repurchase Program") to repurchase up to $15.0 million of our outstanding common stock on substantially the same terms as the 2022 Repurchase Program. As of the date of this filing, the full $15.0 million authorized amount remains available for repurchase under the 2023 Repurchase Program. This authorization is in addition to the amount remaining under the 2022 Repurchase Program.</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22, 2021, our Board of Directors authorized a stock repurchase program (the "Preferred Repurchase Program") pursuant to which our Board of Directors granted a repurchase authorization to acquire shares of our Series A Preferred Stock, Series B Preferred Stock, and Series C Preferred Stock having an aggregate value of up to $20.0 million. No share repurchases under the Preferred Repurchase Program have been made since its authorization.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Shares of stock repurchased by us under any repurchase program, if any, will be cancelled and, until reissued by us, will be deemed to be authorized but unissued shares of our stock as required by Maryland law. The cost of the acquisition by us of shares of our own stock in excess of the aggregate par value of the shares first reduces additional paid-in capital, to the extent available, with any residual cost applied against retained earnings.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distribution agreements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6, 2024, we entered into separate equity distribution agreements (the "2024 Equity Distribution Agreements") with each of BTIG, LLC, JonesTrading Institutional Services LLC, Keefe, Bruyette &amp; Woods, Inc. and Piper Sandler &amp; Co. (collectively, the "2024 Sales Agents"), pursuant to which we may sell up to $75.0 million aggregate offering price of shares of our common stock from time to time through an "at-the-market" equity offering program under which the 2024 Sales Agents will act as sales agent. We did not issue any shares of common stock under the 2024 Equity Distribution Agreements during the three months ended March 31, 2026 and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additional interest in AG Arc</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 2025, in connection with the acquisition of an additional 21.4% interest in AG Arc LLC (“AG Arc”), we issued 2,027,676 restricted shares of common stock (the “Holder Shares”) to certain funds managed by an affiliate of TPG (the “Holders”) as consideration. Refer to Note 10 of the "Notes to Consolidated Financial Statements (unaudited)" for additional information. Pursuant to the registration rights agreement we entered into with the Holders, in August 2025, we filed a resale shelf registration statement on Form S-3 registering the resale of all the Holder Shares (the “Resale Shelf”), which was declared effective by the Securities and Exchange Commission in August 2025. As March 31, 2026, the Holders no longer hold any shares of our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 regarding liquidity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upon our current portfolio, leverage and available borrowing arrangements, we believe the net proceeds of our common equity offerings, preferred equity offerings, senior unsecured note issuances, and private placements, combined with cash flow from operating activities, financing activities, and our available borrowing capacity will be sufficient to enable us to meet our anticipated liquidity requirements, including funding our investment activities, paying fees under our management agreement, funding our distributions to stockholders, funding financing maturities, and paying general corporate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agreement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management agreement, as amended, provides for payment to the Manager of a management fee, an incentive fee, and reimbursements of certain expenses incurred by the Manager or its affiliates on behalf of us.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color w:val="auto"/>
        </w:rPr>
        <w:t>Management fee</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management fee is calculated and payable quarterly in arrears in an amount equal to 1.50% of our Stockholders’ Equity, per annum. For purposes of calculating the management fee, "Stockholders’ Equity" means the sum of the net proceeds from any issuances of equity securities (including preferred securities) since inception (allocated on a pro rata daily basis for such issuances during the fiscal quarter of any such issuance, and excluding any future equity issuance to the Manager), plus our retained earnings at the end of such quarter (without taking into account any non-cash equity compensation expense or other non-cash items described below incurred in current or prior periods), less any amount that we pay for repurchases of our common stock, excluding any unrealized gains, losses or other non-cash items that have impacted stockholders’ equity as reported in our financial statements prepared in accordance with GAAP, regardless of whether such items are included in other comprehensive income or loss, or in net income, and excluding one-time events pursuant to changes in GAAP, and certain other non-cash charges after discussions between the Manager and our independent directors and after approval by a majority of our independent directors. Stockholders’ Equity, for purposes of calculating the management fee, could be greater or less than the amount of stockholders’ equity shown on our financial statements. The below table details the management fees incurred during the three months ended March 31, 2026 and 2025 (in thousands).</w:t>
      </w:r>
    </w:p>
    <w:p>
      <w:pPr>
        <w:spacing w:after="0" w:line="19" w:lineRule="exact"/>
        <w:rPr>
          <w:sz w:val="20"/>
          <w:szCs w:val="20"/>
          <w:color w:val="auto"/>
        </w:rPr>
      </w:pPr>
    </w:p>
    <w:tbl>
      <w:tblPr>
        <w:tblLayout w:type="fixed"/>
        <w:tblInd w:w="1380" w:type="dxa"/>
        <w:tblCellMar>
          <w:top w:w="0" w:type="dxa"/>
          <w:left w:w="0" w:type="dxa"/>
          <w:bottom w:w="0" w:type="dxa"/>
          <w:right w:w="0" w:type="dxa"/>
        </w:tblCellMar>
      </w:tblPr>
      <w:tr>
        <w:trPr>
          <w:trHeight w:val="212"/>
        </w:trPr>
        <w:tc>
          <w:tcPr>
            <w:tcW w:w="4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4"/>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line item:</w:t>
            </w:r>
          </w:p>
        </w:tc>
        <w:tc>
          <w:tcPr>
            <w:tcW w:w="24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Pr>
          <w:p>
            <w:pPr>
              <w:spacing w:after="0"/>
              <w:rPr>
                <w:sz w:val="18"/>
                <w:szCs w:val="18"/>
                <w:color w:val="auto"/>
              </w:rPr>
            </w:pPr>
          </w:p>
        </w:tc>
        <w:tc>
          <w:tcPr>
            <w:tcW w:w="16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11"/>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Management fee to affiliate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we recorded management fees payable of $2.3 million and $2.3 million, respectively. The management fee payable is included within the "Due to affiliates" line item within the "Other liabilities" line item on the consolidated balance sheets.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fee</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Manager is entitled to an annual incentive fee with respect to each applicable fiscal year, which will be equal to 15% of the amount by which our cumulative adjusted net income from November 22, 2021 exceeds the cumulative hurdle amount, which represents an 8% return (cumulative, but not compounding) on an equity hurdle base consisting of the sum of (i) $341.5 million and (ii) the gross proceeds of any subsequent public or private common stock offerings by us. The annual incentive fee will be payable in cash, or, at the option of our Board of Directors, shares of common stock or a combination of cash and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we did not incur any incentive fee expense.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fee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occurrence of (i) our termination of the management agreement without cause or (ii) the Manager’s termination of the management agreement upon a breach by the Company of any material term of the management agreement, the Manager will be entitled to a termination fee equal to three times the average annual management fee during the 24-month period prior to such termination, calculated as of the end of the most recently completed fiscal quarter. As of March 31, 2026 and December 31, 2025, no event of termination of the management agreement had occurred.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reimbursement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Manager uses the proceeds from its management fee in part to pay compensation to its officers and personnel, who, notwithstanding that certain of them also are our officers, receive no compensation directly from us. We are required to reimburse our Manager or its affiliates for operating expenses incurred by our Manager or its affiliates on our behalf, including certain salary expenses and other expenses relating to legal, accounting, due diligence and other services. Our reimbursement obligation is not subject to any dollar limitation; however, reimbursements are subject to an annual budget process which combines guidelines from the management agreement with oversight by our Board of Directors and discussions with our Manager.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The below table details the expense reimbursement incurred during the three months ended March 31, 2026 and 2025 (in thousands).</w:t>
      </w:r>
    </w:p>
    <w:p>
      <w:pPr>
        <w:spacing w:after="0" w:line="52" w:lineRule="exact"/>
        <w:rPr>
          <w:sz w:val="20"/>
          <w:szCs w:val="20"/>
          <w:color w:val="auto"/>
        </w:rPr>
      </w:pPr>
    </w:p>
    <w:tbl>
      <w:tblPr>
        <w:tblLayout w:type="fixed"/>
        <w:tblInd w:w="138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jc w:val="right"/>
              <w:ind w:right="113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37"/>
        </w:trPr>
        <w:tc>
          <w:tcPr>
            <w:tcW w:w="4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line item:</w:t>
            </w:r>
          </w:p>
        </w:tc>
        <w:tc>
          <w:tcPr>
            <w:tcW w:w="260" w:type="dxa"/>
            <w:vAlign w:val="bottom"/>
          </w:tcPr>
          <w:p>
            <w:pPr>
              <w:spacing w:after="0"/>
              <w:rPr>
                <w:sz w:val="20"/>
                <w:szCs w:val="20"/>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Pr>
          <w:p>
            <w:pPr>
              <w:spacing w:after="0"/>
              <w:rPr>
                <w:sz w:val="20"/>
                <w:szCs w:val="20"/>
                <w:color w:val="auto"/>
              </w:rPr>
            </w:pPr>
          </w:p>
        </w:tc>
        <w:tc>
          <w:tcPr>
            <w:tcW w:w="16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6"/>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Non-investment related expenses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r>
      <w:tr>
        <w:trPr>
          <w:trHeight w:val="240"/>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Investment related expenses</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Transaction related expenses</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04"/>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Expense reimbursements to Manager or its affiliates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w:t>
            </w:r>
          </w:p>
        </w:tc>
      </w:tr>
    </w:tbl>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we recorded a reimbursement payable to our Manager or its affiliates of $1.3 million and $2.1 million, respectively The reimbursement payable to the Manager or its affiliates is included within the "Due to affiliates" line item within the "Other liabilities" line item on the consolidated balance sheets.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5, 2025, following approval by stockholders at our annual stockholders meeting, our 2025 Equity Incentive Plan (the “2025 Equity Incentive Plan”) became effective. The maximum number of shares of our common stock that could be issued under the 2025 Equity Incentive Plan was 800,000 shares of common stock, plus 220,781 shares of common stock (which reflects the number of shares that remained available for issuance under the equity incentive plan approved in 2020 (the “2020 Equity Incentive Plan”) as of May 4, 2025), plus 86,666 shares of common stock that remained subject to outstanding awards under the 2020 Equity Incentive Plan but only to the extent that such shares become forfeited or otherwise lapse. As a result of the adoption of the 2025 Equity Incentive Plan, no additional awards will be granted under the 2020 Equity Incentive Plan (although awards previously made under the 2020 Equity Incentive Plan will remain in effect subject to the terms of the 2020 Equity Incentive Plan and the applicable award agreement).</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inception of the 2025 Equity Incentive Plan and through March 31, 2026, we have granted an aggregate 35,586 shares of restricted common stock and 1,278 dividend equivalent units to our independent directors, all of which have vested. As of March 31, 2026, there were 983,917 remaining shares available to be issued under the 2025 Equity Incentive Plan.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we have 12,981 restricted stock units and 3,327 associated dividend equivalent units outstanding, all of which are fully vested and held by one of our independent directors. These units will be settled on a one-for-one basis in shares of our common stock upon the director's separation from service with us.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Manager Equity Incentive Plans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 Mortgage Investment Trust, Inc. 2021 Manager Equity Incentive Plan (the "2021 Manager Plan"), which became effective on April 7, 2021 following the approval of our stockholders at our 2021 annual meeting of stockholders, provides for a maximum of 573,425 shares of common stock that may be subject to awards thereunder to our Manager. As of March 31, 2026, there were no shares or awards issued under the 2021 Manager Plan. Following the execution of the Third Amendment to our management agreement in November 2021 related to the incentive fee, our compensation committee no longer expects to continue its historical practice of making periodic equity grants to the Manager pursuant to the 2021 Manager Plan.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Unfunded commitments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of the "Notes to Consolidated Financial Statements (unaudited)" for detail on our commitments as of March 31, 2026.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investments in debt and equity of affiliates primarily consist of real estate securities and our interest in AG Arc. Investments in debt and equity of affiliates are accounted for using the equity method of accounting. Certain of our investments in debt and equity of affiliates securitize residential mortgage loans and retain interests in the subordinated tranches of the transferred assets. These retained interests are included in the MATT Non-QM Securities and Re/Non-Performing Securities line items of our investment portfolio. See Note 10 to the "Notes to Consolidated Financial Statements (unaudited)" for a discussion of investments in debt and equity of affiliates.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5" w:name="page66"/>
    <w:bookmarkEnd w:id="65"/>
    <w:p>
      <w:pPr>
        <w:jc w:val="both"/>
        <w:spacing w:after="0" w:line="266" w:lineRule="auto"/>
        <w:rPr>
          <w:sz w:val="20"/>
          <w:szCs w:val="20"/>
          <w:color w:val="auto"/>
        </w:rPr>
      </w:pPr>
      <w:r>
        <w:rPr>
          <w:rFonts w:ascii="Times New Roman" w:cs="Times New Roman" w:eastAsia="Times New Roman" w:hAnsi="Times New Roman"/>
          <w:sz w:val="18"/>
          <w:szCs w:val="18"/>
          <w:color w:val="auto"/>
        </w:rPr>
        <w:t>We record TBA purchases and sales on the trade date and present the purchase or receipt net of the corresponding payable or receivable until the settlement date of the transaction. Refer to Note 7 to the "Notes to Consolidated Financial Statements (unaudited)" for additional detail on TBAs as of March 31, 2026, if applicable.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on our commitments as of March 31, 2026, refer to Note 12 of the "Notes to Consolidated Financial Statements (unaudited)." We do not expect these commitments, taken as a whole, to be significant to, or to have a material impact on, our overall liquidity or capital resources or our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GAAP, which requires the use of estimates and assumptions that affect reported amounts of assets and liabilities and disclosure of contingent assets and liabilities at the date of the financial statements and the amounts of income and expenses during the reporting period. These estimates are based, in part, on our judgment and assumptions regarding various economic conditions that we believe are reasonable based on facts and circumstances existing at the time of reporting. We believe that the estimates, judgments and assumptions utilized in the preparation of our consolidated financial statements are prudent and reasonable. Although our estimates contemplate conditions as of March 31, 2026 and how we expect them to change in the future, it is reasonably possible that actual conditions could be different than anticipated in arriving at those estimates, which could materially affect reported amounts of assets and liabilities at the date of the consolidated financial statements and the reported amounts of income and expenses during the periods presented.</w:t>
      </w:r>
    </w:p>
    <w:p>
      <w:pPr>
        <w:spacing w:after="0" w:line="21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most critical accounting policies include (i) Valuation of financial instruments, (ii) Accounting for loans, (iii) Accounting for real estate securities, (iv) Interest income recognition, (v) Financing arrangements, and (vi) Investment consolidation. Our critical accounting estimates are those which require assumptions to be made about matters that are highly uncertain and include (i), (iv), and (vi) above. A discussion of critical accounting policies and estimates is included in our Form 10-K. Our critical accounting policies and estimates have not materially changed since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REIT Qualification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elected to be treated as a REIT under Sections 856 through 859 of the Internal Revenue Code of 1986, as amended (the "Code"). Our qualification as a REIT depends upon our ability to meet on a continuing basis, through actual investment and operating results, various complex requirements under the Code relating to, among other things, the sources of our gross income, the composition and values of our assets, our distribution levels and the diversity of ownership of our shares. We believe that we are organized in conformity with the requirements for qualification and taxation as a REIT under the Code, and that our manner of operation enables us to meet the requirements for qualification and taxation as a REIT.</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generally need to distribute at least 90% of our ordinary taxable income each year (subject to certain adjustments) to our stockholders in order to qualify as a REIT under the Code. Our ability to make distributions to our stockholders depends, in part, upon the performance of our investment portfolio.</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REIT, we generally are not subject to U.S. federal income tax on our REIT taxable income that we distribute currently to our stockholders. If we fail to qualify as a REIT in any taxable year and do not qualify for certain statutory relief provisions, we will be subject to U.S. federal income tax at regular corporate rates and may be precluded from qualifying as a REIT for the subsequent four taxable years following the year during which we lost our REIT qualification. Accordingly, our failure to qualify as a REIT could have a material adverse impact on our results of operations and our ability to pay distributions, if any, to our stockholders. Even if we qualify for taxation as a REIT, we may be subject to some U.S. federal, state and local taxes on our income or property. In addition, any income earned by a domestic taxable REIT subsidiary, or TRS, will be subject to corporate income taxation.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Company Act Exemption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 our business so as to maintain our exempt status under, and not to become regulated as an investment company for purposes of, the Investment Company Act. Under Section 3(a)(1)(A) of the Investment Company Act, a company is an investment company if it is, or holds itself out as being, engaged primarily, or proposes to engage primarily, in the business of investing, reinvesting or trading in securities. Under Section 3(a)(1)(C) of the Investment Company Act, a company is deemed to be an investment company if it is engaged, or proposes to engage, in the business of investing, reinvesting, owning, holding or trading in securities and owns or proposes to acquire "investment securities" having a value exceeding 40% of the value of its total assets (exclusive of U.S. government securities and cash items) on an unconsolidated basis (the "40% Test"). "Investment securities" do not include, among other things, U.S. government securities, and securities issued by majority-owned subsidiaries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6" w:name="page67"/>
    <w:bookmarkEnd w:id="66"/>
    <w:p>
      <w:pPr>
        <w:jc w:val="both"/>
        <w:spacing w:after="0" w:line="282" w:lineRule="auto"/>
        <w:rPr>
          <w:sz w:val="20"/>
          <w:szCs w:val="20"/>
          <w:color w:val="auto"/>
        </w:rPr>
      </w:pPr>
      <w:r>
        <w:rPr>
          <w:rFonts w:ascii="Times New Roman" w:cs="Times New Roman" w:eastAsia="Times New Roman" w:hAnsi="Times New Roman"/>
          <w:sz w:val="18"/>
          <w:szCs w:val="18"/>
          <w:color w:val="auto"/>
        </w:rPr>
        <w:t>that (i) are not investment companies and (ii) are not relying on the exceptions from the definition of investment company provided by Section 3(c)(1) or 3(c)(7) of the Investment Company Act (the so called "private investment company" exemptions).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our operations such that we will not be considered an investment company under Section 3(a)(1) of the Investment Company Act by complying with the 40% Test and not engaging primarily (or holding ourselves out as being engaged primarily) in the business of investing, reinvesting, or trading in securities. Rather, through wholly-owned or majority-owned subsidiaries, we are primarily engaged in the non-investment company businesses of these subsidiaries, namely the real estate finance business of purchasing or otherwise acquiring mortgage loans and other interests in real estate.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have several subsidiaries that rely on the exclusion provided by Section 3(c)(7) of the Investment Company Act, each a "3(c)(7) subsidiary." In addition, we currently have several subsidiaries that rely on the exclusion provided by Section 3(c)(5)(C) of the Investment Company Act, each a "3(c)</w:t>
      </w:r>
    </w:p>
    <w:p>
      <w:pPr>
        <w:spacing w:after="0"/>
        <w:rPr>
          <w:sz w:val="20"/>
          <w:szCs w:val="20"/>
          <w:color w:val="auto"/>
        </w:rPr>
      </w:pPr>
      <w:r>
        <w:rPr>
          <w:rFonts w:ascii="Times New Roman" w:cs="Times New Roman" w:eastAsia="Times New Roman" w:hAnsi="Times New Roman"/>
          <w:sz w:val="18"/>
          <w:szCs w:val="18"/>
          <w:color w:val="auto"/>
        </w:rPr>
        <w:t>(5)(C) subsidiary."</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investments in 3(c)(7) subsidiaries are considered investment securities for the purposes of the 40% Test, investments in 3(c)(5)(C) subsidiaries are not considered investment securities for the purposes of the 40% Test, nor are investments in subsidiaries that rely on the exclusion provided by Section 3(a)(1)(C). Therefore, our investments in 3(c)(7) subsidiaries and other investment securities cannot exceed 40% of the value of our total assets (excluding U.S. government securities and cash) on an unconsolidated basis.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3(c)(5)(C) of the Investment Company Act exempts from the definition of "investment company" entities primarily engaged in the business of purchasing or otherwise acquiring mortgages and other liens on and interests in real estate. The SEC staff generally requires an entity relying on Section 3(c)(5)(C) to invest at least 55% of its portfolio in "qualifying assets" and at least another 25% in additional qualifying assets or in "real estate-related assets" (with no more than 20% comprised of miscellaneous assets). Both the 40% Test and the requirements of the Section 3(c)(5)(C) exclusion limit the types of businesses in which we may engage and the types of assets we may hold, as well as the timing of sales and purchases of assets. For example, these restrictions limit our and our 3(c)(5)(C) subsidiaries’ ability to invest directly in Agency RMBS that represent less than the entire ownership in a pool of mortgage loans or debt and equity tranches of Non-Agency RMBS (in each case to the extent such interest are not retained interest in securitizations consisting of mortgage loans that were owned by us and such securitizations were not sponsored by us in order to obtain financing to acquire additional mortgage loans), certain real estate companies and assets not related to real estate.</w:t>
      </w:r>
    </w:p>
    <w:p>
      <w:pPr>
        <w:spacing w:after="0" w:line="1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determination that we qualify for this exemption from being regulated as an investment company depends on various factual matters and circumstances. We closely monitor our holdings to ensure continuing and ongoing compliance with these tests. If we failed to comply with the 40% Test or another exemption under the Investment Company Act and became regulated as an investment company, our ability to, among other things, use leverage would be substantially reduced and, as a result, we would be unable to conduct our business as described in this report.</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primary components of our market risk relate to interest rates, liquidity, real estate, credit, prepayment rates, basis, and capital markets risk. While we do not seek to avoid risk completely, we seek to assume risk that can be reasonably quantified from historical experience and to actively manage that risk, to earn sufficient returns to justify taking those risks and to maintain capital levels consistent with the risks we undertake. Many of these risks have become particularly heightened due to sustained inflation, rising mortgage rates, the Federal Reserve's monetary policy actions, and market uncertainty from geopolitical risks.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Interest rate risk is highly sensitive to many factors, including governmental monetary, fiscal and tax policies, domestic and international economic and political considerations and other factors beyond our control. We are subject to interest rate risk in connection with both our investments and the financing under our financing arrangements. We generally seek to manage this risk by monitoring the reset index and the interest rate related to our investment portfolio and our financings; by structuring our financing arrangements to have a range of maturity terms, amortizations and interest rate adjustment periods; and by using derivative instruments to adjust interest rate sensitivity of our investment portfolio and borrowings. Our hedging techniques can be highly complex, and the value of our investment portfolio and derivatives may be adversely affected as a result of changing interest rates.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effects on net interest income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operating results depend in large part upon differences between the yields earned on our investments and our cost of borrowing and upon the effectiveness of our interest rate hedging activities. The majority of our financing arrangements are short term in nature, exclusive of our residential mortgage loans financed through securitized debt. Repurchase agreements financing our securities portfolio or retained interests from our securitizations typically have an initial term between 30 and 90 days while repurchase agreements financing our residential mortgage loans prior to securitization have an initial term of one year. The financing rate on these agreements will generally be determined at the outset of each transaction by reference to prevailing rates plus a spread. As a result, our borrowing costs will tend to increase during periods of rising interest rates as we renew, or "roll", maturing transactions at the higher prevailing rates. When combined with the fact that the income we earn on our fixed interest rate investments will remain substantially unchanged, this will result in a narrowing of the net interest spread between the related assets and borrowings and may even result in losses.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an attempt to offset the increase in funding costs related to rising interest rates, our Manager may cause us to enter into hedging transactions structured to provide us with positive cash flow in the event interest rates rise. Our Manager accomplishes this through the use of interest rate derivatives. Some hedging strategies involving the use of derivatives are highly complex, may produce volatile returns and may expose us to increased risks relating to counterparty defaults.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effects on fair value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Another component of interest rate risk is the effect that changes in interest rates will have on the fair value of the assets that we acquire.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in a rising interest rate environment, the fair value of our loan and real estate securities portfolios would be expected to decrease, all other factors being held constant. In particular, the portion of our real estate securities and loan portfolios with fixed-rate coupons would be expected to decrease in value more severely than that portion with a floating-rate coupon. This is because fixed-rate coupon assets tend to have significantly more duration, or price sensitivity to changes in interest rates, than floating-rate coupon assets. Fixed-rate assets currently represent a majority of our portfolio.</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our investment portfolio could change at a different rate than the fair value of our liabilities when interest rates change. We measure the sensitivity of our portfolio to changes in interest rates by estimating the duration of our assets and liabilities. Duration is the approximate percentage change in fair value for an instantaneous 100 basis point parallel shift in the yield curve while assuming all other market risk factors remain constant. In general, our assets have higher duration than our liabilities. In order to reduce this exposure, we use hedging instruments to reduce the gap in duration between our assets and liabilities.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quantifies the estimated percent change in GAAP equity, the fair value of our assets, and projected net interest income should interest rates go up or down instantaneously by 25, 50, and 75 basis points, assuming (i) the yield curves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8" w:name="page69"/>
    <w:bookmarkEnd w:id="68"/>
    <w:p>
      <w:pPr>
        <w:jc w:val="both"/>
        <w:spacing w:after="0" w:line="261" w:lineRule="auto"/>
        <w:rPr>
          <w:sz w:val="20"/>
          <w:szCs w:val="20"/>
          <w:color w:val="auto"/>
        </w:rPr>
      </w:pPr>
      <w:r>
        <w:rPr>
          <w:rFonts w:ascii="Times New Roman" w:cs="Times New Roman" w:eastAsia="Times New Roman" w:hAnsi="Times New Roman"/>
          <w:sz w:val="18"/>
          <w:szCs w:val="18"/>
          <w:color w:val="auto"/>
        </w:rPr>
        <w:t>of the rate shocks will be parallel to each other and the current yield curve and (ii) all other market risk factors remain constant. These estimates were compiled using a combination of third-party services and models, market data and internal models. All changes in equity, assets, and income are measured as percentage changes from the GAAP equity, assets, and projected net interest income from our base interest rate scenario. The base interest rate scenario assumes spot and forward interest rates existing as of March 31, 2026. Actual results could differ materially from these estimates.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Agency RMBS and Agency-Eligible Loan assumptions attempt to predict default and prepayment activity at projected interest rate levels. To the extent that these estimates or other assumptions do not hold true, actual results will likely differ materially from projections and could result in percentage changes larger or smaller than the estimates in the table below. Moreover, if different models were employed in the analysis, materially different projections could result. In addition, while the table below reflects the estimated impact of interest rate increases and decreases on a static portfolio as of March 31, 2026, our Manager may from time to time sell any of our investments as a part of the overall management of our investment portfolio.</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Change in Interest Rates (basis</w:t>
            </w:r>
          </w:p>
        </w:tc>
        <w:tc>
          <w:tcPr>
            <w:tcW w:w="210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Change in Fair</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Change in Fair Value as a</w:t>
            </w: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Change in</w:t>
            </w:r>
          </w:p>
        </w:tc>
        <w:tc>
          <w:tcPr>
            <w:tcW w:w="0" w:type="dxa"/>
            <w:vAlign w:val="bottom"/>
          </w:tcPr>
          <w:p>
            <w:pPr>
              <w:spacing w:after="0"/>
              <w:rPr>
                <w:sz w:val="1"/>
                <w:szCs w:val="1"/>
                <w:color w:val="auto"/>
              </w:rPr>
            </w:pPr>
          </w:p>
        </w:tc>
      </w:tr>
      <w:tr>
        <w:trPr>
          <w:trHeight w:val="162"/>
        </w:trPr>
        <w:tc>
          <w:tcPr>
            <w:tcW w:w="3120" w:type="dxa"/>
            <w:vAlign w:val="bottom"/>
            <w:gridSpan w:val="2"/>
            <w:vMerge w:val="continue"/>
          </w:tcPr>
          <w:p>
            <w:pPr>
              <w:spacing w:after="0"/>
              <w:rPr>
                <w:sz w:val="14"/>
                <w:szCs w:val="14"/>
                <w:color w:val="auto"/>
              </w:rPr>
            </w:pPr>
          </w:p>
        </w:tc>
        <w:tc>
          <w:tcPr>
            <w:tcW w:w="2100" w:type="dxa"/>
            <w:vAlign w:val="bottom"/>
          </w:tcPr>
          <w:p>
            <w:pPr>
              <w:jc w:val="center"/>
              <w:ind w:left="439"/>
              <w:spacing w:after="0" w:line="162" w:lineRule="exact"/>
              <w:rPr>
                <w:sz w:val="20"/>
                <w:szCs w:val="20"/>
                <w:color w:val="auto"/>
              </w:rPr>
            </w:pPr>
            <w:r>
              <w:rPr>
                <w:rFonts w:ascii="Times New Roman" w:cs="Times New Roman" w:eastAsia="Times New Roman" w:hAnsi="Times New Roman"/>
                <w:sz w:val="16"/>
                <w:szCs w:val="16"/>
                <w:b w:val="1"/>
                <w:bCs w:val="1"/>
                <w:color w:val="auto"/>
              </w:rPr>
              <w:t>Value as a Percentage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2"/>
            <w:vMerge w:val="continue"/>
          </w:tcPr>
          <w:p>
            <w:pPr>
              <w:spacing w:after="0"/>
              <w:rPr>
                <w:sz w:val="14"/>
                <w:szCs w:val="14"/>
                <w:color w:val="auto"/>
              </w:rPr>
            </w:pPr>
          </w:p>
        </w:tc>
        <w:tc>
          <w:tcPr>
            <w:tcW w:w="2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Projected Net Interest</w:t>
            </w:r>
          </w:p>
        </w:tc>
        <w:tc>
          <w:tcPr>
            <w:tcW w:w="0" w:type="dxa"/>
            <w:vAlign w:val="bottom"/>
          </w:tcPr>
          <w:p>
            <w:pPr>
              <w:spacing w:after="0"/>
              <w:rPr>
                <w:sz w:val="1"/>
                <w:szCs w:val="1"/>
                <w:color w:val="auto"/>
              </w:rPr>
            </w:pPr>
          </w:p>
        </w:tc>
      </w:tr>
      <w:tr>
        <w:trPr>
          <w:trHeight w:val="214"/>
        </w:trPr>
        <w:tc>
          <w:tcPr>
            <w:tcW w:w="3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points) (1)</w:t>
            </w:r>
          </w:p>
        </w:tc>
        <w:tc>
          <w:tcPr>
            <w:tcW w:w="210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of GAAP Equity (2)(3)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Percentage of Assets (2)(3)</w:t>
            </w: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(4)</w:t>
            </w:r>
          </w:p>
        </w:tc>
        <w:tc>
          <w:tcPr>
            <w:tcW w:w="0" w:type="dxa"/>
            <w:vAlign w:val="bottom"/>
          </w:tcPr>
          <w:p>
            <w:pPr>
              <w:spacing w:after="0"/>
              <w:rPr>
                <w:sz w:val="1"/>
                <w:szCs w:val="1"/>
                <w:color w:val="auto"/>
              </w:rPr>
            </w:pPr>
          </w:p>
        </w:tc>
      </w:tr>
      <w:tr>
        <w:trPr>
          <w:trHeight w:val="211"/>
        </w:trPr>
        <w:tc>
          <w:tcPr>
            <w:tcW w:w="3000" w:type="dxa"/>
            <w:vAlign w:val="bottom"/>
            <w:tcBorders>
              <w:top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3000" w:type="dxa"/>
            <w:vAlign w:val="bottom"/>
          </w:tcPr>
          <w:p>
            <w:pPr>
              <w:jc w:val="right"/>
              <w:ind w:right="133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3000" w:type="dxa"/>
            <w:vAlign w:val="bottom"/>
          </w:tcPr>
          <w:p>
            <w:pPr>
              <w:jc w:val="right"/>
              <w:ind w:right="127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Pr>
          <w:p>
            <w:pPr>
              <w:spacing w:after="0"/>
              <w:rPr>
                <w:sz w:val="18"/>
                <w:szCs w:val="18"/>
                <w:color w:val="auto"/>
              </w:rPr>
            </w:pPr>
          </w:p>
        </w:tc>
        <w:tc>
          <w:tcPr>
            <w:tcW w:w="2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jc w:val="right"/>
              <w:ind w:right="127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0"/>
        </w:trPr>
        <w:tc>
          <w:tcPr>
            <w:tcW w:w="3000" w:type="dxa"/>
            <w:vAlign w:val="bottom"/>
          </w:tcPr>
          <w:p>
            <w:pPr>
              <w:jc w:val="right"/>
              <w:ind w:right="1279"/>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60" w:hanging="328"/>
        <w:spacing w:after="0" w:line="258" w:lineRule="auto"/>
        <w:tabs>
          <w:tab w:leader="none" w:pos="6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investments held through affiliated entities that are reported as "Investments in debt and equity of affiliates" on our consolidated balance sheet, but excludes AG Arc.</w:t>
      </w:r>
    </w:p>
    <w:p>
      <w:pPr>
        <w:ind w:left="660" w:hanging="328"/>
        <w:spacing w:after="0"/>
        <w:tabs>
          <w:tab w:leader="none" w:pos="6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cash investments, which typically have overnight maturities and are not expected to change in value as interest rates change.</w:t>
      </w:r>
    </w:p>
    <w:p>
      <w:pPr>
        <w:spacing w:after="0" w:line="8" w:lineRule="exact"/>
        <w:rPr>
          <w:rFonts w:ascii="Times New Roman" w:cs="Times New Roman" w:eastAsia="Times New Roman" w:hAnsi="Times New Roman"/>
          <w:sz w:val="16"/>
          <w:szCs w:val="16"/>
          <w:color w:val="auto"/>
        </w:rPr>
      </w:pPr>
    </w:p>
    <w:p>
      <w:pPr>
        <w:ind w:left="660" w:right="20" w:hanging="328"/>
        <w:spacing w:after="0" w:line="255" w:lineRule="auto"/>
        <w:tabs>
          <w:tab w:leader="none" w:pos="6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fair value as a percentage of GAAP equity and assets are inclusive of forward purchase commitments to acquire Non-Agency Loans and Agency-Eligible Loans as of March 31, 2026.</w:t>
      </w:r>
    </w:p>
    <w:p>
      <w:pPr>
        <w:ind w:left="660" w:hanging="328"/>
        <w:spacing w:after="0"/>
        <w:tabs>
          <w:tab w:leader="none" w:pos="6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income includes trades settled as of March 31, 2026.</w:t>
      </w: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set forth in the interest rate sensitivity table above and all related disclosures constitute forward-looking statements within the meaning of Section 27A of the Securities Act and Section 21E of the Exchange Act. Actual results could differ significantly from those estimated in the foregoing interest rate sensitivity table. See below for additional risks which may impact the fair value of our assets, GAAP equity and net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liquidity risk arises from financing long-maturity assets with shorter-term financings primarily in the form of financing arrangements. Our Manager seeks to mitigate our liquidity risks by maintaining a prudent level of leverage, monitoring our liquidity position on a daily basis and maintaining a reasonable cushion of cash and unpledged real estate securities and loans in our portfolio in order to meet future margin calls. In addition, our Manager seeks to further mitigate our liquidity risk by (i) maintaining relationships with a carefully selected group of financing counterparties and (ii) monitoring the ongoing financial stability and future business plans of our financing counterparties.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risk – financing arrangements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pledge mortgage loans or real estate securities and cash as collateral to secure our financing arrangements. Should the fair value of our mortgage loans or real estate securities pledged as collateral decrease (as a result of rising interest rates, changes in prepayment speeds, widening of credit spreads or otherwise), we will likely be subject to margin calls for additional collateral from our financing counterparties. Should the fair value of our mortgage loans or real estate securities decrease materially and suddenly, margin calls will likely increase causing an adverse change to our liquidity position which could result in substantial losses. In addition, we cannot be assured that we will always be able to roll our financing arrangements at their scheduled maturities, which could cause material additional harm to our liquidity position and result in substantial losses. Further, should funding conditions tighten as they did in 2007-2008, 2009 and more recently in March 2020, our financing arrangement counterparties may increase our margin requirements on new financings, including repurchase transactions that we roll at maturity with the same counterparty. This would require us to post additional collateral and would reduce our ability to use leverage and could potentially cause us to incur substantial losses.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color w:val="auto"/>
        </w:rPr>
        <w:t>Liquidity risk – derivatives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of our interest rate swaps require us to post collateral in the form of cash or Agency RMBS to our counterparties to satisfy two types of margin requirements: variation margin and initial margin.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and our swap counterparties are both required to post variation margin to each other depending upon the daily moves in prevailing benchmark interest rates. The amount of this variation margin is derived from the mark to market valuation of our swaps. Hence, as our swaps lose value in a falling interest rate environment, we are required to post additional variation margin to our counterparties on a daily basis; conversely, as our swaps gain value in a rising interest rate environment, we are able to recall variation margin from our counterparties. By recalling variation margin from our swaps counterparties, we are able to partially mitigate the liquidity risk created by margin calls on our repurchase transactions during periods of rising interest rates.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Initial margin works differently. Collateral posted to meet initial margin requirements is intended to create a safety buffer to benefit our counterparties if we were to default on our payment obligations under the terms of the swaps and our counterparties were forced to unwind the swap. Initial margin on our centrally cleared trades varies from day to day depending upon various factors, including the absolute level of interest rates and the implied volatility of interest rates. There is a distinctly positive correlation between initial margin, on the one hand, and the absolute level of interest rates and implied volatility of interest rates, on the other hand. As a result, in times of rising interest rates or increasing rate volatility, we anticipate that the initial margin required on our centrally-cleared trades will likewise increase, potentially by a substantial amount. These margin increases will have a negative impact on our liquidity position and will likely impair the intended liquidity risk mitigation effect of our swaps discussed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value risk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Residential property values are subject to volatility and may be affected adversely by a number of factors outside of our control, including, but not limited to, national, regional and local economic conditions (which may be adversely affected by industry slowdowns and other factors), local real estate conditions (such as an oversupply of housing), natural disasters, the effects of climate change (including flooding, drought, wildfire, tornadoes, and severe weather) and other natural events, construction quality, age and design, demographic factors, and retroactive changes to building or similar codes. Decreases in property values could cause us to suffer losses and reduce the value of the collateral underlying our investment portfolio as well as the potential sale proceeds available to repay our loans in the event of a default. In addition, substantial decreases in property values can increase the rate of strategic defaults by residential mortgage borrowers which can impact and create significant uncertainty in the recovery of principal and interest on our investments.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the risk of potential credit losses from an unanticipated increase in borrower defaults as well as general credit spread widening on any non-agency assets in our portfolio. We seek to manage this risk through our Manager’s pre-acquisition due diligence process and, if available, through the use of non-recourse financing, which limits our exposure to credit losses to the specific pool of collateral which is the subject of the non-recourse financing. Our Manager’s pre-acquisition due diligence process includes the evaluation of, among other things, relative valuation, supply and demand trends, the shape of various yield curves, prepayment rates, delinquency and default rates, recovery of various sectors and vintage of collateral.</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potential effects of sustained inflation, elevated mortgage rates and the Federal Reserve's monetary policy actions may cause an increase in credit risk of our credit sensitive assets. Any future period of payment deferrals, forbearance, delinquencies, defaults, foreclosures or losses will likely adversely affect our net interest income from residential loans and RMBS investments, the fair value of these assets, our ability to liquidate the collateral that may underlie these investments and obtain additional financing and the future profitability of our investments. Further, in the event of delinquencies, defaults and foreclosure, regulatory changes and policies designed to protect borrowers and renters may slow or prevent us from taking remediation actions.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Prepayment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Premiums arise when we acquire real estate assets at a price in excess of the principal balance of the mortgages securing such assets (i.e., par value). Conversely, discounts arise when we acquire assets at a price below the principal balance of the mortgages securing such assets. Premiums paid on our assets are amortized against interest income and accretable purchase discounts on our assets are accreted to interest income. Purchase premiums or discounts on our assets are amortized or accreted over the life of each respective asset using the effective yield method, adjusted for actual prepayment activity. An increase in the prepayment rate, as measured by the CPR, will typically accelerate the amortization of purchase premiums, thereby</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70" w:name="page71"/>
    <w:bookmarkEnd w:id="70"/>
    <w:p>
      <w:pPr>
        <w:jc w:val="both"/>
        <w:spacing w:after="0" w:line="266" w:lineRule="auto"/>
        <w:rPr>
          <w:sz w:val="20"/>
          <w:szCs w:val="20"/>
          <w:color w:val="auto"/>
        </w:rPr>
      </w:pPr>
      <w:r>
        <w:rPr>
          <w:rFonts w:ascii="Times New Roman" w:cs="Times New Roman" w:eastAsia="Times New Roman" w:hAnsi="Times New Roman"/>
          <w:sz w:val="18"/>
          <w:szCs w:val="18"/>
          <w:color w:val="auto"/>
        </w:rPr>
        <w:t>reducing the yield or interest income earned on such assets. An increase in the prepayment rate will similarly accelerate the accretion of purchase discounts, conversely increasing the yield or interest income earned on such assets. A decrease in the prepayment rate will have a directionally opposite impact on the yield or interest income.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Differences between previously estimated cash flows and current actual and anticipated cash flows caused by changes to prepayment or other assumptions are adjusted retrospectively through a "catch up" adjustment for the impact of the cumulative change in the effective yield through the reporting date for securities accounted for under ASC 320-10 (generally, Agency RMBS) or adjusted prospectively through an adjustment of the yield over the remaining life of the investment for investments accounted for under ASC 325-40 (generally, Non-Agency RMBS and interest-only securities) and mortgage loans accounted for under ASC 310-10.</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interest rate hedges are structured in part based upon assumed levels of future prepayments within our mortgage loan or real estate securities portfolio. If prepayments are slower or faster than assumed, the life of the real estate securities or mortgage loans will be longer or shorter than assumed, respectively, which could reduce the effectiveness of our Manager’s hedging strategies and may cause losses on such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Manager seeks to mitigate our prepayment risk by investing in real estate assets with a variety of prepayment characteristics.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Basis risk refers to the possible decline in book value triggered by the risk of incurring losses on the fair value of Agency RMBS as a result of widening market spreads between the yields on Agency RMBS and the yields on comparable duration Treasury securities. The basis risk associated with fluctuations in fair value of Agency RMBS may relate to factors impacting the mortgage and fixed income markets other than changes in benchmark interest rates, such as actual or anticipated monetary policy actions by the Federal Reserve, market liquidity, or changes in required rates of return on different assets. Consequently, while we use interest rate swaps and other hedges to protect against moves in interest rates, such instruments will generally not protect our net book value against basis risk.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Markets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risks related to the equity capital markets, and our related ability to raise capital through the issuance of our common stock, preferred stock or other equity instruments. We are also exposed to risks related to the debt capital markets, and our related ability to finance our business through revolving facilities or other debt instruments. As a REIT, we are required to distribute a significant portion of our taxable income annually, which constrains our ability to accumulate operating cash flow and therefore may require us to utilize debt or equity capital to finance our business. We seek to mitigate these risks by monitoring the debt and equity capital markets to inform our decisions on the amount, timing, and terms of capital we raise.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Evaluation of Disclosure Controls and Procedures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disclosure controls and procedures that are designed to ensure that information the Company is required to disclose in the reports that it files or submits under the Securities Exchange Act of 1934, as amended (the "Exchange Act") is recorded, processed, summarized and reported, within the time periods specified in the SEC’s rules and forms. Disclosure controls and procedures include controls and procedures designed to ensure that the Company’s management, including its principal executive officer and principal financial officer, as appropriate, allow for timely decisions regarding required disclosure.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evaluated, with the participation of our principal executive officer and principal financial officer, the effectiveness of our disclosure controls and procedures as of March 31, 2026.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principal executive officer and principal financial officer concluded that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applicable rules and forms, and that it is accumulated and communicated to our management, including our principal executive officer and principal financial officer, as appropriate to allow for timely decisions regarding required disclosure.</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color w:val="auto"/>
        </w:rPr>
        <w:t>(b) Changes in Internal Control over Financial Reporting</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change occurred in our internal control over financial reporting (as defined in Rule 13a-15(f) and 15d-15(f) of the Exchange Act) during the period covered by this quarterly report that has materially affected, or is reasonably likely to materially affect, our internal control over financial reporting.</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66" w:lineRule="exact"/>
        <w:rPr>
          <w:sz w:val="20"/>
          <w:szCs w:val="20"/>
          <w:color w:val="auto"/>
        </w:rPr>
      </w:pPr>
    </w:p>
    <w:p>
      <w:pPr>
        <w:ind w:left="2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3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at times subject to various legal proceedings and claims arising in the ordinary course of our business. In addition, in the ordinary course of business, we can be and are involved in governmental and regulatory examinations, information gathering requests, investigations and proceedings. As of the date of this report, we are not party to any litigation or legal proceedings, or to our knowledge, any threatened litigation or legal proceedings, which we believe, individually or in the aggregate, would have a material adverse effect on our results of operations or financial condition.</w:t>
      </w:r>
    </w:p>
    <w:p>
      <w:pPr>
        <w:spacing w:after="0" w:line="243" w:lineRule="exact"/>
        <w:rPr>
          <w:sz w:val="20"/>
          <w:szCs w:val="20"/>
          <w:color w:val="auto"/>
        </w:rPr>
      </w:pPr>
    </w:p>
    <w:p>
      <w:pPr>
        <w:ind w:left="26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3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Refer to the risks identified under the caption "Risk Factors", in our Annual Report on Form 10-K for the year ended December 31, 2025 and our subsequent filings, which are available on the Securities and Exchange Commission’s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and in the "Forward-Looking Statements" and "Management’s Discussion and Analysis of Financial Condition and Results of Operations" sections herein.</w:t>
      </w:r>
    </w:p>
    <w:p>
      <w:pPr>
        <w:spacing w:after="0" w:line="239" w:lineRule="exact"/>
        <w:rPr>
          <w:sz w:val="20"/>
          <w:szCs w:val="20"/>
          <w:color w:val="auto"/>
        </w:rPr>
      </w:pPr>
    </w:p>
    <w:p>
      <w:pPr>
        <w:ind w:left="2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3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89" w:lineRule="exact"/>
        <w:rPr>
          <w:sz w:val="20"/>
          <w:szCs w:val="20"/>
          <w:color w:val="auto"/>
        </w:rPr>
      </w:pPr>
    </w:p>
    <w:p>
      <w:pPr>
        <w:ind w:left="2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3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89" w:lineRule="exact"/>
        <w:rPr>
          <w:sz w:val="20"/>
          <w:szCs w:val="20"/>
          <w:color w:val="auto"/>
        </w:rPr>
      </w:pPr>
    </w:p>
    <w:p>
      <w:pPr>
        <w:ind w:left="2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3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73" w:name="page74"/>
    <w:bookmarkEnd w:id="73"/>
    <w:p>
      <w:pPr>
        <w:ind w:left="2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Submission of Matters to a Vote of Security Holders - Results of 2026 Annual Meeting of Stockholders</w:t>
      </w:r>
    </w:p>
    <w:p>
      <w:pPr>
        <w:spacing w:after="0" w:line="2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April 27, 2026, the Company held its 2026 annual meeting of stockholders, where the Company’s stockholders voted on the following matters which were set forth in the notice for the meeting:</w:t>
      </w:r>
    </w:p>
    <w:p>
      <w:pPr>
        <w:spacing w:after="0" w:line="189" w:lineRule="exact"/>
        <w:rPr>
          <w:sz w:val="20"/>
          <w:szCs w:val="20"/>
          <w:color w:val="auto"/>
        </w:rPr>
      </w:pPr>
    </w:p>
    <w:p>
      <w:pPr>
        <w:ind w:left="660" w:hanging="328"/>
        <w:spacing w:after="0" w:line="261"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six directors to the Company's board of directors, with each director serving until the Company's 2027 annual meeting of stockholders or until his or her successor is duly elected and qualified;</w:t>
      </w:r>
    </w:p>
    <w:p>
      <w:pPr>
        <w:ind w:left="660" w:hanging="328"/>
        <w:spacing w:after="0" w:line="250"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Deloitte &amp; Touche LLP as the Company's independent registered public accounting firm for the year ending December 31, 2026; and</w:t>
      </w: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an advisory basis, of the Company's executive compensation.</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Each of the six nominees was elected, the appointment of Deloitte &amp; Touche LLP as the independent registered public accounting firm was ratified, and the executive compensation was approved on an advisory basis. The vote tabulation for each proposal is as follows:</w:t>
      </w:r>
    </w:p>
    <w:p>
      <w:pPr>
        <w:spacing w:after="0" w:line="230" w:lineRule="exact"/>
        <w:rPr>
          <w:sz w:val="20"/>
          <w:szCs w:val="20"/>
          <w:color w:val="auto"/>
        </w:rPr>
      </w:pPr>
    </w:p>
    <w:p>
      <w:pPr>
        <w:ind w:left="600" w:hanging="574"/>
        <w:spacing w:after="0"/>
        <w:tabs>
          <w:tab w:leader="none" w:pos="6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Withheld</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3"/>
        </w:trPr>
        <w:tc>
          <w:tcPr>
            <w:tcW w:w="2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Debra Hess</w:t>
            </w:r>
          </w:p>
        </w:tc>
        <w:tc>
          <w:tcPr>
            <w:tcW w:w="20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13,138,467</w:t>
            </w:r>
          </w:p>
        </w:tc>
        <w:tc>
          <w:tcPr>
            <w:tcW w:w="22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411,286</w:t>
            </w:r>
          </w:p>
        </w:tc>
        <w:tc>
          <w:tcPr>
            <w:tcW w:w="22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8,090,642</w:t>
            </w:r>
          </w:p>
        </w:tc>
      </w:tr>
      <w:tr>
        <w:trPr>
          <w:trHeight w:val="23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T.J. Durkin</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13,279,416</w:t>
            </w:r>
          </w:p>
        </w:tc>
        <w:tc>
          <w:tcPr>
            <w:tcW w:w="22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270,337</w:t>
            </w:r>
          </w:p>
        </w:tc>
        <w:tc>
          <w:tcPr>
            <w:tcW w:w="22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8,090,642</w:t>
            </w:r>
          </w:p>
        </w:tc>
      </w:tr>
      <w:tr>
        <w:trPr>
          <w:trHeight w:val="229"/>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Dianne Hurley</w:t>
            </w: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13,261,219</w:t>
            </w:r>
          </w:p>
        </w:tc>
        <w:tc>
          <w:tcPr>
            <w:tcW w:w="220" w:type="dxa"/>
            <w:vAlign w:val="bottom"/>
            <w:shd w:val="clear" w:color="auto" w:fill="CCEEFF"/>
          </w:tcPr>
          <w:p>
            <w:pPr>
              <w:spacing w:after="0"/>
              <w:rPr>
                <w:sz w:val="19"/>
                <w:szCs w:val="19"/>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288,534</w:t>
            </w:r>
          </w:p>
        </w:tc>
        <w:tc>
          <w:tcPr>
            <w:tcW w:w="220" w:type="dxa"/>
            <w:vAlign w:val="bottom"/>
            <w:shd w:val="clear" w:color="auto" w:fill="CCEEFF"/>
          </w:tcPr>
          <w:p>
            <w:pPr>
              <w:spacing w:after="0"/>
              <w:rPr>
                <w:sz w:val="19"/>
                <w:szCs w:val="19"/>
                <w:color w:val="auto"/>
              </w:rPr>
            </w:pP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8,090,642</w:t>
            </w:r>
          </w:p>
        </w:tc>
      </w:tr>
      <w:tr>
        <w:trPr>
          <w:trHeight w:val="229"/>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Matthew Jozoff</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13,111,709</w:t>
            </w:r>
          </w:p>
        </w:tc>
        <w:tc>
          <w:tcPr>
            <w:tcW w:w="22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438,044</w:t>
            </w:r>
          </w:p>
        </w:tc>
        <w:tc>
          <w:tcPr>
            <w:tcW w:w="22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8,090,642</w:t>
            </w:r>
          </w:p>
        </w:tc>
      </w:tr>
      <w:tr>
        <w:trPr>
          <w:trHeight w:val="230"/>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 Christian Mitchell</w:t>
            </w: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13,152,316</w:t>
            </w:r>
          </w:p>
        </w:tc>
        <w:tc>
          <w:tcPr>
            <w:tcW w:w="220" w:type="dxa"/>
            <w:vAlign w:val="bottom"/>
            <w:shd w:val="clear" w:color="auto" w:fill="CCEEFF"/>
          </w:tcPr>
          <w:p>
            <w:pPr>
              <w:spacing w:after="0"/>
              <w:rPr>
                <w:sz w:val="19"/>
                <w:szCs w:val="19"/>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397,437</w:t>
            </w:r>
          </w:p>
        </w:tc>
        <w:tc>
          <w:tcPr>
            <w:tcW w:w="220" w:type="dxa"/>
            <w:vAlign w:val="bottom"/>
            <w:shd w:val="clear" w:color="auto" w:fill="CCEEFF"/>
          </w:tcPr>
          <w:p>
            <w:pPr>
              <w:spacing w:after="0"/>
              <w:rPr>
                <w:sz w:val="19"/>
                <w:szCs w:val="19"/>
                <w:color w:val="auto"/>
              </w:rPr>
            </w:pP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8,090,642</w:t>
            </w:r>
          </w:p>
        </w:tc>
      </w:tr>
      <w:tr>
        <w:trPr>
          <w:trHeight w:val="234"/>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Nicholas Smith</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12,690,013</w:t>
            </w:r>
          </w:p>
        </w:tc>
        <w:tc>
          <w:tcPr>
            <w:tcW w:w="22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859,740</w:t>
            </w:r>
          </w:p>
        </w:tc>
        <w:tc>
          <w:tcPr>
            <w:tcW w:w="22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8,090,642</w:t>
            </w:r>
          </w:p>
        </w:tc>
      </w:tr>
    </w:tbl>
    <w:p>
      <w:pPr>
        <w:spacing w:after="0" w:line="112" w:lineRule="exact"/>
        <w:rPr>
          <w:sz w:val="20"/>
          <w:szCs w:val="20"/>
          <w:color w:val="auto"/>
        </w:rPr>
      </w:pPr>
    </w:p>
    <w:p>
      <w:pPr>
        <w:ind w:left="600" w:right="340" w:hanging="574"/>
        <w:spacing w:after="0" w:line="181" w:lineRule="auto"/>
        <w:tabs>
          <w:tab w:leader="none" w:pos="600" w:val="left"/>
        </w:tabs>
        <w:numPr>
          <w:ilvl w:val="0"/>
          <w:numId w:val="58"/>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16"/>
          <w:szCs w:val="16"/>
          <w:color w:val="auto"/>
        </w:rPr>
        <w:t>Ratification of the appointment of Deloitte &amp; Touche LLP as the Company’s independent registered public accounting firm for the year ending December 31, 2026:</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21,285,806</w:t>
            </w:r>
          </w:p>
        </w:tc>
        <w:tc>
          <w:tcPr>
            <w:tcW w:w="16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217,015</w:t>
            </w:r>
          </w:p>
        </w:tc>
        <w:tc>
          <w:tcPr>
            <w:tcW w:w="20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137,574</w:t>
            </w:r>
          </w:p>
        </w:tc>
        <w:tc>
          <w:tcPr>
            <w:tcW w:w="20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17" w:lineRule="exact"/>
        <w:rPr>
          <w:sz w:val="20"/>
          <w:szCs w:val="20"/>
          <w:color w:val="auto"/>
        </w:rPr>
      </w:pPr>
    </w:p>
    <w:p>
      <w:pPr>
        <w:ind w:left="600" w:hanging="574"/>
        <w:spacing w:after="0"/>
        <w:tabs>
          <w:tab w:leader="none" w:pos="6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an advisory basis, of the Company's executive compensation:</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20" w:type="dxa"/>
            <w:vAlign w:val="bottom"/>
          </w:tcPr>
          <w:p>
            <w:pPr>
              <w:spacing w:after="0"/>
              <w:rPr>
                <w:sz w:val="20"/>
                <w:szCs w:val="20"/>
                <w:color w:val="auto"/>
              </w:rPr>
            </w:pPr>
          </w:p>
        </w:tc>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3"/>
        </w:trPr>
        <w:tc>
          <w:tcPr>
            <w:tcW w:w="26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12,616,889</w:t>
            </w:r>
          </w:p>
        </w:tc>
        <w:tc>
          <w:tcPr>
            <w:tcW w:w="20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564,076</w:t>
            </w:r>
          </w:p>
        </w:tc>
        <w:tc>
          <w:tcPr>
            <w:tcW w:w="22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368,788</w:t>
            </w:r>
          </w:p>
        </w:tc>
        <w:tc>
          <w:tcPr>
            <w:tcW w:w="22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8,090,642</w:t>
            </w:r>
          </w:p>
        </w:tc>
        <w:tc>
          <w:tcPr>
            <w:tcW w:w="180" w:type="dxa"/>
            <w:vAlign w:val="bottom"/>
          </w:tcPr>
          <w:p>
            <w:pPr>
              <w:spacing w:after="0"/>
              <w:rPr>
                <w:sz w:val="19"/>
                <w:szCs w:val="19"/>
                <w:color w:val="auto"/>
              </w:rPr>
            </w:pPr>
          </w:p>
        </w:tc>
      </w:tr>
      <w:tr>
        <w:trPr>
          <w:trHeight w:val="608"/>
        </w:trPr>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820" w:type="dxa"/>
            <w:vAlign w:val="bottom"/>
            <w:gridSpan w:val="2"/>
          </w:tcPr>
          <w:p>
            <w:pPr>
              <w:jc w:val="right"/>
              <w:ind w:right="241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8"/>
        </w:trPr>
        <w:tc>
          <w:tcPr>
            <w:tcW w:w="2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180" w:type="dxa"/>
            <w:vAlign w:val="bottom"/>
            <w:gridSpan w:val="30"/>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27"/>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40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27"/>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300" w:type="dxa"/>
            <w:vAlign w:val="bottom"/>
            <w:gridSpan w:val="3"/>
          </w:tcPr>
          <w:p>
            <w:pPr>
              <w:ind w:left="20"/>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27"/>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Articles of Amendment and Restatement of AG Mortgage Investment Trust, Inc., incorporated by reference to Exhibit 3.1 of</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Amendment No. 2 to the Company's Registration Statement on Form S-11, filed with the Securities and Exchange Commission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09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320" w:type="dxa"/>
            <w:vAlign w:val="bottom"/>
            <w:gridSpan w:val="16"/>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on April 18, 2011 ("Pre-Effective Amendment No.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09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9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00" w:type="dxa"/>
            <w:vAlign w:val="bottom"/>
            <w:gridSpan w:val="3"/>
          </w:tcPr>
          <w:p>
            <w:pPr>
              <w:ind w:left="20"/>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27"/>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Articles of Amendment to Articles of Amendment and Restatement of AG Mortgage Investment Trust, Inc., incorporated by</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reference to Exhibit 3.1 of the Company's Current Report on Form 8-K, filed with the Securities and Exchange Commission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09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3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May 8, 2017.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09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9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00" w:type="dxa"/>
            <w:vAlign w:val="bottom"/>
            <w:gridSpan w:val="3"/>
          </w:tcPr>
          <w:p>
            <w:pPr>
              <w:ind w:left="20"/>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27"/>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Amended and Restated Bylaws of TPG Mortgage Investment Trust, Inc., incorporated by reference to Exhibit 3.2 of the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Company's Current Report on Form 8-K, filed with the Securities and Exchange Commission on December 16, 2025.</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09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9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00" w:type="dxa"/>
            <w:vAlign w:val="bottom"/>
            <w:gridSpan w:val="3"/>
          </w:tcPr>
          <w:p>
            <w:pPr>
              <w:ind w:left="20"/>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4</w:t>
              </w:r>
            </w:hyperlink>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27"/>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Articles Supplementary of 8.25% Series A Cumulative Redeemable Preferred Stock, incorporated by reference to Exhibit 3.1 of</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3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the Company's Current Report on Form 8-K, filed with the Securities and Exchange Commission on August 2, 2012.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09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20" w:type="dxa"/>
            <w:vAlign w:val="bottom"/>
            <w:tcBorders>
              <w:right w:val="single" w:sz="8" w:color="0000FF"/>
            </w:tcBorders>
            <w:gridSpan w:val="2"/>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9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00" w:type="dxa"/>
            <w:vAlign w:val="bottom"/>
            <w:gridSpan w:val="3"/>
          </w:tcPr>
          <w:p>
            <w:pPr>
              <w:ind w:left="20"/>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5</w:t>
              </w:r>
            </w:hyperlink>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27"/>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Articles Supplementary of 8.00% Series B Cumulative Redeemable Preferred Stock, incorporated by reference to Exhibit 3.1 of</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the Company's Current Report on Form 8-K, filed with the Securities and Exchange Commission on September 24, 2012.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09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20" w:type="dxa"/>
            <w:vAlign w:val="bottom"/>
            <w:tcBorders>
              <w:right w:val="single" w:sz="8" w:color="0000FF"/>
            </w:tcBorders>
            <w:gridSpan w:val="2"/>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9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00" w:type="dxa"/>
            <w:vAlign w:val="bottom"/>
            <w:gridSpan w:val="3"/>
          </w:tcPr>
          <w:p>
            <w:pPr>
              <w:ind w:left="20"/>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6</w:t>
              </w:r>
            </w:hyperlink>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27"/>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Articles Supplementary of 8.000% Series C Fixed-to-Floating Rate Cumulative Redeemable Preferred Stock, incorporated by</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5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reference to Exhibit 3.5 of the Company's Registration Statement on Form 8-A12B, filed with the Securities and Exchange</w:t>
              </w:r>
            </w:hyperlink>
          </w:p>
        </w:tc>
        <w:tc>
          <w:tcPr>
            <w:tcW w:w="429496709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Commission on September 16, 2019.</w:t>
              </w:r>
            </w:hyperlink>
          </w:p>
        </w:tc>
        <w:tc>
          <w:tcPr>
            <w:tcW w:w="676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300" w:type="dxa"/>
            <w:vAlign w:val="bottom"/>
            <w:gridSpan w:val="3"/>
          </w:tcPr>
          <w:p>
            <w:pPr>
              <w:ind w:left="20"/>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7</w:t>
              </w:r>
            </w:hyperlink>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27"/>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Articles of Amendment of AG Mortgage Investment Trust, Inc., incorporated by reference to Exhibit 3.1 of the Company's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1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Current Report on Form 8-K, filed with the Securities and Exchange Commission on July 27, 2021.</w:t>
              </w:r>
            </w:hyperlink>
          </w:p>
        </w:tc>
        <w:tc>
          <w:tcPr>
            <w:tcW w:w="23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300" w:type="dxa"/>
            <w:vAlign w:val="bottom"/>
            <w:gridSpan w:val="3"/>
          </w:tcPr>
          <w:p>
            <w:pPr>
              <w:ind w:left="20"/>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8</w:t>
              </w:r>
            </w:hyperlink>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27"/>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Articles of Amendment of AG Mortgage Investment Trust, Inc., incorporated by reference to Exhibit 3.2 of the Company's</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1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Current Report on Form 8-K, filed with the Securities and Exchange Commission on July 27, 2021.</w:t>
              </w:r>
            </w:hyperlink>
          </w:p>
        </w:tc>
        <w:tc>
          <w:tcPr>
            <w:tcW w:w="23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300" w:type="dxa"/>
            <w:vAlign w:val="bottom"/>
            <w:gridSpan w:val="3"/>
          </w:tcPr>
          <w:p>
            <w:pPr>
              <w:ind w:left="20"/>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9</w:t>
              </w:r>
            </w:hyperlink>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27"/>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Articles of Amendment of AG Mortgage Investment Trust, Inc., incorporated by reference to Exhibit 3.1 of the Company's</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Current Report on Form 8-K, filed with the Securities and Exchange Commission on December 16, 2025.</w:t>
              </w:r>
            </w:hyperlink>
          </w:p>
        </w:tc>
        <w:tc>
          <w:tcPr>
            <w:tcW w:w="188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300" w:type="dxa"/>
            <w:vAlign w:val="bottom"/>
            <w:gridSpan w:val="3"/>
          </w:tcPr>
          <w:p>
            <w:pPr>
              <w:ind w:left="20"/>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27"/>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Specimen Common Stock Certificate of AG Mortgage Investment Trust, Inc., incorporated by reference to Exhibit 4.1 on Form</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5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10-Q filed with the Securities and Exchange Commission on May 7, 2021</w:t>
              </w:r>
              <w:r>
                <w:rPr>
                  <w:rFonts w:ascii="Times New Roman" w:cs="Times New Roman" w:eastAsia="Times New Roman" w:hAnsi="Times New Roman"/>
                  <w:sz w:val="18"/>
                  <w:szCs w:val="18"/>
                  <w:color w:val="000000"/>
                </w:rPr>
                <w:t>.</w:t>
              </w:r>
            </w:hyperlink>
          </w:p>
        </w:tc>
        <w:tc>
          <w:tcPr>
            <w:tcW w:w="4294967117"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2640" w:type="dxa"/>
            <w:vAlign w:val="bottom"/>
            <w:tcBorders>
              <w:right w:val="single" w:sz="8" w:color="0000FF"/>
            </w:tcBorders>
            <w:gridSpan w:val="3"/>
            <w:shd w:val="clear" w:color="auto" w:fill="0000FF"/>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7197"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00" w:type="dxa"/>
            <w:vAlign w:val="bottom"/>
            <w:gridSpan w:val="3"/>
          </w:tcPr>
          <w:p>
            <w:pPr>
              <w:ind w:left="20"/>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27"/>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Specimen 8.25% Series A Cumulative Redeemable Preferred Stock Certificate, incorporated by reference to Exhibit 4.1 of the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1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Company's Current Report on Form 8-K, filed with the Securities and Exchange Commission on August 2, 2012.</w:t>
              </w:r>
            </w:hyperlink>
          </w:p>
        </w:tc>
        <w:tc>
          <w:tcPr>
            <w:tcW w:w="1280" w:type="dxa"/>
            <w:vAlign w:val="bottom"/>
            <w:tcBorders>
              <w:top w:val="single" w:sz="8" w:color="0000FF"/>
            </w:tcBorders>
            <w:gridSpan w:val="13"/>
          </w:tcPr>
          <w:p>
            <w:pPr>
              <w:spacing w:after="0"/>
              <w:rPr>
                <w:sz w:val="13"/>
                <w:szCs w:val="13"/>
                <w:color w:val="auto"/>
              </w:rPr>
            </w:pPr>
          </w:p>
        </w:tc>
        <w:tc>
          <w:tcPr>
            <w:tcW w:w="4294967197"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300" w:type="dxa"/>
            <w:vAlign w:val="bottom"/>
            <w:gridSpan w:val="3"/>
          </w:tcPr>
          <w:p>
            <w:pPr>
              <w:ind w:left="20"/>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hyperlink>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27"/>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Specimen 8.00% Series B Cumulative Redeemable Preferred Stock Certificate, incorporated by reference to Exhibit 4.1 of the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Company's Current Report on Form 8-K, filed with the Securities and Exchange Commission on September 24, 2012.</w:t>
              </w:r>
            </w:hyperlink>
          </w:p>
        </w:tc>
        <w:tc>
          <w:tcPr>
            <w:tcW w:w="1020" w:type="dxa"/>
            <w:vAlign w:val="bottom"/>
            <w:tcBorders>
              <w:top w:val="single" w:sz="8" w:color="0000FF"/>
            </w:tcBorders>
            <w:gridSpan w:val="15"/>
          </w:tcPr>
          <w:p>
            <w:pPr>
              <w:spacing w:after="0"/>
              <w:rPr>
                <w:sz w:val="13"/>
                <w:szCs w:val="13"/>
                <w:color w:val="auto"/>
              </w:rPr>
            </w:pPr>
          </w:p>
        </w:tc>
        <w:tc>
          <w:tcPr>
            <w:tcW w:w="4294967117"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300" w:type="dxa"/>
            <w:vAlign w:val="bottom"/>
            <w:gridSpan w:val="3"/>
          </w:tcPr>
          <w:p>
            <w:pPr>
              <w:ind w:left="20"/>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w:t>
              </w:r>
            </w:hyperlink>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27"/>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Specimen 8.000% Series C Fixed-to-Floating Rate Cumulative Redeemable Preferred Stock Certificate, incorporated by</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3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reference to Exhibit 3.9 of the Company's Registration Statement on Form 8-A12B, filed with the Securities and Exchange</w:t>
              </w:r>
            </w:hyperlink>
          </w:p>
        </w:tc>
        <w:tc>
          <w:tcPr>
            <w:tcW w:w="4294967257"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04">
              <w:r>
                <w:rPr>
                  <w:rFonts w:ascii="Times New Roman" w:cs="Times New Roman" w:eastAsia="Times New Roman" w:hAnsi="Times New Roman"/>
                  <w:sz w:val="18"/>
                  <w:szCs w:val="18"/>
                  <w:color w:val="0000FF"/>
                  <w:w w:val="98"/>
                </w:rPr>
                <w:t>Commission on September 16, 2019.</w:t>
              </w:r>
            </w:hyperlink>
          </w:p>
        </w:tc>
        <w:tc>
          <w:tcPr>
            <w:tcW w:w="6780" w:type="dxa"/>
            <w:vAlign w:val="bottom"/>
            <w:tcBorders>
              <w:top w:val="single" w:sz="8" w:color="0000FF"/>
            </w:tcBorders>
            <w:gridSpan w:val="20"/>
          </w:tcPr>
          <w:p>
            <w:pPr>
              <w:spacing w:after="0"/>
              <w:rPr>
                <w:sz w:val="13"/>
                <w:szCs w:val="13"/>
                <w:color w:val="auto"/>
              </w:rPr>
            </w:pPr>
          </w:p>
        </w:tc>
        <w:tc>
          <w:tcPr>
            <w:tcW w:w="4294967177"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300" w:type="dxa"/>
            <w:vAlign w:val="bottom"/>
            <w:gridSpan w:val="3"/>
          </w:tcPr>
          <w:p>
            <w:pPr>
              <w:ind w:left="20"/>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w:t>
              </w:r>
            </w:hyperlink>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27"/>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Indenture, dated January 26, 2024, between AG Mortgage Investment Trust, Inc. and U.S. Bank Trust Company, National</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8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Association, as Trustee, incorporated by reference to Exhibit 4.2 of the Company's Registration Statement on Form 8-A12B,</w:t>
              </w:r>
            </w:hyperlink>
          </w:p>
        </w:tc>
        <w:tc>
          <w:tcPr>
            <w:tcW w:w="60" w:type="dxa"/>
            <w:vAlign w:val="bottom"/>
            <w:tcBorders>
              <w:bottom w:val="single" w:sz="8" w:color="0000FF"/>
            </w:tcBorders>
            <w:gridSpan w:val="3"/>
          </w:tcPr>
          <w:p>
            <w:pPr>
              <w:spacing w:after="0"/>
              <w:rPr>
                <w:sz w:val="14"/>
                <w:szCs w:val="14"/>
                <w:color w:val="auto"/>
              </w:rPr>
            </w:pPr>
          </w:p>
        </w:tc>
        <w:tc>
          <w:tcPr>
            <w:tcW w:w="4294967277"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340" w:type="dxa"/>
            <w:vAlign w:val="bottom"/>
            <w:gridSpan w:val="17"/>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filed with the Securities and Exchange Commission on January 26, 2024.</w:t>
              </w:r>
            </w:hyperlink>
          </w:p>
        </w:tc>
        <w:tc>
          <w:tcPr>
            <w:tcW w:w="4294967277"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80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gridSpan w:val="3"/>
          </w:tcPr>
          <w:p>
            <w:pPr>
              <w:spacing w:after="0"/>
              <w:rPr>
                <w:sz w:val="24"/>
                <w:szCs w:val="24"/>
                <w:color w:val="auto"/>
              </w:rPr>
            </w:pPr>
          </w:p>
        </w:tc>
        <w:tc>
          <w:tcPr>
            <w:tcW w:w="3940" w:type="dxa"/>
            <w:vAlign w:val="bottom"/>
            <w:tcBorders>
              <w:top w:val="single" w:sz="8" w:color="0000FF"/>
            </w:tcBorders>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1360" w:type="dxa"/>
            <w:vAlign w:val="bottom"/>
            <w:tcBorders>
              <w:top w:val="single" w:sz="8" w:color="0000FF"/>
            </w:tcBorders>
          </w:tcPr>
          <w:p>
            <w:pPr>
              <w:spacing w:after="0"/>
              <w:rPr>
                <w:sz w:val="24"/>
                <w:szCs w:val="24"/>
                <w:color w:val="auto"/>
              </w:rPr>
            </w:pPr>
          </w:p>
        </w:tc>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097"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94967097"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320" w:type="dxa"/>
            <w:vAlign w:val="bottom"/>
            <w:gridSpan w:val="2"/>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w:t>
              </w:r>
            </w:hyperlink>
          </w:p>
        </w:tc>
        <w:tc>
          <w:tcPr>
            <w:tcW w:w="1560" w:type="dxa"/>
            <w:vAlign w:val="bottom"/>
          </w:tcPr>
          <w:p>
            <w:pPr>
              <w:spacing w:after="0"/>
              <w:rPr>
                <w:sz w:val="17"/>
                <w:szCs w:val="17"/>
                <w:color w:val="auto"/>
              </w:rPr>
            </w:pPr>
          </w:p>
        </w:tc>
        <w:tc>
          <w:tcPr>
            <w:tcW w:w="9420" w:type="dxa"/>
            <w:vAlign w:val="bottom"/>
            <w:gridSpan w:val="18"/>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First Supplemental Indenture, dated January 26, 2024, between AG Mortgage Investment Trust, Inc. and U.S. Bank Trust</w:t>
              </w:r>
            </w:hyperlink>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Company, National Association, as Trustee, incorporated by reference to Exhibit 4.3 to the Company's Registration Statement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26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on Form 8-A12B, filed with the Securities and Exchange Commission on January 26, 2024.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2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320" w:type="dxa"/>
            <w:vAlign w:val="bottom"/>
            <w:gridSpan w:val="2"/>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7</w:t>
              </w:r>
            </w:hyperlink>
          </w:p>
        </w:tc>
        <w:tc>
          <w:tcPr>
            <w:tcW w:w="1560" w:type="dxa"/>
            <w:vAlign w:val="bottom"/>
          </w:tcPr>
          <w:p>
            <w:pPr>
              <w:spacing w:after="0"/>
              <w:rPr>
                <w:sz w:val="24"/>
                <w:szCs w:val="24"/>
                <w:color w:val="auto"/>
              </w:rPr>
            </w:pPr>
          </w:p>
        </w:tc>
        <w:tc>
          <w:tcPr>
            <w:tcW w:w="9420" w:type="dxa"/>
            <w:vAlign w:val="bottom"/>
            <w:gridSpan w:val="18"/>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Second Supplemental Indenture, dated May 15, 2024, between AG Mortgage Investment Trust, Inc. and U.S. Bank Trust</w:t>
              </w:r>
            </w:hyperlink>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3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Company, National Association, as Trustee, incorporated by reference to Exhibit 4.4 to the Company's Registration Statement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38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on Form 8-A12B, filed with the Securities and Exchange Commission on May 15, 2024.</w:t>
              </w:r>
            </w:hyperlink>
          </w:p>
        </w:tc>
        <w:tc>
          <w:tcPr>
            <w:tcW w:w="2880" w:type="dxa"/>
            <w:vAlign w:val="bottom"/>
            <w:tcBorders>
              <w:top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372"/>
        </w:trPr>
        <w:tc>
          <w:tcPr>
            <w:tcW w:w="320" w:type="dxa"/>
            <w:vAlign w:val="bottom"/>
            <w:gridSpan w:val="2"/>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8</w:t>
              </w:r>
            </w:hyperlink>
          </w:p>
        </w:tc>
        <w:tc>
          <w:tcPr>
            <w:tcW w:w="1560" w:type="dxa"/>
            <w:vAlign w:val="bottom"/>
          </w:tcPr>
          <w:p>
            <w:pPr>
              <w:spacing w:after="0"/>
              <w:rPr>
                <w:sz w:val="24"/>
                <w:szCs w:val="24"/>
                <w:color w:val="auto"/>
              </w:rPr>
            </w:pPr>
          </w:p>
        </w:tc>
        <w:tc>
          <w:tcPr>
            <w:tcW w:w="9420" w:type="dxa"/>
            <w:vAlign w:val="bottom"/>
            <w:gridSpan w:val="18"/>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of 9.500% Senior Notes Due 2029 of AG Mortgage Investment Trust, Inc. (attached as Exhibit A to the First</w:t>
              </w:r>
            </w:hyperlink>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2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Supplemental Indenture, incorporated by reference to Exhibit 4.3 to the Company's Registration Statement on Form 8-A12B,</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34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filed with the Securities and Exchange Commission on January 26, 2024).</w:t>
              </w:r>
            </w:hyperlink>
          </w:p>
        </w:tc>
        <w:tc>
          <w:tcPr>
            <w:tcW w:w="4020" w:type="dxa"/>
            <w:vAlign w:val="bottom"/>
            <w:gridSpan w:val="8"/>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371"/>
        </w:trPr>
        <w:tc>
          <w:tcPr>
            <w:tcW w:w="320" w:type="dxa"/>
            <w:vAlign w:val="bottom"/>
            <w:gridSpan w:val="2"/>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9</w:t>
              </w:r>
            </w:hyperlink>
          </w:p>
        </w:tc>
        <w:tc>
          <w:tcPr>
            <w:tcW w:w="1560" w:type="dxa"/>
            <w:vAlign w:val="bottom"/>
          </w:tcPr>
          <w:p>
            <w:pPr>
              <w:spacing w:after="0"/>
              <w:rPr>
                <w:sz w:val="24"/>
                <w:szCs w:val="24"/>
                <w:color w:val="auto"/>
              </w:rPr>
            </w:pPr>
          </w:p>
        </w:tc>
        <w:tc>
          <w:tcPr>
            <w:tcW w:w="9420" w:type="dxa"/>
            <w:vAlign w:val="bottom"/>
            <w:gridSpan w:val="18"/>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Form of 9.500% Senior Notes Due 2029 of AG Mortgage Investment Trust, Inc. (attached as Exhibit A to the Second</w:t>
              </w:r>
            </w:hyperlink>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2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Supplemental Indenture, incorporated by reference to Exhibit 4.4 to the Company's Registration Statement on Form 8-A12B,</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36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filed with the Securities and Exchange Commission on May 15, 2024).</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2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9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Thomas J. Durkin pursuant to Rule 13a-14(a), as adopted pursuant to Section 302 of the Sarbanes-Oxley Act of</w:t>
            </w:r>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8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88"/>
              </w:rPr>
              <w:t>2002.</w:t>
            </w:r>
          </w:p>
        </w:tc>
        <w:tc>
          <w:tcPr>
            <w:tcW w:w="20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16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6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85"/>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9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Anthony W. Rossiello pursuant to Rule 13a-14(a), as adopted pursuant to Section 302 of the Sarbanes-Oxley Act</w:t>
            </w:r>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of 2002.</w:t>
            </w:r>
          </w:p>
        </w:tc>
        <w:tc>
          <w:tcPr>
            <w:tcW w:w="20" w:type="dxa"/>
            <w:vAlign w:val="bottom"/>
          </w:tcPr>
          <w:p>
            <w:pPr>
              <w:spacing w:after="0"/>
              <w:rPr>
                <w:sz w:val="13"/>
                <w:szCs w:val="13"/>
                <w:color w:val="auto"/>
              </w:rPr>
            </w:pPr>
          </w:p>
        </w:tc>
      </w:tr>
      <w:tr>
        <w:trPr>
          <w:trHeight w:val="20"/>
        </w:trPr>
        <w:tc>
          <w:tcPr>
            <w:tcW w:w="1880" w:type="dxa"/>
            <w:vAlign w:val="bottom"/>
            <w:gridSpan w:val="3"/>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85"/>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9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Thomas J. Durkin pursuant to Rule 13a-14(b) and 18 U.S.C. Section 1350, as adopted pursuant to Section 906</w:t>
            </w: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880" w:type="dxa"/>
            <w:vAlign w:val="bottom"/>
            <w:gridSpan w:val="3"/>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85"/>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9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Anthony W. Rossiello pursuant to Rule 13a-14(b) and 18 U.S.C. Section 1350, as adopted pursuant to</w:t>
            </w:r>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560" w:type="dxa"/>
            <w:vAlign w:val="bottom"/>
          </w:tcPr>
          <w:p>
            <w:pPr>
              <w:spacing w:after="0"/>
              <w:rPr>
                <w:sz w:val="13"/>
                <w:szCs w:val="13"/>
                <w:color w:val="auto"/>
              </w:rPr>
            </w:pPr>
          </w:p>
        </w:tc>
        <w:tc>
          <w:tcPr>
            <w:tcW w:w="934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80" w:type="dxa"/>
            <w:vAlign w:val="bottom"/>
            <w:gridSpan w:val="4"/>
          </w:tcPr>
          <w:p>
            <w:pPr>
              <w:spacing w:after="0"/>
              <w:rPr>
                <w:sz w:val="13"/>
                <w:szCs w:val="13"/>
                <w:color w:val="auto"/>
              </w:rPr>
            </w:pPr>
          </w:p>
        </w:tc>
      </w:tr>
      <w:tr>
        <w:trPr>
          <w:trHeight w:val="520"/>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34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5960" w:type="dxa"/>
            <w:vAlign w:val="bottom"/>
            <w:gridSpan w:val="13"/>
          </w:tcPr>
          <w:p>
            <w:pPr>
              <w:spacing w:after="0"/>
              <w:rPr>
                <w:sz w:val="24"/>
                <w:szCs w:val="24"/>
                <w:color w:val="auto"/>
              </w:rPr>
            </w:pPr>
          </w:p>
        </w:tc>
      </w:tr>
      <w:tr>
        <w:trPr>
          <w:trHeight w:val="486"/>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94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86"/>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94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86"/>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94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86"/>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94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86"/>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94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500"/>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560" w:type="dxa"/>
            <w:vAlign w:val="bottom"/>
          </w:tcPr>
          <w:p>
            <w:pPr>
              <w:spacing w:after="0"/>
              <w:rPr>
                <w:sz w:val="24"/>
                <w:szCs w:val="24"/>
                <w:color w:val="auto"/>
              </w:rPr>
            </w:pPr>
          </w:p>
        </w:tc>
        <w:tc>
          <w:tcPr>
            <w:tcW w:w="94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130" w:lineRule="exact"/>
        <w:rPr>
          <w:sz w:val="20"/>
          <w:szCs w:val="20"/>
          <w:color w:val="auto"/>
        </w:rPr>
      </w:pPr>
    </w:p>
    <w:p>
      <w:pPr>
        <w:ind w:left="500" w:hanging="265"/>
        <w:spacing w:after="0"/>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918" w:right="39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776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TPG MORTGAGE INVESTMENT TRUST, INC.</w:t>
            </w:r>
          </w:p>
        </w:tc>
      </w:tr>
      <w:tr>
        <w:trPr>
          <w:trHeight w:val="45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May 1, 2026</w:t>
            </w:r>
          </w:p>
        </w:tc>
        <w:tc>
          <w:tcPr>
            <w:tcW w:w="776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By:  /s/ THOMAS J. DURKIN</w:t>
            </w:r>
          </w:p>
        </w:tc>
      </w:tr>
      <w:tr>
        <w:trPr>
          <w:trHeight w:val="20"/>
        </w:trPr>
        <w:tc>
          <w:tcPr>
            <w:tcW w:w="32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000" w:type="dxa"/>
            <w:vAlign w:val="bottom"/>
            <w:shd w:val="clear" w:color="auto" w:fill="000000"/>
          </w:tcPr>
          <w:p>
            <w:pPr>
              <w:spacing w:after="0" w:line="20" w:lineRule="exact"/>
              <w:rPr>
                <w:sz w:val="1"/>
                <w:szCs w:val="1"/>
                <w:color w:val="auto"/>
              </w:rPr>
            </w:pPr>
          </w:p>
        </w:tc>
      </w:tr>
      <w:tr>
        <w:trPr>
          <w:trHeight w:val="205"/>
        </w:trPr>
        <w:tc>
          <w:tcPr>
            <w:tcW w:w="3260" w:type="dxa"/>
            <w:vAlign w:val="bottom"/>
          </w:tcPr>
          <w:p>
            <w:pPr>
              <w:spacing w:after="0"/>
              <w:rPr>
                <w:sz w:val="17"/>
                <w:szCs w:val="17"/>
                <w:color w:val="auto"/>
              </w:rPr>
            </w:pPr>
          </w:p>
        </w:tc>
        <w:tc>
          <w:tcPr>
            <w:tcW w:w="7760" w:type="dxa"/>
            <w:vAlign w:val="bottom"/>
            <w:gridSpan w:val="2"/>
          </w:tcPr>
          <w:p>
            <w:pPr>
              <w:ind w:left="2340"/>
              <w:spacing w:after="0" w:line="205" w:lineRule="exact"/>
              <w:rPr>
                <w:sz w:val="20"/>
                <w:szCs w:val="20"/>
                <w:color w:val="auto"/>
              </w:rPr>
            </w:pPr>
            <w:r>
              <w:rPr>
                <w:rFonts w:ascii="Times New Roman" w:cs="Times New Roman" w:eastAsia="Times New Roman" w:hAnsi="Times New Roman"/>
                <w:sz w:val="18"/>
                <w:szCs w:val="18"/>
                <w:color w:val="auto"/>
              </w:rPr>
              <w:t>Thomas J. Durkin</w:t>
            </w:r>
          </w:p>
        </w:tc>
      </w:tr>
      <w:tr>
        <w:trPr>
          <w:trHeight w:val="234"/>
        </w:trPr>
        <w:tc>
          <w:tcPr>
            <w:tcW w:w="3260" w:type="dxa"/>
            <w:vAlign w:val="bottom"/>
          </w:tcPr>
          <w:p>
            <w:pPr>
              <w:spacing w:after="0"/>
              <w:rPr>
                <w:sz w:val="20"/>
                <w:szCs w:val="20"/>
                <w:color w:val="auto"/>
              </w:rPr>
            </w:pPr>
          </w:p>
        </w:tc>
        <w:tc>
          <w:tcPr>
            <w:tcW w:w="776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Chief Executive Officer and President (principal executive officer)</w:t>
            </w:r>
          </w:p>
        </w:tc>
      </w:tr>
      <w:tr>
        <w:trPr>
          <w:trHeight w:val="45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May 1, 2026</w:t>
            </w:r>
          </w:p>
        </w:tc>
        <w:tc>
          <w:tcPr>
            <w:tcW w:w="776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By:  /s/ ANTHONY W. ROSSIELLO</w:t>
            </w:r>
          </w:p>
        </w:tc>
      </w:tr>
      <w:tr>
        <w:trPr>
          <w:trHeight w:val="20"/>
        </w:trPr>
        <w:tc>
          <w:tcPr>
            <w:tcW w:w="32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000" w:type="dxa"/>
            <w:vAlign w:val="bottom"/>
            <w:shd w:val="clear" w:color="auto" w:fill="000000"/>
          </w:tcPr>
          <w:p>
            <w:pPr>
              <w:spacing w:after="0" w:line="20" w:lineRule="exact"/>
              <w:rPr>
                <w:sz w:val="1"/>
                <w:szCs w:val="1"/>
                <w:color w:val="auto"/>
              </w:rPr>
            </w:pPr>
          </w:p>
        </w:tc>
      </w:tr>
      <w:tr>
        <w:trPr>
          <w:trHeight w:val="225"/>
        </w:trPr>
        <w:tc>
          <w:tcPr>
            <w:tcW w:w="3260" w:type="dxa"/>
            <w:vAlign w:val="bottom"/>
          </w:tcPr>
          <w:p>
            <w:pPr>
              <w:spacing w:after="0"/>
              <w:rPr>
                <w:sz w:val="19"/>
                <w:szCs w:val="19"/>
                <w:color w:val="auto"/>
              </w:rPr>
            </w:pPr>
          </w:p>
        </w:tc>
        <w:tc>
          <w:tcPr>
            <w:tcW w:w="776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Anthony W. Rossiello</w:t>
            </w:r>
          </w:p>
        </w:tc>
      </w:tr>
    </w:tbl>
    <w:p>
      <w:pPr>
        <w:ind w:left="5620"/>
        <w:spacing w:after="0" w:line="203" w:lineRule="auto"/>
        <w:rPr>
          <w:sz w:val="20"/>
          <w:szCs w:val="20"/>
          <w:color w:val="auto"/>
        </w:rPr>
      </w:pPr>
      <w:r>
        <w:rPr>
          <w:rFonts w:ascii="Times New Roman" w:cs="Times New Roman" w:eastAsia="Times New Roman" w:hAnsi="Times New Roman"/>
          <w:sz w:val="18"/>
          <w:szCs w:val="18"/>
          <w:color w:val="auto"/>
        </w:rPr>
        <w:t>Chief Financial Officer (principal financial</w:t>
      </w:r>
    </w:p>
    <w:p>
      <w:pPr>
        <w:ind w:left="5620"/>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887"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J. Durkin, certify that:</w:t>
      </w:r>
    </w:p>
    <w:p>
      <w:pPr>
        <w:spacing w:after="0" w:line="252"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TPG Mortgage Investment Trust, Inc.;</w:t>
      </w:r>
    </w:p>
    <w:p>
      <w:pPr>
        <w:spacing w:after="0" w:line="171"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980" w:right="100" w:hanging="324"/>
        <w:spacing w:after="0" w:line="266" w:lineRule="auto"/>
        <w:tabs>
          <w:tab w:leader="none" w:pos="97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 2026</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Thomas J.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Thomas J. Durkin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 &amp; President</w:t>
      </w:r>
    </w:p>
    <w:p>
      <w:pPr>
        <w:sectPr>
          <w:pgSz w:w="11900" w:h="16838" w:orient="portrait"/>
          <w:cols w:equalWidth="0" w:num="1">
            <w:col w:w="11240"/>
          </w:cols>
          <w:pgMar w:left="320" w:top="117"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W. Rossiello, certify that:</w:t>
      </w:r>
    </w:p>
    <w:p>
      <w:pPr>
        <w:spacing w:after="0" w:line="252"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TPG Mortgage Investment Trust, Inc.;</w:t>
      </w:r>
    </w:p>
    <w:p>
      <w:pPr>
        <w:spacing w:after="0" w:line="171"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980" w:right="100" w:hanging="324"/>
        <w:spacing w:after="0" w:line="266" w:lineRule="auto"/>
        <w:tabs>
          <w:tab w:leader="none" w:pos="97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 2026</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Anthony W. Rossiello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Anthony W. Rossiello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TPG Mortgage Investment Trust, Inc. (the "Company") for the quarterly period ended March 31, 2026 as filed with the Securities and Exchange Commission on the date hereof (the "Report"), I, Thomas J. Durkin, Chief Executive Officer of the Company, certify, pursuant to 18 U.S.C. Section 1350, as adopted pursuant to Section 906 of the Sarbanes-Oxley Act of 2002, 18 U.S.C. Section 1350, that:</w:t>
      </w:r>
    </w:p>
    <w:p>
      <w:pPr>
        <w:spacing w:after="0" w:line="180" w:lineRule="exact"/>
        <w:rPr>
          <w:sz w:val="20"/>
          <w:szCs w:val="20"/>
          <w:color w:val="auto"/>
        </w:rPr>
      </w:pPr>
    </w:p>
    <w:p>
      <w:pPr>
        <w:ind w:left="640" w:hanging="308"/>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not intended that this statement be deemed to be filed for purposes of the Securities Exchange Act of 1934.</w:t>
      </w:r>
    </w:p>
    <w:p>
      <w:pPr>
        <w:spacing w:after="0" w:line="26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Thomas J.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Thomas J. Durkin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 &amp; President</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May 1, 2026</w:t>
      </w:r>
    </w:p>
    <w:p>
      <w:pPr>
        <w:sectPr>
          <w:pgSz w:w="11900" w:h="16838" w:orient="portrait"/>
          <w:cols w:equalWidth="0" w:num="1">
            <w:col w:w="11240"/>
          </w:cols>
          <w:pgMar w:left="320" w:top="887"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TPG Mortgage Investment Trust, Inc. (the "Company") for the quarterly period ended March 31, 2026 as filed with the Securities and Exchange Commission on the date hereof (the "Report"), I, Anthony W. Rossiello, Chief Financial Officer of the Company, certify, pursuant to 18 U.S.C. Section 1350, as adopted pursuant to Section 906 of the Sarbanes-Oxley Act of 2002, 18 U.S.C. Section 1350, that:</w:t>
      </w:r>
    </w:p>
    <w:p>
      <w:pPr>
        <w:spacing w:after="0" w:line="180" w:lineRule="exact"/>
        <w:rPr>
          <w:sz w:val="20"/>
          <w:szCs w:val="20"/>
          <w:color w:val="auto"/>
        </w:rPr>
      </w:pPr>
    </w:p>
    <w:p>
      <w:pPr>
        <w:ind w:left="640" w:hanging="308"/>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not intended that this statement be deemed to be filed for purposes of the Securities Exchange Act of 1934.</w:t>
      </w:r>
    </w:p>
    <w:p>
      <w:pPr>
        <w:spacing w:after="0" w:line="200" w:lineRule="exact"/>
        <w:rPr>
          <w:sz w:val="20"/>
          <w:szCs w:val="20"/>
          <w:color w:val="auto"/>
        </w:rPr>
      </w:pPr>
    </w:p>
    <w:p>
      <w:pPr>
        <w:spacing w:after="0" w:line="30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Anthony W. Rossiello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Anthony W. Rossiello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May 1,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1)"/>
      <w:numFmt w:val="decimal"/>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1)"/>
      <w:numFmt w:val="decimal"/>
      <w:start w:val="2"/>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1)"/>
      <w:numFmt w:val="decimal"/>
      <w:start w:val="1"/>
    </w:lvl>
  </w:abstractNum>
  <w:abstractNum w:abstractNumId="9">
    <w:nsid w:val="77465F01"/>
    <w:multiLevelType w:val="hybridMultilevel"/>
    <w:lvl w:ilvl="0">
      <w:lvlJc w:val="left"/>
      <w:lvlText w:val="(%1)"/>
      <w:numFmt w:val="decimal"/>
      <w:start w:val="1"/>
    </w:lvl>
  </w:abstractNum>
  <w:abstractNum w:abstractNumId="10">
    <w:nsid w:val="7724C67E"/>
    <w:multiLevelType w:val="hybridMultilevel"/>
    <w:lvl w:ilvl="0">
      <w:lvlJc w:val="left"/>
      <w:lvlText w:val="(%1)"/>
      <w:numFmt w:val="decimal"/>
      <w:start w:val="1"/>
    </w:lvl>
  </w:abstractNum>
  <w:abstractNum w:abstractNumId="11">
    <w:nsid w:val="5C482A97"/>
    <w:multiLevelType w:val="hybridMultilevel"/>
    <w:lvl w:ilvl="0">
      <w:lvlJc w:val="left"/>
      <w:lvlText w:val="(%1)"/>
      <w:numFmt w:val="decimal"/>
      <w:start w:val="1"/>
    </w:lvl>
  </w:abstractNum>
  <w:abstractNum w:abstractNumId="12">
    <w:nsid w:val="2463B9EA"/>
    <w:multiLevelType w:val="hybridMultilevel"/>
    <w:lvl w:ilvl="0">
      <w:lvlJc w:val="left"/>
      <w:lvlText w:val="(%1)"/>
      <w:numFmt w:val="decimal"/>
      <w:start w:val="1"/>
    </w:lvl>
  </w:abstractNum>
  <w:abstractNum w:abstractNumId="13">
    <w:nsid w:val="5E884ADC"/>
    <w:multiLevelType w:val="hybridMultilevel"/>
    <w:lvl w:ilvl="0">
      <w:lvlJc w:val="left"/>
      <w:lvlText w:val="(%1)"/>
      <w:numFmt w:val="decimal"/>
      <w:start w:val="1"/>
    </w:lvl>
  </w:abstractNum>
  <w:abstractNum w:abstractNumId="14">
    <w:nsid w:val="51EAD36B"/>
    <w:multiLevelType w:val="hybridMultilevel"/>
    <w:lvl w:ilvl="0">
      <w:lvlJc w:val="left"/>
      <w:lvlText w:val="(%1)"/>
      <w:numFmt w:val="decimal"/>
      <w:start w:val="1"/>
    </w:lvl>
  </w:abstractNum>
  <w:abstractNum w:abstractNumId="15">
    <w:nsid w:val="2D517796"/>
    <w:multiLevelType w:val="hybridMultilevel"/>
    <w:lvl w:ilvl="0">
      <w:lvlJc w:val="left"/>
      <w:lvlText w:val="(%1)"/>
      <w:numFmt w:val="decimal"/>
      <w:start w:val="1"/>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1)"/>
      <w:numFmt w:val="decimal"/>
      <w:start w:val="1"/>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1)"/>
      <w:numFmt w:val="decimal"/>
      <w:start w:val="1"/>
    </w:lvl>
  </w:abstractNum>
  <w:abstractNum w:abstractNumId="21">
    <w:nsid w:val="2A487CB0"/>
    <w:multiLevelType w:val="hybridMultilevel"/>
    <w:lvl w:ilvl="0">
      <w:lvlJc w:val="left"/>
      <w:lvlText w:val="(%1)"/>
      <w:numFmt w:val="decimal"/>
      <w:start w:val="1"/>
    </w:lvl>
  </w:abstractNum>
  <w:abstractNum w:abstractNumId="22">
    <w:nsid w:val="1D4ED43B"/>
    <w:multiLevelType w:val="hybridMultilevel"/>
    <w:lvl w:ilvl="0">
      <w:lvlJc w:val="left"/>
      <w:lvlText w:val="(%1)"/>
      <w:numFmt w:val="decimal"/>
      <w:start w:val="1"/>
    </w:lvl>
  </w:abstractNum>
  <w:abstractNum w:abstractNumId="23">
    <w:nsid w:val="725A06FB"/>
    <w:multiLevelType w:val="hybridMultilevel"/>
    <w:lvl w:ilvl="0">
      <w:lvlJc w:val="left"/>
      <w:lvlText w:val="(%1)"/>
      <w:numFmt w:val="decimal"/>
      <w:start w:val="1"/>
    </w:lvl>
  </w:abstractNum>
  <w:abstractNum w:abstractNumId="24">
    <w:nsid w:val="2CD89A32"/>
    <w:multiLevelType w:val="hybridMultilevel"/>
    <w:lvl w:ilvl="0">
      <w:lvlJc w:val="left"/>
      <w:lvlText w:val="%1"/>
      <w:numFmt w:val="decimal"/>
      <w:start w:val="1"/>
    </w:lvl>
    <w:lvl w:ilvl="1">
      <w:lvlJc w:val="left"/>
      <w:lvlText w:val="(%2)"/>
      <w:numFmt w:val="decimal"/>
      <w:start w:val="1"/>
    </w:lvl>
  </w:abstractNum>
  <w:abstractNum w:abstractNumId="25">
    <w:nsid w:val="57E4CCAF"/>
    <w:multiLevelType w:val="hybridMultilevel"/>
    <w:lvl w:ilvl="0">
      <w:lvlJc w:val="left"/>
      <w:lvlText w:val="%1."/>
      <w:numFmt w:val="decimal"/>
      <w:start w:val="11"/>
    </w:lvl>
    <w:lvl w:ilvl="1">
      <w:lvlJc w:val="left"/>
      <w:lvlText w:val="%2"/>
      <w:numFmt w:val="decimal"/>
      <w:start w:val="1"/>
    </w:lvl>
  </w:abstractNum>
  <w:abstractNum w:abstractNumId="26">
    <w:nsid w:val="7A6D8D3C"/>
    <w:multiLevelType w:val="hybridMultilevel"/>
    <w:lvl w:ilvl="0">
      <w:lvlJc w:val="left"/>
      <w:lvlText w:val="(%1)"/>
      <w:numFmt w:val="decimal"/>
      <w:start w:val="1"/>
    </w:lvl>
  </w:abstractNum>
  <w:abstractNum w:abstractNumId="27">
    <w:nsid w:val="4B588F54"/>
    <w:multiLevelType w:val="hybridMultilevel"/>
    <w:lvl w:ilvl="0">
      <w:lvlJc w:val="left"/>
      <w:lvlText w:val="(%1)"/>
      <w:numFmt w:val="decimal"/>
      <w:start w:val="1"/>
    </w:lvl>
  </w:abstractNum>
  <w:abstractNum w:abstractNumId="28">
    <w:nsid w:val="542289EC"/>
    <w:multiLevelType w:val="hybridMultilevel"/>
    <w:lvl w:ilvl="0">
      <w:lvlJc w:val="left"/>
      <w:lvlText w:val="(%1)"/>
      <w:numFmt w:val="decimal"/>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lvl w:ilvl="1">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1)"/>
      <w:numFmt w:val="decimal"/>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1)"/>
      <w:numFmt w:val="decimal"/>
      <w:start w:val="1"/>
    </w:lvl>
  </w:abstractNum>
  <w:abstractNum w:abstractNumId="37">
    <w:nsid w:val="1BA026FA"/>
    <w:multiLevelType w:val="hybridMultilevel"/>
    <w:lvl w:ilvl="0">
      <w:lvlJc w:val="left"/>
      <w:lvlText w:val="•"/>
      <w:numFmt w:val="bullet"/>
      <w:start w:val="1"/>
    </w:lvl>
    <w:lvl w:ilvl="1">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1)"/>
      <w:numFmt w:val="decimal"/>
      <w:start w:val="1"/>
    </w:lvl>
  </w:abstractNum>
  <w:abstractNum w:abstractNumId="40">
    <w:nsid w:val="12E685FB"/>
    <w:multiLevelType w:val="hybridMultilevel"/>
    <w:lvl w:ilvl="0">
      <w:lvlJc w:val="left"/>
      <w:lvlText w:val="(%1)"/>
      <w:numFmt w:val="decimal"/>
      <w:start w:val="1"/>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1)"/>
      <w:numFmt w:val="lowerLetter"/>
      <w:start w:val="2"/>
    </w:lvl>
  </w:abstractNum>
  <w:abstractNum w:abstractNumId="44">
    <w:nsid w:val="4F4EF005"/>
    <w:multiLevelType w:val="hybridMultilevel"/>
    <w:lvl w:ilvl="0">
      <w:lvlJc w:val="left"/>
      <w:lvlText w:val="(%1)"/>
      <w:numFmt w:val="decimal"/>
      <w:start w:val="1"/>
    </w:lvl>
  </w:abstractNum>
  <w:abstractNum w:abstractNumId="45">
    <w:nsid w:val="23F9C13C"/>
    <w:multiLevelType w:val="hybridMultilevel"/>
    <w:lvl w:ilvl="0">
      <w:lvlJc w:val="left"/>
      <w:lvlText w:val="(%1)"/>
      <w:numFmt w:val="decimal"/>
      <w:start w:val="2"/>
    </w:lvl>
  </w:abstractNum>
  <w:abstractNum w:abstractNumId="46">
    <w:nsid w:val="649BB77C"/>
    <w:multiLevelType w:val="hybridMultilevel"/>
    <w:lvl w:ilvl="0">
      <w:lvlJc w:val="left"/>
      <w:lvlText w:val="(%1)"/>
      <w:numFmt w:val="lowerLetter"/>
      <w:start w:val="1"/>
    </w:lvl>
  </w:abstractNum>
  <w:abstractNum w:abstractNumId="47">
    <w:nsid w:val="275AC794"/>
    <w:multiLevelType w:val="hybridMultilevel"/>
    <w:lvl w:ilvl="0">
      <w:lvlJc w:val="left"/>
      <w:lvlText w:val="(%1)"/>
      <w:numFmt w:val="decimal"/>
      <w:start w:val="1"/>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1)"/>
      <w:numFmt w:val="decimal"/>
      <w:start w:val="1"/>
    </w:lvl>
  </w:abstractNum>
  <w:abstractNum w:abstractNumId="50">
    <w:nsid w:val="180115BE"/>
    <w:multiLevelType w:val="hybridMultilevel"/>
    <w:lvl w:ilvl="0">
      <w:lvlJc w:val="left"/>
      <w:lvlText w:val="(%1)"/>
      <w:numFmt w:val="decimal"/>
      <w:start w:val="1"/>
    </w:lvl>
  </w:abstractNum>
  <w:abstractNum w:abstractNumId="51">
    <w:nsid w:val="235BA861"/>
    <w:multiLevelType w:val="hybridMultilevel"/>
    <w:lvl w:ilvl="0">
      <w:lvlJc w:val="left"/>
      <w:lvlText w:val="(%1)"/>
      <w:numFmt w:val="decimal"/>
      <w:start w:val="1"/>
    </w:lvl>
  </w:abstractNum>
  <w:abstractNum w:abstractNumId="52">
    <w:nsid w:val="47398C89"/>
    <w:multiLevelType w:val="hybridMultilevel"/>
    <w:lvl w:ilvl="0">
      <w:lvlJc w:val="left"/>
      <w:lvlText w:val="(%1)"/>
      <w:numFmt w:val="decimal"/>
      <w:start w:val="1"/>
    </w:lvl>
  </w:abstractNum>
  <w:abstractNum w:abstractNumId="53">
    <w:nsid w:val="354FE9F9"/>
    <w:multiLevelType w:val="hybridMultilevel"/>
    <w:lvl w:ilvl="0">
      <w:lvlJc w:val="left"/>
      <w:lvlText w:val="(%1)"/>
      <w:numFmt w:val="decimal"/>
      <w:start w:val="1"/>
    </w:lvl>
  </w:abstractNum>
  <w:abstractNum w:abstractNumId="54">
    <w:nsid w:val="15B5AF5C"/>
    <w:multiLevelType w:val="hybridMultilevel"/>
    <w:lvl w:ilvl="0">
      <w:lvlJc w:val="left"/>
      <w:lvlText w:val="(%1)"/>
      <w:numFmt w:val="decimal"/>
      <w:start w:val="1"/>
    </w:lvl>
  </w:abstractNum>
  <w:abstractNum w:abstractNumId="55">
    <w:nsid w:val="741226BB"/>
    <w:multiLevelType w:val="hybridMultilevel"/>
    <w:lvl w:ilvl="0">
      <w:lvlJc w:val="left"/>
      <w:lvlText w:val="%1."/>
      <w:numFmt w:val="decimal"/>
      <w:start w:val="1"/>
    </w:lvl>
  </w:abstractNum>
  <w:abstractNum w:abstractNumId="56">
    <w:nsid w:val="D34B6A8"/>
    <w:multiLevelType w:val="hybridMultilevel"/>
    <w:lvl w:ilvl="0">
      <w:lvlJc w:val="left"/>
      <w:lvlText w:val="%1."/>
      <w:numFmt w:val="decimal"/>
      <w:start w:val="1"/>
    </w:lvl>
  </w:abstractNum>
  <w:abstractNum w:abstractNumId="57">
    <w:nsid w:val="10233C99"/>
    <w:multiLevelType w:val="hybridMultilevel"/>
    <w:lvl w:ilvl="0">
      <w:lvlJc w:val="left"/>
      <w:lvlText w:val="%1."/>
      <w:numFmt w:val="decimal"/>
      <w:start w:val="2"/>
    </w:lvl>
  </w:abstractNum>
  <w:abstractNum w:abstractNumId="58">
    <w:nsid w:val="3F6AB60F"/>
    <w:multiLevelType w:val="hybridMultilevel"/>
    <w:lvl w:ilvl="0">
      <w:lvlJc w:val="left"/>
      <w:lvlText w:val="%1."/>
      <w:numFmt w:val="decimal"/>
      <w:start w:val="3"/>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92" Type="http://schemas.openxmlformats.org/officeDocument/2006/relationships/hyperlink" Target="https://www.sec.gov/Archives/edgar/data/1514281/000119312511100286/dex31.htm" TargetMode="External"/><Relationship Id="rId93" Type="http://schemas.openxmlformats.org/officeDocument/2006/relationships/hyperlink" Target="https://www.sec.gov/Archives/edgar/data/1514281/000119312517161247/d334144dex31.htm" TargetMode="External"/><Relationship Id="rId94" Type="http://schemas.openxmlformats.org/officeDocument/2006/relationships/hyperlink" Target="https://www.sec.gov/Archives/edgar/data/1514281/000162828025057427/a8k-121625xexhibit32.htm" TargetMode="External"/><Relationship Id="rId95" Type="http://schemas.openxmlformats.org/officeDocument/2006/relationships/hyperlink" Target="https://www.sec.gov/Archives/edgar/data/1514281/000119312512331404/d389692dex31.htm" TargetMode="External"/><Relationship Id="rId96" Type="http://schemas.openxmlformats.org/officeDocument/2006/relationships/hyperlink" Target="https://www.sec.gov/Archives/edgar/data/1514281/000119312512400232/d414755dex31.htm" TargetMode="External"/><Relationship Id="rId97" Type="http://schemas.openxmlformats.org/officeDocument/2006/relationships/hyperlink" Target="https://www.sec.gov/Archives/edgar/data/1514281/000151428119000091/exhibit3-5articlessuppleme.htm" TargetMode="External"/><Relationship Id="rId98" Type="http://schemas.openxmlformats.org/officeDocument/2006/relationships/hyperlink" Target="https://www.sec.gov/Archives/edgar/data/1514281/000151428121000103/exhibit31.htm" TargetMode="External"/><Relationship Id="rId99" Type="http://schemas.openxmlformats.org/officeDocument/2006/relationships/hyperlink" Target="https://www.sec.gov/Archives/edgar/data/1514281/000151428121000103/exhibit32.htm" TargetMode="External"/><Relationship Id="rId100" Type="http://schemas.openxmlformats.org/officeDocument/2006/relationships/hyperlink" Target="https://www.sec.gov/Archives/edgar/data/1514281/000162828025057427/a8k-121625xexhibit31.htm" TargetMode="External"/><Relationship Id="rId101" Type="http://schemas.openxmlformats.org/officeDocument/2006/relationships/hyperlink" Target="https://www.sec.gov/Archives/edgar/data/1514281/000151428121000067/exhibit41-commonspecimence.htm" TargetMode="External"/><Relationship Id="rId102" Type="http://schemas.openxmlformats.org/officeDocument/2006/relationships/hyperlink" Target="https://www.sec.gov/Archives/edgar/data/1514281/000119312512331404/d389692dex41.htm" TargetMode="External"/><Relationship Id="rId103" Type="http://schemas.openxmlformats.org/officeDocument/2006/relationships/hyperlink" Target="https://www.sec.gov/Archives/edgar/data/1514281/000119312512400232/d414755dex41.htm" TargetMode="External"/><Relationship Id="rId104" Type="http://schemas.openxmlformats.org/officeDocument/2006/relationships/hyperlink" Target="https://www.sec.gov/Archives/edgar/data/1514281/000151428119000091/exhibit3-9prcspecimenstock.htm" TargetMode="External"/><Relationship Id="rId105" Type="http://schemas.openxmlformats.org/officeDocument/2006/relationships/hyperlink" Target="https://www.sec.gov/Archives/edgar/data/1514281/000151428124000015/mitt-exhibit42xindenture.htm" TargetMode="External"/><Relationship Id="rId108" Type="http://schemas.openxmlformats.org/officeDocument/2006/relationships/hyperlink" Target="https://www.sec.gov/Archives/edgar/data/1514281/000151428124000015/mitt-ex43xsupplementalinde.htm" TargetMode="External"/><Relationship Id="rId109" Type="http://schemas.openxmlformats.org/officeDocument/2006/relationships/hyperlink" Target="https://www.sec.gov/Archives/edgar/data/1514281/000151428124000092/mitt-ex44xsecondsuppl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2026-05-01T15:44:27Z</dcterms:created>
  <dcterms:modified xsi:type="dcterms:W3CDTF">2026-05-01T15:44:27Z</dcterms:modified>
</cp:coreProperties>
</file>