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1.png" ContentType="image/png"/>
  <Override PartName="/word/media/image3.png" ContentType="image/png"/>
  <Override PartName="/word/media/image2.png" ContentType="image/png"/>
  <Override PartName="/word/media/image4.jpeg" ContentType="image/jpeg"/>
  <Override PartName="/word/media/image6.jpeg" ContentType="image/jpeg"/>
  <Override PartName="/word/media/image14.jpeg" ContentType="image/jpeg"/>
  <Override PartName="/word/media/image8.png" ContentType="image/png"/>
  <Override PartName="/word/media/image11.jpeg" ContentType="image/jpeg"/>
  <Override PartName="/word/media/image7.png" ContentType="image/png"/>
  <Override PartName="/word/media/image9.png" ContentType="image/png"/>
  <Override PartName="/word/media/image5.png" ContentType="image/png"/>
  <Override PartName="/word/media/image10.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As filed with the Securities and Exchange Commission on October 2, 2026</w:t>
      </w: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333-298954     </w:t>
      </w:r>
    </w:p>
    <w:p>
      <w:pPr>
        <w:pStyle w:val="TextBody"/>
        <w:bidi w:val="0"/>
        <w:spacing w:lineRule="auto" w:line="288" w:before="0" w:after="0"/>
        <w:jc w:val="center"/>
        <w:rPr/>
      </w:pPr>
      <w:r>
        <w:rPr>
          <w:rFonts w:ascii="Times New Roman;serif" w:hAnsi="Times New Roman;serif"/>
          <w:b/>
          <w:color w:val="000000"/>
          <w:sz w:val="22"/>
        </w:rPr>
        <w:t xml:space="preserve">UNITED STATES </w:t>
        <w:br/>
        <w:t xml:space="preserve">SECURITIES AND EXCHANGE COMMISSION </w:t>
        <w:br/>
      </w: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88" w:before="0" w:after="0"/>
        <w:jc w:val="center"/>
        <w:rPr/>
      </w:pPr>
      <w:r>
        <w:rPr>
          <w:rFonts w:ascii="Times New Roman;serif" w:hAnsi="Times New Roman;serif"/>
          <w:b/>
          <w:color w:val="000000"/>
          <w:sz w:val="24"/>
        </w:rPr>
        <w:t>FORM S-4</w:t>
      </w:r>
      <w:r>
        <w:rPr>
          <w:color w:val="000000"/>
        </w:rPr>
        <w:t> </w:t>
      </w:r>
    </w:p>
    <w:p>
      <w:pPr>
        <w:pStyle w:val="TextBody"/>
        <w:bidi w:val="0"/>
        <w:spacing w:lineRule="auto" w:line="288" w:before="0" w:after="0"/>
        <w:jc w:val="center"/>
        <w:rPr/>
      </w:pPr>
      <w:r>
        <w:rPr>
          <w:rFonts w:ascii="Times New Roman;serif" w:hAnsi="Times New Roman;serif"/>
          <w:b/>
          <w:color w:val="000000"/>
          <w:sz w:val="24"/>
        </w:rPr>
        <w:t xml:space="preserve">REGISTRATION STATEMENT </w:t>
        <w:br/>
        <w:t xml:space="preserve">UNDER </w:t>
        <w:br/>
        <w:t>THE SECURITIES ACT OF 1933</w:t>
      </w:r>
      <w:r>
        <w:rPr>
          <w:color w:val="000000"/>
        </w:rPr>
        <w:t>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w:t>
      </w:r>
    </w:p>
    <w:tbl>
      <w:tblPr>
        <w:tblW w:w="5847" w:type="dxa"/>
        <w:jc w:val="left"/>
        <w:tblInd w:w="0" w:type="dxa"/>
        <w:tblLayout w:type="fixed"/>
        <w:tblCellMar>
          <w:top w:w="28" w:type="dxa"/>
          <w:left w:w="28" w:type="dxa"/>
          <w:bottom w:w="28" w:type="dxa"/>
          <w:right w:w="28" w:type="dxa"/>
        </w:tblCellMar>
      </w:tblPr>
      <w:tblGrid>
        <w:gridCol w:w="822"/>
        <w:gridCol w:w="725"/>
        <w:gridCol w:w="732"/>
        <w:gridCol w:w="707"/>
        <w:gridCol w:w="707"/>
        <w:gridCol w:w="715"/>
        <w:gridCol w:w="420"/>
        <w:gridCol w:w="420"/>
        <w:gridCol w:w="599"/>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6500</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br/>
              <w:t>Incorporation or Organization)</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(Primary Standard Industrial </w:t>
              <w:br/>
              <w:t>Classification Code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w:t>
      </w:r>
    </w:p>
    <w:p>
      <w:pPr>
        <w:pStyle w:val="TextBody"/>
        <w:bidi w:val="0"/>
        <w:spacing w:lineRule="auto" w:line="288" w:before="0" w:after="0"/>
        <w:jc w:val="center"/>
        <w:rPr/>
      </w:pPr>
      <w:r>
        <w:rPr>
          <w:rFonts w:ascii="Times New Roman;serif" w:hAnsi="Times New Roman;serif"/>
          <w:b/>
          <w:color w:val="000000"/>
          <w:sz w:val="20"/>
        </w:rPr>
        <w:t>245 Park Avenue, 26th Floor</w:t>
        <w:br/>
        <w:t xml:space="preserve">New York, New York 10167 </w:t>
        <w:br/>
        <w:t>(212) 692-2000</w:t>
      </w: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Jenny B. Neslin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w:t>
        <w:br/>
        <w:t>245 Park Avenue, 26th Floor</w:t>
        <w:br/>
        <w:t xml:space="preserve">New York, New York 10167 </w:t>
        <w:br/>
        <w:t>(212) 692-2000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agent for service) </w:t>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Copies to:</w:t>
      </w:r>
    </w:p>
    <w:tbl>
      <w:tblPr>
        <w:tblW w:w="10104" w:type="dxa"/>
        <w:jc w:val="left"/>
        <w:tblInd w:w="0" w:type="dxa"/>
        <w:tblLayout w:type="fixed"/>
        <w:tblCellMar>
          <w:top w:w="28" w:type="dxa"/>
          <w:left w:w="28" w:type="dxa"/>
          <w:bottom w:w="28" w:type="dxa"/>
          <w:right w:w="28" w:type="dxa"/>
        </w:tblCellMar>
      </w:tblPr>
      <w:tblGrid>
        <w:gridCol w:w="1006"/>
        <w:gridCol w:w="882"/>
        <w:gridCol w:w="887"/>
        <w:gridCol w:w="109"/>
        <w:gridCol w:w="109"/>
        <w:gridCol w:w="109"/>
        <w:gridCol w:w="1354"/>
        <w:gridCol w:w="1354"/>
        <w:gridCol w:w="1357"/>
        <w:gridCol w:w="109"/>
        <w:gridCol w:w="109"/>
        <w:gridCol w:w="109"/>
        <w:gridCol w:w="763"/>
        <w:gridCol w:w="763"/>
        <w:gridCol w:w="108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Steven M. Haas </w:t>
              <w:br/>
              <w:t xml:space="preserve">Robert K. Smith </w:t>
              <w:br/>
              <w:t>Hunton Andrews Kurth LLP</w:t>
              <w:br/>
              <w:t>2200 Pennsylvania Avenue NW</w:t>
              <w:br/>
              <w:t>Washington, DC 20037</w:t>
              <w:br/>
              <w:t>(202) 955-1611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Susan S. Healey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Secretary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Cherry Hill Mortgage Investment Corporation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4000 Route 66,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Tinton Falls, New Jersey 07753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(877) 870-7005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David S. Freed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Andrew J. Noreuil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Ryan H. Ferris</w:t>
              <w:br/>
              <w:t>Mayer Brown LLP</w:t>
              <w:br/>
              <w:t>1221 Avenue of the Americas</w:t>
              <w:br/>
              <w:t>New York, New York 10020</w:t>
              <w:br/>
              <w:t>(212) 506-2500</w:t>
            </w:r>
          </w:p>
        </w:tc>
      </w:tr>
    </w:tbl>
    <w:p>
      <w:pPr>
        <w:pStyle w:val="TextBody"/>
        <w:bidi w:val="0"/>
        <w:spacing w:lineRule="auto" w:line="288" w:before="0" w:after="0"/>
        <w:ind w:left="0" w:right="0" w:firstLine="403"/>
        <w:jc w:val="both"/>
        <w:rPr/>
      </w:pPr>
      <w:r>
        <w:rPr>
          <w:rFonts w:ascii="Times New Roman;serif" w:hAnsi="Times New Roman;serif"/>
          <w:b/>
          <w:color w:val="000000"/>
          <w:sz w:val="20"/>
        </w:rPr>
        <w:t>Approximate date of commencement of proposed sale of the securities to the public:</w:t>
      </w:r>
      <w:r>
        <w:rPr>
          <w:color w:val="000000"/>
        </w:rPr>
        <w:t xml:space="preserve"> </w:t>
      </w:r>
      <w:r>
        <w:rPr>
          <w:rFonts w:ascii="Times New Roman;serif" w:hAnsi="Times New Roman;serif"/>
          <w:b w:val="false"/>
          <w:color w:val="000000"/>
          <w:sz w:val="20"/>
        </w:rPr>
        <w:t xml:space="preserve">As soon as practicable after this Registration Statement is declared effective and upon the satisfaction or waiver of all other conditions to consummation of the mergers described in this joint proxy statement/prospectus. </w:t>
      </w:r>
    </w:p>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the securities being registered on this Form are being offered in connection with the formation of a holding company and there is compliance with General Instruction G, check the following box. </w:t>
      </w:r>
      <w:r>
        <w:rPr>
          <w:color w:val="000000"/>
        </w:rPr>
        <w:t xml:space="preserve">☐ </w:t>
      </w:r>
    </w:p>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0" w:after="0"/>
        <w:ind w:left="0" w:right="0" w:firstLine="40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0" w:after="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9"/>
        <w:gridCol w:w="579"/>
        <w:gridCol w:w="580"/>
        <w:gridCol w:w="109"/>
        <w:gridCol w:w="109"/>
        <w:gridCol w:w="109"/>
        <w:gridCol w:w="492"/>
        <w:gridCol w:w="492"/>
        <w:gridCol w:w="493"/>
        <w:gridCol w:w="109"/>
        <w:gridCol w:w="109"/>
        <w:gridCol w:w="109"/>
        <w:gridCol w:w="612"/>
        <w:gridCol w:w="612"/>
        <w:gridCol w:w="613"/>
        <w:gridCol w:w="109"/>
        <w:gridCol w:w="109"/>
        <w:gridCol w:w="109"/>
        <w:gridCol w:w="626"/>
        <w:gridCol w:w="626"/>
        <w:gridCol w:w="628"/>
        <w:gridCol w:w="569"/>
        <w:gridCol w:w="569"/>
        <w:gridCol w:w="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Large 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Non-accelerated filer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0" w:after="0"/>
        <w:ind w:left="0" w:right="0" w:firstLine="40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lineRule="auto" w:line="288" w:before="0" w:after="0"/>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 xml:space="preserve">If applicable, place an X in the box to designate the appropriate rule provision relied upon in conducting this transaction: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Exchange Act Rule 13e-4(i) (Cross-Border Issuer Tender Offer) </w:t>
      </w:r>
      <w:r>
        <w:rPr>
          <w:color w:val="000000"/>
        </w:rPr>
        <w:t xml:space="preserve">☐ </w:t>
      </w:r>
    </w:p>
    <w:p>
      <w:pPr>
        <w:pStyle w:val="TextBody"/>
        <w:bidi w:val="0"/>
        <w:spacing w:lineRule="auto" w:line="288"/>
        <w:ind w:left="0" w:right="0" w:firstLine="720"/>
        <w:jc w:val="both"/>
        <w:rPr/>
      </w:pPr>
      <w:r>
        <w:rPr>
          <w:rFonts w:ascii="Times New Roman;serif" w:hAnsi="Times New Roman;serif"/>
          <w:b w:val="false"/>
          <w:color w:val="000000"/>
          <w:sz w:val="20"/>
        </w:rPr>
        <w:t xml:space="preserve">Exchange Act Rule 14d-1(d) (Cross-Border Third-Party Tender Offer) </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00"/>
        <w:jc w:val="both"/>
        <w:rPr>
          <w:rFonts w:ascii="Times New Roman;serif" w:hAnsi="Times New Roman;serif"/>
          <w:b/>
          <w:color w:val="000000"/>
          <w:sz w:val="20"/>
        </w:rPr>
      </w:pPr>
      <w:r>
        <w:rPr>
          <w:rFonts w:ascii="Times New Roman;serif" w:hAnsi="Times New Roman;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FC0014"/>
          <w:sz w:val="20"/>
        </w:rPr>
      </w:pPr>
      <w:r>
        <w:rPr>
          <w:rFonts w:ascii="Times New Roman;serif" w:hAnsi="Times New Roman;serif"/>
          <w:b/>
          <w:color w:val="FC0014"/>
          <w:sz w:val="20"/>
        </w:rPr>
        <w:t xml:space="preserve">The information in this joint proxy statement/prospectus is subject to completion and amendment. A registration statement on Form S-4 (Registration Statement No. 333-298954) relating to the securities described in this joint proxy statement/prospectus has been filed with the U.S. Securities and Exchange Commission. These securities may not be sold nor may offers to buy these securities be accepted prior to the time the registration statement becomes effective. This joint proxy statement/prospectus shall not constitute an offer to sell or the solicitation of any offer to buy nor shall there be any sale of these securities in any jurisdiction in which such offer, solicitation or sale would be unlawful prior to registration or qualification under the securities law of any such jurisdiction. </w:t>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PRELIMINARY—SUBJECT TO COMPLETION</w:t>
      </w:r>
    </w:p>
    <w:p>
      <w:pPr>
        <w:pStyle w:val="TextBody"/>
        <w:bidi w:val="0"/>
        <w:spacing w:lineRule="auto" w:line="288" w:before="0" w:after="120"/>
        <w:jc w:val="center"/>
        <w:rPr>
          <w:rFonts w:ascii="Times New Roman;serif" w:hAnsi="Times New Roman;serif"/>
          <w:b/>
          <w:color w:val="EE2724"/>
          <w:sz w:val="20"/>
        </w:rPr>
      </w:pPr>
      <w:r>
        <w:rPr>
          <w:rFonts w:ascii="Times New Roman;serif" w:hAnsi="Times New Roman;serif"/>
          <w:b/>
          <w:color w:val="EE2724"/>
          <w:sz w:val="20"/>
        </w:rPr>
        <w:t>DATED OCTOBER 2,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JOINT PROXY STATEMENT/PROSPECTUS</w:t>
      </w:r>
    </w:p>
    <w:tbl>
      <w:tblPr>
        <w:tblW w:w="7132" w:type="dxa"/>
        <w:jc w:val="left"/>
        <w:tblInd w:w="0" w:type="dxa"/>
        <w:tblLayout w:type="fixed"/>
        <w:tblCellMar>
          <w:top w:w="28" w:type="dxa"/>
          <w:left w:w="28" w:type="dxa"/>
          <w:bottom w:w="28" w:type="dxa"/>
          <w:right w:w="28" w:type="dxa"/>
        </w:tblCellMar>
      </w:tblPr>
      <w:tblGrid>
        <w:gridCol w:w="524"/>
        <w:gridCol w:w="461"/>
        <w:gridCol w:w="461"/>
        <w:gridCol w:w="461"/>
        <w:gridCol w:w="461"/>
        <w:gridCol w:w="463"/>
        <w:gridCol w:w="670"/>
        <w:gridCol w:w="670"/>
        <w:gridCol w:w="670"/>
        <w:gridCol w:w="670"/>
        <w:gridCol w:w="670"/>
        <w:gridCol w:w="951"/>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3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914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33550" cy="914400"/>
                          </a:xfrm>
                          <a:prstGeom prst="rect">
                            <a:avLst/>
                          </a:prstGeom>
                        </pic:spPr>
                      </pic:pic>
                    </a:graphicData>
                  </a:graphic>
                </wp:inline>
              </w:drawing>
            </w:r>
          </w:p>
        </w:tc>
        <w:tc>
          <w:tcPr>
            <w:tcW w:w="4301"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2647950" cy="3238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47950" cy="323850"/>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MERGER PROPOSED – YOUR VOTE IS VERY IMPORTANT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OCTOBER 8,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Stockholders of TPG Mortgage Investment Trust, Inc. and the Stockholders of Cherry Hill Mortgage Investment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which we refer to as the “MITT Board,” of TPG Mortgage Investment Trust, Inc., a Maryland corporation, which we refer to as “MITT,” and the board of directors, which we refer to as the “CHMI Board,” of Cherry Hill Mortgage Investment Corporation, a Maryland corporation, which we refer to as “CHMI,” have each approved an Agreement and Plan of Merger, dated as of August 9, 2026, as such agreement may be amended or modified from time to time, the “Merger Agreement,” by and among MITT, CHMI, MIT Merger Sub II, LLC, a Delaware limited liability company and wholly owned subsidiary of MITT, which we refer to as “Merger Sub,” Cherry Hill Operating Partnership, LP, a Delaware limited partnership and subsidiary of CHMI, which we refer to as “CHOP,” and, solely for the limited purposes set forth in the Merger Agreement, AG REIT Management, LLC, a Delaware limited liability company, which we refer to as “MITT Manager,” pursuant to which (i) CHOP will merge with and into CHMI, with CHMI continuing as the surviving corporation, which we refer to as the “Partnership Merger,” and (ii) immediately following the Partnership Merger, CHMI will merge with and into Merger Sub, with Merger Sub continuing as the surviving entity and a subsidiary of MITT, which we refer to as the “Company Merger,” and, together with the Partnership Merger, the “Mergers.” The closing of the Mergers, which we refer to as the “Closing,” will occur as promptly as practicable following satisfaction of all closing conditions set forth in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Company Merger, which we refer to as the “Company Merger Effective Time,” each outstanding share of CHMI common stock, par value $0.01 per share, which we refer to as “CHMI Common Stock,” (other than shares held by MITT or Merger Sub or by any wholly owned subsidiary of MITT, Merger Sub or CHMI), will be converted into the right to receive (i) from MITT, (A) 0.3063 shares of MITT common stock, par value $0.01 per share, which we refer to as “MITT Common Stock,” which such shares of MITT Common Stock we refer to as the “Per Share Stock Consideration” plus (B) $0.41 per share in cash, which we refer to as the “Per Share MITT Cash Consideration,” plus (ii) from MITT Manager (acting solely on its own behalf), $0.52 per share in cash, which we refer to as the “Per Share Additional Manager Consideration” and, together with the Per Share Stock Consideration and the Per Share MITT Cash Consideration, the “Common Stock Merger Consideration.”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each share of CHMI 8.20% Series A Cumulative Redeemable Preferred Stock, par value $0.01 per share, which we refer to as “CHMI Series A Preferred Stock,” outstanding immediately prior to the Company Merger Effective Time will be converted into the right to receive one newly issued share of MITT 8.20% Series D Cumulative Redeemable Preferred Stock, par value $0.01 per share, which we refer to as “MITT Series D Preferred Stock.” Also, each share of CHMI 8.250% Series B Fixed-to-Floating Rate Cumulative Redeemable Preferred Stock, par value $0.01 per share, which we refer to as “CHMI Series B Preferred Stock,” outstanding immediately prior to the Company Merger Effective Time will automatically be converted into the right to receive one newly issued share of MITT Series E Floating Rate Cumulative Redeemable Preferred Stock, par value $0.01 per share, which we refer to as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Company Merger, the MITT Common Stock will remain listed on the New York Stock Exchange, which we refer to as the “NYSE,” under the symbol “MITT,” and the MITT Series D Preferred Stock and the MITT Series E Preferred Stock will be listed on the NYSE under the symbols “MITT PrD” and “MITT PrE,”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is completed, after giving effect to the issuance of shares of MITT Common Stock in connection therewith, we anticipate that MITT common stockholders immediately prior to the Company Merger will own approximately 73% of the common stock of MITT upon completion of the Company Merger, and former CHMI common stockholders, including holders of CHMI Equity Awards that are vesting and settling in, or being converted into, CHMI Common Stock under the Merger Agreement prior to the Company Merger, will own approximately 27% of the common stock of MITT upon completion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hold a special meeting of their respective stockholders to consider the matters discussed below. The MITT special meeting will be held at the offices of Hunton Andrews Kurth LLP, 200 Park Avenue, New York, New York 10166, on December 2, 2026, at 10:00 a.m., Eastern Time. CHMI’s special meeting will be held virtually on December 2, 2026, at 9:00 a.m., Eastern Time.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the MITT special meeting, the MITT stockholders will be asked to consider and vote on (i) a proposal to approve the issuance of MITT Common Stock pursuant to the Merger Agreement, which we refer to as the “MITT Common Stock Issuance Proposal,” and (ii) a proposal to approve the adjournment of the MITT special meeting, if necessary or appropriate, for the purpose of soliciting additional proxies for the approval of the MITT Common Stock Issuance Proposal, which we refer to as the “MITT Adjournment Proposal.” The MITT Board has unanimously (i) determined that the Merger Agreement and the transactions contemplated thereby, including the Company Merger and the issuance of the Per Share Stock Consideration, which we refer to as the “MITT Common Stock Issuance,” are advisable, fair to and in the best interests of MITT and its stockholders, (ii) approved the Merger Agreement and the transactions contemplated thereby, including the Company Merger and the MITT Common Stock Issuance, (iii) directed that the MITT Common Stock Issuance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MITT stockholders vote “FOR” the MITT Common Stock Issuance Proposal and “FOR” the MITT Adjournment Proposal. </w:t>
      </w:r>
      <w:r>
        <w:rPr>
          <w:rFonts w:ascii="Times New Roman;serif" w:hAnsi="Times New Roman;serif"/>
          <w:b w:val="false"/>
          <w:color w:val="000000"/>
          <w:sz w:val="20"/>
        </w:rPr>
        <w:t xml:space="preserve">Only those matters included in the notice of the MITT special meeting may be considered and voted upon at the MITT special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CHMI special meeting, the CHMI stockholders will be asked to consider and vote on (i) a proposal to approve the Merger Agreement and the Company Merger, which we refer to as the “CHMI Merger Proposal,” (ii) a proposal to approve, on a non-binding, advisory basis, the compensation that may be paid or become payable to CHMI’s named executive officers that is based on or otherwise relates to the Mergers, which we refer to as the “CHMI Compensation Proposal,” and (iii) a proposal to approve the adjournment of the CHMI special meeting, if necessary or appropriate, including for the purpose of soliciting additional proxies for the approval of the CHMI Merger Proposal, which we refer to as the “CHMI Adjournment Proposal.” The CHMI Board has unanimously (i) determined that the Merger Agreement and the transactions contemplated thereby, including the Mergers, are advisable, fair to and in the best interests of CHMI and its stockholders, (ii) authorized and approved the Merger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Agreement and the transactions contemplated thereby, (iii) directed that the Merger Agreement and the Company Merger be submitted to a vote of the holders of CHMI Common Stock at the CHMI special meeting and (iv) resolved to recommend, subject to the terms and conditions of the Merger Agreement, that the holders of CHMI Common Stock approve the Merger Agreement and the Company Merger.</w:t>
      </w:r>
      <w:r>
        <w:rPr>
          <w:color w:val="000000"/>
        </w:rPr>
        <w:t xml:space="preserve"> </w:t>
      </w:r>
      <w:r>
        <w:rPr>
          <w:rFonts w:ascii="Times New Roman;serif" w:hAnsi="Times New Roman;serif"/>
          <w:b/>
          <w:color w:val="000000"/>
          <w:sz w:val="20"/>
        </w:rPr>
        <w:t xml:space="preserve">The CHMI Board unanimously recommends that the CHMI common stockholders vote “FOR” the CHMI Merger Proposal, “FOR” the CHMI Compensation Proposal and “FOR” the CHMI Adjournment Proposal. </w:t>
      </w:r>
      <w:r>
        <w:rPr>
          <w:rFonts w:ascii="Times New Roman;serif" w:hAnsi="Times New Roman;serif"/>
          <w:b w:val="false"/>
          <w:color w:val="000000"/>
          <w:sz w:val="20"/>
        </w:rPr>
        <w:t xml:space="preserve">Only those matters included in the notice of the CHMI special meeting may be considered and voted upon at the CHMI special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provides detailed information about the special meetings of MITT and CHMI, the Merger Agreement, the Mergers and other related matters. A copy of the Merger Agreement is attached as Annex A to this joint proxy statement/prospectus. We encourage you to read this joint proxy statement/prospectus, the Merger Agreement and the other annexes to this joint proxy statement/prospectus carefully and in their entirety. In particular, you should carefully consider the discussion in the section of this joint proxy statement/prospectus entitled “Risk Factors” beginning on page 41. You may also obtain more information about each company from the documents they file with the Securities and Exchange Commission, which we refer to as “SEC.”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or CHMI Common Stock you own. Whether or not you plan to attend the MITT special meeting or the CHMI special meeting, as applicable, please complete, date, sign and return, as promptly as possible, the enclosed proxy card in the accompanying reply envelope or authorize a proxy to vote your shares at the applicable meeting. If you attend and vote at a special meeting, your vote by ballot will revoke any proxy previously submitted. We note that attendance alone is not sufficient to revoke a previously authorized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Thank you in advance for your continued support.</w:t>
      </w:r>
    </w:p>
    <w:tbl>
      <w:tblPr>
        <w:tblW w:w="7059" w:type="dxa"/>
        <w:jc w:val="left"/>
        <w:tblInd w:w="0" w:type="dxa"/>
        <w:tblLayout w:type="fixed"/>
        <w:tblCellMar>
          <w:top w:w="28" w:type="dxa"/>
          <w:left w:w="28" w:type="dxa"/>
          <w:bottom w:w="28" w:type="dxa"/>
          <w:right w:w="28" w:type="dxa"/>
        </w:tblCellMar>
      </w:tblPr>
      <w:tblGrid>
        <w:gridCol w:w="396"/>
        <w:gridCol w:w="348"/>
        <w:gridCol w:w="348"/>
        <w:gridCol w:w="348"/>
        <w:gridCol w:w="348"/>
        <w:gridCol w:w="348"/>
        <w:gridCol w:w="348"/>
        <w:gridCol w:w="348"/>
        <w:gridCol w:w="348"/>
        <w:gridCol w:w="412"/>
        <w:gridCol w:w="412"/>
        <w:gridCol w:w="412"/>
        <w:gridCol w:w="412"/>
        <w:gridCol w:w="412"/>
        <w:gridCol w:w="412"/>
        <w:gridCol w:w="412"/>
        <w:gridCol w:w="412"/>
        <w:gridCol w:w="583"/>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7059"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387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Jeffrey B. Lown II</w:t>
            </w:r>
          </w:p>
        </w:tc>
      </w:tr>
      <w:tr>
        <w:trPr/>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br/>
              <w:t>Chief Executive Officer and President</w:t>
              <w:br/>
              <w:t>TPG Mortgage Investment Trust, Inc.</w:t>
            </w:r>
          </w:p>
        </w:tc>
        <w:tc>
          <w:tcPr>
            <w:tcW w:w="387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B. Lown II</w:t>
              <w:br/>
              <w:t>Chief Executive Officer and President</w:t>
              <w:br/>
              <w:t>Cherry Hill Mortgage Investment Corporation</w:t>
            </w:r>
          </w:p>
        </w:tc>
      </w:tr>
    </w:tbl>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Neither the SEC nor any state securities regulatory agency has approved or disapproved of the securities to be issued in connection with the Company Merger or passed upon the adequacy or accuracy of this joint proxy statement/prospectus. Any representation to the contrary is a criminal offense.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dated October 8, 2026, and is first being mailed to the stockholders of MITT and the stockholders of CHMI on or about October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before="0" w:after="180"/>
        <w:jc w:val="center"/>
        <w:rPr/>
      </w:pPr>
      <w:r>
        <w:rPr/>
        <w:drawing>
          <wp:inline distT="0" distB="0" distL="0" distR="0">
            <wp:extent cx="1209675" cy="638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209675" cy="6381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TPG MORTGAGE INVESTMENT TRUST, INC. </w:t>
        <w:br/>
        <w:t>245 Park Avenue, 26th Floor</w:t>
        <w:br/>
        <w:t xml:space="preserve">New York, New York 10167 </w:t>
        <w:br/>
        <w:t>(212) 692-2000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NOTICE OF SPECIAL MEETING OF STOCKHOLDERS </w:t>
        <w:br/>
        <w:t>TO BE HELD ON DECEMBER 2,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NOTICE IS HEREBY GIVEN that a special meeting of stockholders, which we refer to as “MITT special meeting,” of TPG Mortgage Investment Trust, Inc., a Maryland corporation, which we refer to as “MITT,” will be held at the offices of Hunton Andrews Kurth LLP, 200 Park Avenue, New York, New York 10166, on December 2, 2026, at 10:00 a.m., Eastern Time, for the following purposes: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which we refer to as the “MITT Common Stock Issuance Proposal,” to approve the issuance of shares of MITT common stock, par value $0.01 per share, which we refer to as “MITT Common Stock,” pursuant to the Agreement and Plan of Merger, dated as of August 9, 2026, as amended or modified from time to time, which we refer to as the “Merger Agreement,” a copy of which is attached as Annex A to the joint proxy statement/prospectus accompanying this notice, by and among MITT, Cherry Hill Mortgage Investment Corporation, a Maryland corporation, which we refer to as “CHMI,” Cherry Hill Operating Partnership, LP, a Delaware limited partnership and subsidiary of CHMI, which we refer to as “CHOP,” MIT Merger Sub II, LLC, a Delaware limited liability company and wholly owned subsidiary of MITT, which we refer to as “Merger Sub,” and, solely for the limited purposes set forth therein, AG REIT Management, LLC, a Delaware limited liability company and the external manager of MITT, pursuant to which CHOP will merge with and into CHMI, with CHMI continuing as the surviving corporation, which we refer to as the “Partnership Merger,” and immediately following the Partnership Merger, CHMI will merge with and into Merger Sub, with Merger Sub continuing as the surviving entity and a subsidiary of MITT, which we refer to as the “Company Merger,” and together with the Partnership Merger, the “Mergers;”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to approve the adjournment of the MITT special meeting, if necessary or appropriate, for the purpose of soliciting additional proxies for the approval of the MITT Common Stock Issuance Proposal, which we refer to as the “MITT Adjournment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Pursuant to Maryland law and MITT's Bylaws, no other business may be brought before the MITT special meeting other than the proposals described above.</w:t>
      </w:r>
      <w:r>
        <w:rPr>
          <w:color w:val="000000"/>
        </w:rPr>
        <w:t xml:space="preserve"> </w:t>
      </w:r>
      <w:r>
        <w:rPr>
          <w:rFonts w:ascii="Times New Roman;serif" w:hAnsi="Times New Roman;serif"/>
          <w:b w:val="false"/>
          <w:color w:val="000000"/>
          <w:sz w:val="20"/>
        </w:rPr>
        <w:t>Only holders of record of MITT Common Stock at the close of business on October 2, 2026, the record date for the MITT special meeting, are entitled to receive this notice and vote at the MITT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board of directors of MITT, which we refer to as “MITT Board,” has unanimously (i) determined that the Merger Agreement and the transactions contemplated thereby, including the Company Merger and the issuance of the shares of MITT Common Stock in connection with the Company Merger, which we refer to as “MITT Common Stock Issuance,” are advisable, fair to and in the best interests of MITT and MITT’s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The MITT Board unanimously recommends that</w:t>
      </w:r>
      <w:r>
        <w:rPr>
          <w:color w:val="000000"/>
        </w:rPr>
        <w:t xml:space="preserve"> </w:t>
      </w:r>
      <w:r>
        <w:rPr>
          <w:rFonts w:ascii="Times New Roman;serif" w:hAnsi="Times New Roman;serif"/>
          <w:b/>
          <w:color w:val="000000"/>
          <w:sz w:val="20"/>
        </w:rPr>
        <w:t>you vote “FOR” the MITT Common Stock Issuance Proposal and “FOR” the MITT Adjournment Proposal</w:t>
      </w:r>
      <w:r>
        <w:rPr>
          <w:rFonts w:ascii="Times New Roman;serif" w:hAnsi="Times New Roman;serif"/>
          <w:b w:val="false"/>
          <w:color w:val="000000"/>
          <w:sz w:val="2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Assuming a quorum is present, the MITT Common Stock Issuance Proposal requires the affirmative vote of a majority of the votes cast on the proposal. </w:t>
      </w:r>
      <w:r>
        <w:rPr>
          <w:rFonts w:ascii="Times New Roman;serif" w:hAnsi="Times New Roman;serif"/>
          <w:b/>
          <w:color w:val="000000"/>
          <w:sz w:val="20"/>
        </w:rPr>
        <w:t>The Company Merger cannot be completed without the approval by MITT’s stockholders of the MITT Common Stock Issuance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that you own. Whether or not you plan to attend the MITT special meeting in person, you are urged to authorize a proxy as promptly as possible by (1) calling the number specified on your proxy card, (2) accessing the website specified on your proxy card or (3) marking, signing, dating and promptly returning the enclosed proxy card in the postage-paid envelope provided, so that your shares of MITT Common Stock may be represented and voted at the MITT special meeting. If your shares of MITT Common Stock are held in the name of a bank, broker or other nominee, please follow the instructions on the voting instruction card furnished to you by such bank, broker or other nominee.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the MITT Common Stock Issuance, the Company Merger and the other matters to be considered at the MITT special meeting. We urge you to read carefully the accompanying joint proxy statement/prospectus, including all documents incorporated by reference into the accompanying joint proxy statement/prospectus, and its annexes, in their entirety. If you have any questions concerning the proposals, the Company Merger or the joint proxy statement/prospectus, would like additional copies or need help voting your shares of MITT Common Stock, please contact MITT’s proxy solicitor: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before="0" w:after="18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MITT stockholders on or about October 9, 2026.</w:t>
      </w:r>
    </w:p>
    <w:tbl>
      <w:tblPr>
        <w:tblW w:w="2985" w:type="dxa"/>
        <w:jc w:val="left"/>
        <w:tblInd w:w="0" w:type="dxa"/>
        <w:tblLayout w:type="fixed"/>
        <w:tblCellMar>
          <w:top w:w="28" w:type="dxa"/>
          <w:left w:w="28" w:type="dxa"/>
          <w:bottom w:w="28" w:type="dxa"/>
          <w:right w:w="28" w:type="dxa"/>
        </w:tblCellMar>
      </w:tblPr>
      <w:tblGrid>
        <w:gridCol w:w="954"/>
        <w:gridCol w:w="838"/>
        <w:gridCol w:w="1193"/>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298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Jenny B. Neslin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IMPORTANT INFORMATION IF YOU PLAN TO ATTEND THE MITT SPECIAL MEETING:</w:t>
      </w:r>
    </w:p>
    <w:p>
      <w:pPr>
        <w:pStyle w:val="TextBody"/>
        <w:bidi w:val="0"/>
        <w:spacing w:lineRule="auto" w:line="288" w:before="0" w:after="180"/>
        <w:jc w:val="both"/>
        <w:rPr/>
      </w:pPr>
      <w:r>
        <w:rPr>
          <w:rFonts w:ascii="Times New Roman;serif" w:hAnsi="Times New Roman;serif"/>
          <w:b w:val="false"/>
          <w:color w:val="000000"/>
          <w:sz w:val="20"/>
        </w:rPr>
        <w:t>Any MITT stockholder that wants to attend the MITT special meeting must pre-register by emailing mittir@tpg.com not later than 5:00 p.m., Eastern Time, on November 27, 2026. 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 order to attend the MITT special meeting, you will need to provide evidence that you are a stockholder as of the close of business on the record date. This can be a copy of your proxy card or a brokerage statement showing your shares as of the close of business on the record date.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pPr>
      <w:r>
        <w:rPr/>
        <w:drawing>
          <wp:inline distT="0" distB="0" distL="0" distR="0">
            <wp:extent cx="4057650" cy="5143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057650" cy="514350"/>
                    </a:xfrm>
                    <a:prstGeom prst="rect">
                      <a:avLst/>
                    </a:prstGeom>
                  </pic:spPr>
                </pic:pic>
              </a:graphicData>
            </a:graphic>
          </wp:inline>
        </w:drawing>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CHERRY HILL MORTGAGE INVESTMENT CORPORATION</w:t>
        <w:br/>
        <w:t>4000 Route 66, Suite 310</w:t>
        <w:br/>
        <w:t>Tinton Falls, New Jersey 07753</w:t>
      </w:r>
    </w:p>
    <w:p>
      <w:pPr>
        <w:pStyle w:val="TextBody"/>
        <w:bidi w:val="0"/>
        <w:spacing w:lineRule="auto" w:line="288" w:before="0" w:after="180"/>
        <w:jc w:val="center"/>
        <w:rPr/>
      </w:pPr>
      <w:r>
        <w:rPr>
          <w:rFonts w:ascii="Times New Roman;serif" w:hAnsi="Times New Roman;serif"/>
          <w:b/>
          <w:color w:val="000000"/>
          <w:sz w:val="20"/>
        </w:rPr>
        <w:t>NOTICE OF SPECIAL MEETING OF STOCKHOLDERS</w:t>
      </w:r>
      <w:r>
        <w:rPr>
          <w:rFonts w:ascii="Times New Roman;serif" w:hAnsi="Times New Roman;serif"/>
          <w:b w:val="false"/>
          <w:color w:val="000000"/>
          <w:sz w:val="20"/>
        </w:rPr>
        <w:br/>
      </w:r>
      <w:r>
        <w:rPr>
          <w:rFonts w:ascii="Times New Roman;serif" w:hAnsi="Times New Roman;serif"/>
          <w:b/>
          <w:color w:val="000000"/>
          <w:sz w:val="20"/>
        </w:rPr>
        <w:t>TO BE HELD ON DECEMBER 2,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NOTICE IS HEREBY GIVEN that a special meeting of stockholders (the “CHMI special meeting”) of Cherry Hill Mortgage Investment Corporation, a Maryland corporation (“CHMI”), will be held virtually on December 2, 2026, at 9:00 a.m., Eastern Time. At the CHMI special meeting, CHMI common stockholders will be asked to consider and vote upon the following matters: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 proposal to approve (a) the Agreement and Plan of Merger, dated as of August 9, 2026 (as it may be amended or modified from time to time, the “Merger Agreement”) by and among TPG Mortgage Investment Trust, Inc., a Maryland corporation (“MITT”), MIT Merger Sub II, LLC, a Delaware limited liability company and a wholly owned subsidiary of MITT (“Merger Sub”), CHMI, Cherry Hill Operating Partnership, LP, a Delaware limited partnership (“CHOP”), and, solely for limited purposes set forth in the Merger Agreement, AG REIT Management, LLC, a Delaware limited liability company (“MITT Manager”), and (b) the merger of CHMI with and into Merger Sub, with Merger Sub being the surviving entity (the “Company Merger”) on the terms and subject to the conditions of the Merger Agreement (the “CHMI Merger Proposal”);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 proposal to approve, on a non-binding, advisory basis, the compensation that may be paid or become payable to CHMI’s named executive officers that is based on or otherwise relates to the Company Merger and the merger, immediately prior to the effective time of the Company Merger, of CHOP with and into CHMI, with CHMI as the surviving entity (the “Partnership Merger” and, together with the Company Merger, the “Mergers”) (such proposal, the “CHMI Compensation Proposal”);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proposal to approve any adjournment of the CHMI special meeting, if necessary or appropriate, including to solicit additional proxies if there are not sufficient votes to approve the CHMI Merger Proposal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this notice of special meeting of stockholders will be considered and voted upon at the CHMI special meeting. The board of directors of CHMI (the “CHMI Board”) has fixed the close of business on October 2, 2026 as the record date (the “CHMI Record Date”) for the determination of CHMI common stockholders entitled to notice of, and to vote at, the CHMI special meeting and any adjournments or postponements thereof. Accordingly, only CHMI common stockholders at the close of business on the CHMI Record Date are entitled to notice of, and to vote at, the CHMI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CHMI Board has unanimously: (a) determined that the Merger Agreement and the transactions contemplated thereby, including the Mergers, are advisable, fair to and in the best interests of CHMI and CHMI’s stockholders; (b) adopted the Merger Agreement and approved the transactions contemplated thereby, including the Mergers; (c) directed that the Merger Agreement and the Company Merger be submitted for consideration by the holders of CHMI Common Stock at the CHMI special meeting; and (d) resolved to recommend that the holders of CHMI Common Stock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common stockholders vote “FOR” the CHMI Merger Proposal, “FOR” the CHMI Compensation Proposal and “FOR”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issued and outstanding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Common Stock entitled to vote at the CHMI special meeting. </w:t>
      </w:r>
      <w:r>
        <w:rPr>
          <w:rFonts w:ascii="Times New Roman;serif" w:hAnsi="Times New Roman;serif"/>
          <w:b/>
          <w:color w:val="000000"/>
          <w:sz w:val="20"/>
        </w:rPr>
        <w:t>MITT and CHMI cannot complete the Mergers unless CHMI common stockholders approve the CHMI Merger Proposal.</w:t>
      </w:r>
    </w:p>
    <w:p>
      <w:pPr>
        <w:pStyle w:val="TextBody"/>
        <w:bidi w:val="0"/>
        <w:spacing w:lineRule="auto" w:line="288" w:before="0" w:after="180"/>
        <w:ind w:left="0" w:right="0" w:firstLine="720"/>
        <w:jc w:val="both"/>
        <w:rPr/>
      </w:pPr>
      <w:r>
        <w:rPr>
          <w:rFonts w:ascii="Times New Roman;serif" w:hAnsi="Times New Roman;serif"/>
          <w:b/>
          <w:color w:val="000000"/>
          <w:sz w:val="20"/>
        </w:rPr>
        <w:t>Your vote is very important, regardless of the number of shares of CHMI Common Stock that you own. Whether or not you plan to attend the CHMI special meeting virtually, you are urged to authorize a proxy to vote your shares of CHMI Common Stock as promptly as possible by (i) calling the telephone number specified on your proxy card, (ii) accessing the website specified on your proxy card or (iii) marking, signing, dating and promptly returning your proxy card in the postage-paid envelope provided, so that your shares of CHMI Common Stock may be represented and voted at the CHMI special meeting. If you hold your shares of CHMI Common Stock in “street name” (</w:t>
      </w:r>
      <w:r>
        <w:rPr>
          <w:rFonts w:ascii="Times New Roman;serif" w:hAnsi="Times New Roman;serif"/>
          <w:b/>
          <w:i/>
          <w:color w:val="000000"/>
          <w:sz w:val="20"/>
        </w:rPr>
        <w:t>i.e.</w:t>
      </w:r>
      <w:r>
        <w:rPr>
          <w:rFonts w:ascii="Times New Roman;serif" w:hAnsi="Times New Roman;serif"/>
          <w:b/>
          <w:color w:val="000000"/>
          <w:sz w:val="20"/>
        </w:rPr>
        <w:t>, you hold your shares beneficially through a broker, bank or other nominee), you should follow the voting instructions provided by your broker, bank or other nominee in order to vote by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among other things, the CHMI Merger Proposal, the CHMI Compensation Proposal and the CHMI Adjournment Proposal. We urge you to read carefully the accompanying joint proxy statement/prospectus, including all documents incorporated by reference into the accompanying joint proxy statement/prospectus, and its annexes, in their entirety. If you have any questions concerning the proposals or the joint proxy statement/prospectus, would like additional copies or need help voting your shares of CHMI Common Stock, please contact CHMI’s proxy solicitor: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Georgeson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CHMI stockholders on or about October 9,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Susan Healey</w:t>
      </w:r>
    </w:p>
    <w:p>
      <w:pPr>
        <w:pStyle w:val="TextBody"/>
        <w:bidi w:val="0"/>
        <w:spacing w:lineRule="auto" w:line="288" w:before="0" w:after="180"/>
        <w:jc w:val="left"/>
        <w:rPr/>
      </w:pPr>
      <w:r>
        <w:rPr>
          <w:rFonts w:ascii="Times New Roman;serif" w:hAnsi="Times New Roman;serif"/>
          <w:b w:val="false"/>
          <w:color w:val="000000"/>
          <w:sz w:val="20"/>
        </w:rPr>
        <w:t>Susan Healey,</w:t>
        <w:br/>
      </w:r>
      <w:r>
        <w:rPr>
          <w:rFonts w:ascii="Times New Roman;serif" w:hAnsi="Times New Roman;serif"/>
          <w:b w:val="false"/>
          <w:i/>
          <w:color w:val="000000"/>
          <w:sz w:val="20"/>
        </w:rPr>
        <w:t>General Counsel and Secretary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Tinton Falls, New Jersey</w:t>
        <w:br/>
        <w:t>October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(i) important business and financial information about MITT from other documents that MITT has filed with the SEC and that are not included in or delivered with this joint proxy statement/prospectus and (ii) important business and financial information about CHMI from other documents that CHMI has filed with the SEC and that are not included in or delivered with this joint proxy statement/prospectus. For a listing of the documents incorporated by reference in this joint proxy statement/prospectus and additional information on how you can obtain copies of these documents free of charge from MITT or CHMI, as applicable, please see the section entitled “Where You Can Find More Information and Incorporation by Reference” beginning on page 215 of this joint proxy statement/prospectus. This information is also available for you to review free of charge through the SEC’s website at www.sec.gov.</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You may request copies of this joint proxy statement/prospectus, and any of the documents incorporated by reference in this joint proxy statement/prospectus or other information concerning MITT or CHMI, without charge, upon written or oral request to the applicable company’s executive offices. The respective addresses and telephone numbers of such executive offices are listed below. </w:t>
      </w:r>
    </w:p>
    <w:tbl>
      <w:tblPr>
        <w:tblW w:w="6996" w:type="dxa"/>
        <w:jc w:val="left"/>
        <w:tblInd w:w="0" w:type="dxa"/>
        <w:tblLayout w:type="fixed"/>
        <w:tblCellMar>
          <w:top w:w="28" w:type="dxa"/>
          <w:left w:w="28" w:type="dxa"/>
          <w:bottom w:w="28" w:type="dxa"/>
          <w:right w:w="28" w:type="dxa"/>
        </w:tblCellMar>
      </w:tblPr>
      <w:tblGrid>
        <w:gridCol w:w="577"/>
        <w:gridCol w:w="505"/>
        <w:gridCol w:w="505"/>
        <w:gridCol w:w="505"/>
        <w:gridCol w:w="505"/>
        <w:gridCol w:w="519"/>
        <w:gridCol w:w="411"/>
        <w:gridCol w:w="411"/>
        <w:gridCol w:w="411"/>
        <w:gridCol w:w="411"/>
        <w:gridCol w:w="411"/>
        <w:gridCol w:w="411"/>
        <w:gridCol w:w="411"/>
        <w:gridCol w:w="411"/>
        <w:gridCol w:w="592"/>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MITT:</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CHMI:</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Cherry Hill Mortgage Investment Corporation</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245 Park Avenue, 26th Floor</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Route 66, Suite 310</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New York 10167</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Tinton Falls, New Jersey 07753</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 692-2000</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 870-7005</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mittir@tpg.com</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InvestorRelations@CHMIreit.com</w:t>
            </w:r>
          </w:p>
        </w:tc>
      </w:tr>
    </w:tbl>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may also consult the websites of MITT or CHMI for more information concerning the Mergers described in this joint proxy statement/prospectus. The website of MITT is www.mitt.tpg.com and the website of CHMI is www.chmireit.com. Information included on these websites is not incorporated by reference into this joint proxy statement/prospectus. The references to these websites are intended to be inactive textual references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would like to request any documents, please do so by November 24, 2026 (which is five business days before the date of the MITT special meeting and CHMI special meeting, as applicable), in order to receive them before the MITT special meeting and the CHMI special meeting. </w:t>
      </w:r>
    </w:p>
    <w:p>
      <w:pPr>
        <w:pStyle w:val="TextBody"/>
        <w:bidi w:val="0"/>
        <w:spacing w:lineRule="auto" w:line="288" w:before="0" w:after="180"/>
        <w:ind w:left="0" w:right="0" w:firstLine="720"/>
        <w:jc w:val="both"/>
        <w:rPr/>
      </w:pPr>
      <w:r>
        <w:rPr>
          <w:rFonts w:ascii="Times New Roman;serif" w:hAnsi="Times New Roman;serif"/>
          <w:b/>
          <w:color w:val="000000"/>
          <w:sz w:val="20"/>
        </w:rPr>
        <w:t>In addition, if you have questions about the Mergers or the accompanying joint proxy statement/prospectus, if you would like additional copies of the joint proxy statement/prospectus or need to obtain proxy cards or other information related to the proxy solicitation, please contact:</w:t>
      </w:r>
      <w:r>
        <w:rPr>
          <w:color w:val="000000"/>
        </w:rPr>
        <w:t> </w:t>
      </w:r>
    </w:p>
    <w:tbl>
      <w:tblPr>
        <w:tblW w:w="5699" w:type="dxa"/>
        <w:jc w:val="left"/>
        <w:tblInd w:w="0" w:type="dxa"/>
        <w:tblLayout w:type="fixed"/>
        <w:tblCellMar>
          <w:top w:w="28" w:type="dxa"/>
          <w:left w:w="28" w:type="dxa"/>
          <w:bottom w:w="28" w:type="dxa"/>
          <w:right w:w="28" w:type="dxa"/>
        </w:tblCellMar>
      </w:tblPr>
      <w:tblGrid>
        <w:gridCol w:w="999"/>
        <w:gridCol w:w="879"/>
        <w:gridCol w:w="882"/>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CHMI stockholder:</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more detailed description of the documents incorporated by reference in this joint proxy statement/prospectus and how you may obtain them, see the section entitled “Where You Can Find More Information and Incorporation by Reference” beginning on page 215 of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ABOUT THIS DOCUMENT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which forms part of a registration statement on Form S-4 (Registration Statement No. 333-298954) filed by MITT with the SEC, constitutes a prospectus of MITT for purposes of the Securities Act of 1933, as amended, which we refer to as the “Securities Act,” with respect to the shares of MITT Common Stock, the shares of MITT Series D Preferred Stock and the shares of MITT Series E Preferred Stock issuable pursuant to the Merger Agreement. This joint proxy statement/prospectus also constitutes a proxy statement for each of MITT and CHMI for purposes of the Securities Exchange Act of 1934, as amended, which we refer to as the “Exchange Act.” In addition, it constitutes a notice of special meeting with respect to the MITT special meeting and a notice of special meeting with respect to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one has been authorized to provide you with information that is different from that contained in, or incorporated by reference into, this joint proxy statement/prospectus. This joint proxy statement/prospectus is dated October 8, 2026, and you should not assume that the information contained in, or incorporated by reference into, this joint proxy statement/prospectus is accurate as of any date other than that date (or, in the case of documents incorporated by reference, their respective dates). Neither the mailing of this joint proxy statement/prospectus to MITT stockholders or CHMI stockholders nor the issuance of MITT Common Stock, MITT Series D Preferred Stock or MITT Series E Preferred Stock pursuant to the Merger Agreement will create any implication to the contrary.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Information contained in or incorporated by reference into this joint proxy statement/prospectus regarding MITT has been provided by MITT. Information contained in or incorporated by reference into this joint proxy statement/prospectus regarding CHMI has been provided by CHMI. MITT and CHMI have both contributed to the information relating to the Mergers and the other transactions contemplated by the Merger Agreement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Page</w:t>
      </w:r>
    </w:p>
    <w:tbl>
      <w:tblPr>
        <w:tblW w:w="7860" w:type="dxa"/>
        <w:jc w:val="left"/>
        <w:tblInd w:w="0" w:type="dxa"/>
        <w:tblLayout w:type="fixed"/>
        <w:tblCellMar>
          <w:top w:w="28" w:type="dxa"/>
          <w:left w:w="28" w:type="dxa"/>
          <w:bottom w:w="28" w:type="dxa"/>
          <w:right w:w="28" w:type="dxa"/>
        </w:tblCellMar>
      </w:tblPr>
      <w:tblGrid>
        <w:gridCol w:w="2677"/>
        <w:gridCol w:w="2356"/>
        <w:gridCol w:w="2361"/>
        <w:gridCol w:w="136"/>
        <w:gridCol w:w="136"/>
        <w:gridCol w:w="194"/>
      </w:tblGrid>
      <w:tr>
        <w:trPr/>
        <w:tc>
          <w:tcPr>
            <w:tcW w:w="267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0359061b9f4ff7b7192cdda28d4d3c">
              <w:r>
                <w:rPr>
                  <w:rStyle w:val="InternetLink"/>
                  <w:rFonts w:ascii="Times New Roman;serif" w:hAnsi="Times New Roman;serif"/>
                  <w:b w:val="false"/>
                  <w:strike w:val="false"/>
                  <w:dstrike w:val="false"/>
                  <w:color w:val="000000"/>
                  <w:sz w:val="20"/>
                  <w:u w:val="none"/>
                  <w:effect w:val="none"/>
                </w:rPr>
                <w:t>FREQUENTLY USED TERMS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0359061b9f4ff7b7192cdda28d4d3c">
              <w:r>
                <w:rPr>
                  <w:rStyle w:val="InternetLink"/>
                  <w:rFonts w:ascii="Times New Roman;serif" w:hAnsi="Times New Roman;serif"/>
                  <w:b w:val="false"/>
                  <w:strike w:val="false"/>
                  <w:dstrike w:val="false"/>
                  <w:color w:val="000000"/>
                  <w:sz w:val="20"/>
                  <w:u w:val="none"/>
                  <w:effect w:val="none"/>
                </w:rPr>
                <w:t>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04eaea65874221983247c5ade42566">
              <w:r>
                <w:rPr>
                  <w:rStyle w:val="InternetLink"/>
                  <w:rFonts w:ascii="Times New Roman;serif" w:hAnsi="Times New Roman;serif"/>
                  <w:b w:val="false"/>
                  <w:strike w:val="false"/>
                  <w:dstrike w:val="false"/>
                  <w:color w:val="000000"/>
                  <w:sz w:val="20"/>
                  <w:u w:val="none"/>
                  <w:effect w:val="none"/>
                </w:rPr>
                <w:t>QUESTIONS AND ANSWERS ABOUT THE SPECIAL MEETINGS AND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04eaea65874221983247c5ade42566">
              <w:r>
                <w:rPr>
                  <w:rStyle w:val="InternetLink"/>
                  <w:rFonts w:ascii="Times New Roman;serif" w:hAnsi="Times New Roman;serif"/>
                  <w:b w:val="false"/>
                  <w:strike w:val="false"/>
                  <w:dstrike w:val="false"/>
                  <w:color w:val="000000"/>
                  <w:sz w:val="20"/>
                  <w:u w:val="none"/>
                  <w:effect w:val="none"/>
                </w:rPr>
                <w:t>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e88652d8d34086bc96e7223089e32a">
              <w:r>
                <w:rPr>
                  <w:rStyle w:val="InternetLink"/>
                  <w:rFonts w:ascii="Times New Roman;serif" w:hAnsi="Times New Roman;serif"/>
                  <w:b w:val="false"/>
                  <w:strike w:val="false"/>
                  <w:dstrike w:val="false"/>
                  <w:color w:val="000000"/>
                  <w:sz w:val="20"/>
                  <w:u w:val="none"/>
                  <w:effect w:val="none"/>
                </w:rPr>
                <w:t>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e88652d8d34086bc96e7223089e32a">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0b892a86b24d78980c113c4ce98e19">
              <w:r>
                <w:rPr>
                  <w:rStyle w:val="InternetLink"/>
                  <w:rFonts w:ascii="Times New Roman;serif" w:hAnsi="Times New Roman;serif"/>
                  <w:b w:val="false"/>
                  <w:strike w:val="false"/>
                  <w:dstrike w:val="false"/>
                  <w:color w:val="000000"/>
                  <w:sz w:val="20"/>
                  <w:u w:val="none"/>
                  <w:effect w:val="none"/>
                </w:rPr>
                <w:t>The Companies (page 56)</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0b892a86b24d78980c113c4ce98e19">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f77369b9554abc9f6619c568426069">
              <w:r>
                <w:rPr>
                  <w:rStyle w:val="InternetLink"/>
                  <w:rFonts w:ascii="Times New Roman;serif" w:hAnsi="Times New Roman;serif"/>
                  <w:b w:val="false"/>
                  <w:strike w:val="false"/>
                  <w:dstrike w:val="false"/>
                  <w:color w:val="000000"/>
                  <w:sz w:val="20"/>
                  <w:u w:val="none"/>
                  <w:effect w:val="none"/>
                </w:rPr>
                <w:t>The Mergers (page 74)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f77369b9554abc9f6619c568426069">
              <w:r>
                <w:rPr>
                  <w:rStyle w:val="InternetLink"/>
                  <w:rFonts w:ascii="Times New Roman;serif" w:hAnsi="Times New Roman;serif"/>
                  <w:b w:val="false"/>
                  <w:strike w:val="false"/>
                  <w:dstrike w:val="false"/>
                  <w:color w:val="000000"/>
                  <w:sz w:val="20"/>
                  <w:u w:val="none"/>
                  <w:effect w:val="none"/>
                </w:rPr>
                <w:t>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80152c9f694f42bc04a4ede2603029">
              <w:r>
                <w:rPr>
                  <w:rStyle w:val="InternetLink"/>
                  <w:rFonts w:ascii="Times New Roman;serif" w:hAnsi="Times New Roman;serif"/>
                  <w:b w:val="false"/>
                  <w:strike w:val="false"/>
                  <w:dstrike w:val="false"/>
                  <w:color w:val="000000"/>
                  <w:sz w:val="20"/>
                  <w:u w:val="none"/>
                  <w:effect w:val="none"/>
                </w:rPr>
                <w:t>U.S. Federal Income Tax Considerations (page 154)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80152c9f694f42bc04a4ede2603029">
              <w:r>
                <w:rPr>
                  <w:rStyle w:val="InternetLink"/>
                  <w:rFonts w:ascii="Times New Roman;serif" w:hAnsi="Times New Roman;serif"/>
                  <w:b w:val="false"/>
                  <w:strike w:val="false"/>
                  <w:dstrike w:val="false"/>
                  <w:color w:val="000000"/>
                  <w:sz w:val="20"/>
                  <w:u w:val="none"/>
                  <w:effect w:val="none"/>
                </w:rPr>
                <w:t>37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f53fcdb4984f148ee60bc1495b2bba">
              <w:r>
                <w:rPr>
                  <w:rStyle w:val="InternetLink"/>
                  <w:rFonts w:ascii="Times New Roman;serif" w:hAnsi="Times New Roman;serif"/>
                  <w:b w:val="false"/>
                  <w:strike w:val="false"/>
                  <w:dstrike w:val="false"/>
                  <w:color w:val="000000"/>
                  <w:sz w:val="20"/>
                  <w:u w:val="none"/>
                  <w:effect w:val="none"/>
                </w:rPr>
                <w:t>Description of MITT Capital Stock (page 190)</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53fcdb4984f148ee60bc1495b2bba">
              <w:r>
                <w:rPr>
                  <w:rStyle w:val="InternetLink"/>
                  <w:rFonts w:ascii="Times New Roman;serif" w:hAnsi="Times New Roman;serif"/>
                  <w:b w:val="false"/>
                  <w:strike w:val="false"/>
                  <w:dstrike w:val="false"/>
                  <w:color w:val="000000"/>
                  <w:sz w:val="20"/>
                  <w:u w:val="none"/>
                  <w:effect w:val="none"/>
                </w:rPr>
                <w:t>38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3624ee615d46838b57ebae163362e6">
              <w:r>
                <w:rPr>
                  <w:rStyle w:val="InternetLink"/>
                  <w:rFonts w:ascii="Times New Roman;serif" w:hAnsi="Times New Roman;serif"/>
                  <w:b w:val="false"/>
                  <w:strike w:val="false"/>
                  <w:dstrike w:val="false"/>
                  <w:color w:val="000000"/>
                  <w:sz w:val="20"/>
                  <w:u w:val="none"/>
                  <w:effect w:val="none"/>
                </w:rPr>
                <w:t>Comparative Share Prices and Dividend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3624ee615d46838b57ebae163362e6">
              <w:r>
                <w:rPr>
                  <w:rStyle w:val="InternetLink"/>
                  <w:rFonts w:ascii="Times New Roman;serif" w:hAnsi="Times New Roman;serif"/>
                  <w:b w:val="false"/>
                  <w:strike w:val="false"/>
                  <w:dstrike w:val="false"/>
                  <w:color w:val="000000"/>
                  <w:sz w:val="20"/>
                  <w:u w:val="none"/>
                  <w:effect w:val="none"/>
                </w:rPr>
                <w:t>39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c14105394d5dbf7784c54d20424c">
              <w:r>
                <w:rPr>
                  <w:rStyle w:val="InternetLink"/>
                  <w:rFonts w:ascii="Times New Roman;serif" w:hAnsi="Times New Roman;serif"/>
                  <w:b w:val="false"/>
                  <w:strike w:val="false"/>
                  <w:dstrike w:val="false"/>
                  <w:color w:val="000000"/>
                  <w:sz w:val="20"/>
                  <w:u w:val="none"/>
                  <w:effect w:val="none"/>
                </w:rPr>
                <w:t>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c14105394d5dbf7784c54d20424c">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7632bd356046c1952aa9f67cca5b1c">
              <w:r>
                <w:rPr>
                  <w:rStyle w:val="InternetLink"/>
                  <w:rFonts w:ascii="Times New Roman;serif" w:hAnsi="Times New Roman;serif"/>
                  <w:b w:val="false"/>
                  <w:strike w:val="false"/>
                  <w:dstrike w:val="false"/>
                  <w:color w:val="000000"/>
                  <w:sz w:val="20"/>
                  <w:u w:val="none"/>
                  <w:effect w:val="none"/>
                </w:rPr>
                <w:t>Risks Related to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7632bd356046c1952aa9f67cca5b1c">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d2928b68c2444c9fec4ca3d34286fe">
              <w:r>
                <w:rPr>
                  <w:rStyle w:val="InternetLink"/>
                  <w:rFonts w:ascii="Times New Roman;serif" w:hAnsi="Times New Roman;serif"/>
                  <w:b w:val="false"/>
                  <w:strike w:val="false"/>
                  <w:dstrike w:val="false"/>
                  <w:color w:val="000000"/>
                  <w:sz w:val="20"/>
                  <w:u w:val="none"/>
                  <w:effect w:val="none"/>
                </w:rPr>
                <w:t>Risks Related to the Combined Company Following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d2928b68c2444c9fec4ca3d34286fe">
              <w:r>
                <w:rPr>
                  <w:rStyle w:val="InternetLink"/>
                  <w:rFonts w:ascii="Times New Roman;serif" w:hAnsi="Times New Roman;serif"/>
                  <w:b w:val="false"/>
                  <w:strike w:val="false"/>
                  <w:dstrike w:val="false"/>
                  <w:color w:val="000000"/>
                  <w:sz w:val="20"/>
                  <w:u w:val="none"/>
                  <w:effect w:val="none"/>
                </w:rPr>
                <w:t>46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89400549b40e4a46c86fb658ed4d9">
              <w:r>
                <w:rPr>
                  <w:rStyle w:val="InternetLink"/>
                  <w:rFonts w:ascii="Times New Roman;serif" w:hAnsi="Times New Roman;serif"/>
                  <w:b w:val="false"/>
                  <w:strike w:val="false"/>
                  <w:dstrike w:val="false"/>
                  <w:color w:val="000000"/>
                  <w:sz w:val="20"/>
                  <w:u w:val="none"/>
                  <w:effect w:val="none"/>
                </w:rPr>
                <w:t>Risks Related to MITT’s REIT Status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89400549b40e4a46c86fb658ed4d9">
              <w:r>
                <w:rPr>
                  <w:rStyle w:val="InternetLink"/>
                  <w:rFonts w:ascii="Times New Roman;serif" w:hAnsi="Times New Roman;serif"/>
                  <w:b w:val="false"/>
                  <w:strike w:val="false"/>
                  <w:dstrike w:val="false"/>
                  <w:color w:val="000000"/>
                  <w:sz w:val="20"/>
                  <w:u w:val="none"/>
                  <w:effect w:val="none"/>
                </w:rPr>
                <w:t>48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32110d4aa0464796ca24ec67cedba1">
              <w:r>
                <w:rPr>
                  <w:rStyle w:val="InternetLink"/>
                  <w:rFonts w:ascii="Times New Roman;serif" w:hAnsi="Times New Roman;serif"/>
                  <w:b w:val="false"/>
                  <w:strike w:val="false"/>
                  <w:dstrike w:val="false"/>
                  <w:color w:val="000000"/>
                  <w:sz w:val="20"/>
                  <w:u w:val="none"/>
                  <w:effect w:val="none"/>
                </w:rPr>
                <w:t>CAUTIONARY STATEMENT REGARDING FORWARD-LOOKING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32110d4aa0464796ca24ec67cedba1">
              <w:r>
                <w:rPr>
                  <w:rStyle w:val="InternetLink"/>
                  <w:rFonts w:ascii="Times New Roman;serif" w:hAnsi="Times New Roman;serif"/>
                  <w:b w:val="false"/>
                  <w:strike w:val="false"/>
                  <w:dstrike w:val="false"/>
                  <w:color w:val="000000"/>
                  <w:sz w:val="20"/>
                  <w:u w:val="none"/>
                  <w:effect w:val="none"/>
                </w:rPr>
                <w:t>54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b0fbfa6b5c42cc8f402a6100be93d7">
              <w:r>
                <w:rPr>
                  <w:rStyle w:val="InternetLink"/>
                  <w:rFonts w:ascii="Times New Roman;serif" w:hAnsi="Times New Roman;serif"/>
                  <w:b w:val="false"/>
                  <w:strike w:val="false"/>
                  <w:dstrike w:val="false"/>
                  <w:color w:val="000000"/>
                  <w:sz w:val="20"/>
                  <w:u w:val="none"/>
                  <w:effect w:val="none"/>
                </w:rPr>
                <w:t>THE COMPANIES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b0fbfa6b5c42cc8f402a6100be93d7">
              <w:r>
                <w:rPr>
                  <w:rStyle w:val="InternetLink"/>
                  <w:rFonts w:ascii="Times New Roman;serif" w:hAnsi="Times New Roman;serif"/>
                  <w:b w:val="false"/>
                  <w:strike w:val="false"/>
                  <w:dstrike w:val="false"/>
                  <w:color w:val="000000"/>
                  <w:sz w:val="20"/>
                  <w:u w:val="none"/>
                  <w:effect w:val="none"/>
                </w:rPr>
                <w:t>56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4e0cd91f3445beb8e9c2052cbde379">
              <w:r>
                <w:rPr>
                  <w:rStyle w:val="InternetLink"/>
                  <w:rFonts w:ascii="Times New Roman;serif" w:hAnsi="Times New Roman;serif"/>
                  <w:b w:val="false"/>
                  <w:strike w:val="false"/>
                  <w:dstrike w:val="false"/>
                  <w:color w:val="000000"/>
                  <w:sz w:val="20"/>
                  <w:u w:val="none"/>
                  <w:effect w:val="none"/>
                </w:rPr>
                <w:t>THE MITT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4e0cd91f3445beb8e9c2052cbde379">
              <w:r>
                <w:rPr>
                  <w:rStyle w:val="InternetLink"/>
                  <w:rFonts w:ascii="Times New Roman;serif" w:hAnsi="Times New Roman;serif"/>
                  <w:b w:val="false"/>
                  <w:strike w:val="false"/>
                  <w:dstrike w:val="false"/>
                  <w:color w:val="000000"/>
                  <w:sz w:val="20"/>
                  <w:u w:val="none"/>
                  <w:effect w:val="none"/>
                </w:rPr>
                <w:t>61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fa352d46734275b61d24e814c76085">
              <w:r>
                <w:rPr>
                  <w:rStyle w:val="InternetLink"/>
                  <w:rFonts w:ascii="Times New Roman;serif" w:hAnsi="Times New Roman;serif"/>
                  <w:b w:val="false"/>
                  <w:strike w:val="false"/>
                  <w:dstrike w:val="false"/>
                  <w:color w:val="000000"/>
                  <w:sz w:val="20"/>
                  <w:u w:val="none"/>
                  <w:effect w:val="none"/>
                </w:rPr>
                <w:t>PROPOSALS SUBMITTED TO THE MITT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fa352d46734275b61d24e814c76085">
              <w:r>
                <w:rPr>
                  <w:rStyle w:val="InternetLink"/>
                  <w:rFonts w:ascii="Times New Roman;serif" w:hAnsi="Times New Roman;serif"/>
                  <w:b w:val="false"/>
                  <w:strike w:val="false"/>
                  <w:dstrike w:val="false"/>
                  <w:color w:val="000000"/>
                  <w:sz w:val="20"/>
                  <w:u w:val="none"/>
                  <w:effect w:val="none"/>
                </w:rPr>
                <w:t>65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8121d1db3948918dd16cebaf36198f">
              <w:r>
                <w:rPr>
                  <w:rStyle w:val="InternetLink"/>
                  <w:rFonts w:ascii="Times New Roman;serif" w:hAnsi="Times New Roman;serif"/>
                  <w:b w:val="false"/>
                  <w:strike w:val="false"/>
                  <w:dstrike w:val="false"/>
                  <w:color w:val="000000"/>
                  <w:sz w:val="20"/>
                  <w:u w:val="none"/>
                  <w:effect w:val="none"/>
                </w:rPr>
                <w:t>THE CHMI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8121d1db3948918dd16cebaf36198f">
              <w:r>
                <w:rPr>
                  <w:rStyle w:val="InternetLink"/>
                  <w:rFonts w:ascii="Times New Roman;serif" w:hAnsi="Times New Roman;serif"/>
                  <w:b w:val="false"/>
                  <w:strike w:val="false"/>
                  <w:dstrike w:val="false"/>
                  <w:color w:val="000000"/>
                  <w:sz w:val="20"/>
                  <w:u w:val="none"/>
                  <w:effect w:val="none"/>
                </w:rPr>
                <w:t>66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b70363276c44fab188f9806ab8e15d">
              <w:r>
                <w:rPr>
                  <w:rStyle w:val="InternetLink"/>
                  <w:rFonts w:ascii="Times New Roman;serif" w:hAnsi="Times New Roman;serif"/>
                  <w:b w:val="false"/>
                  <w:strike w:val="false"/>
                  <w:dstrike w:val="false"/>
                  <w:color w:val="000000"/>
                  <w:sz w:val="20"/>
                  <w:u w:val="none"/>
                  <w:effect w:val="none"/>
                </w:rPr>
                <w:t>PROPOSALS SUBMITTED TO THE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b70363276c44fab188f9806ab8e15d">
              <w:r>
                <w:rPr>
                  <w:rStyle w:val="InternetLink"/>
                  <w:rFonts w:ascii="Times New Roman;serif" w:hAnsi="Times New Roman;serif"/>
                  <w:b w:val="false"/>
                  <w:strike w:val="false"/>
                  <w:dstrike w:val="false"/>
                  <w:color w:val="000000"/>
                  <w:sz w:val="20"/>
                  <w:u w:val="none"/>
                  <w:effect w:val="none"/>
                </w:rPr>
                <w:t>71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815705fd046d4b16585dbd174603e">
              <w:r>
                <w:rPr>
                  <w:rStyle w:val="InternetLink"/>
                  <w:rFonts w:ascii="Times New Roman;serif" w:hAnsi="Times New Roman;serif"/>
                  <w:b w:val="false"/>
                  <w:strike w:val="false"/>
                  <w:dstrike w:val="false"/>
                  <w:color w:val="000000"/>
                  <w:sz w:val="20"/>
                  <w:u w:val="none"/>
                  <w:effect w:val="none"/>
                </w:rPr>
                <w:t>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815705fd046d4b16585dbd174603e">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6677c350c24187831fbd7883ead394">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6677c350c24187831fbd7883ead394">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acf12d01464c0e820cd3c3ee376ba4">
              <w:r>
                <w:rPr>
                  <w:rStyle w:val="InternetLink"/>
                  <w:rFonts w:ascii="Times New Roman;serif" w:hAnsi="Times New Roman;serif"/>
                  <w:b w:val="false"/>
                  <w:strike w:val="false"/>
                  <w:dstrike w:val="false"/>
                  <w:color w:val="000000"/>
                  <w:sz w:val="20"/>
                  <w:u w:val="none"/>
                  <w:effect w:val="none"/>
                </w:rPr>
                <w:t xml:space="preserve">Background of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acf12d01464c0e820cd3c3ee376ba4">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0598c47cef4e6e969192e4d878849d">
              <w:r>
                <w:rPr>
                  <w:rStyle w:val="InternetLink"/>
                  <w:rFonts w:ascii="Times New Roman;serif" w:hAnsi="Times New Roman;serif"/>
                  <w:b w:val="false"/>
                  <w:strike w:val="false"/>
                  <w:dstrike w:val="false"/>
                  <w:color w:val="000000"/>
                  <w:sz w:val="20"/>
                  <w:u w:val="none"/>
                  <w:effect w:val="none"/>
                </w:rPr>
                <w:t>Recommendation of the MITT Board and Its Reasons for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0598c47cef4e6e969192e4d878849d">
              <w:r>
                <w:rPr>
                  <w:rStyle w:val="InternetLink"/>
                  <w:rFonts w:ascii="Times New Roman;serif" w:hAnsi="Times New Roman;serif"/>
                  <w:b w:val="false"/>
                  <w:strike w:val="false"/>
                  <w:dstrike w:val="false"/>
                  <w:color w:val="000000"/>
                  <w:sz w:val="20"/>
                  <w:u w:val="none"/>
                  <w:effect w:val="none"/>
                </w:rPr>
                <w:t>85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c949f31d6d47bea1ea3ed9eea6a40a">
              <w:r>
                <w:rPr>
                  <w:rStyle w:val="InternetLink"/>
                  <w:rFonts w:ascii="Times New Roman;serif" w:hAnsi="Times New Roman;serif"/>
                  <w:b w:val="false"/>
                  <w:strike w:val="false"/>
                  <w:dstrike w:val="false"/>
                  <w:color w:val="000000"/>
                  <w:sz w:val="20"/>
                  <w:u w:val="none"/>
                  <w:effect w:val="none"/>
                </w:rPr>
                <w:t>Recommendation of the CHMI Board and Its Reasons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c949f31d6d47bea1ea3ed9eea6a40a">
              <w:r>
                <w:rPr>
                  <w:rStyle w:val="InternetLink"/>
                  <w:rFonts w:ascii="Times New Roman;serif" w:hAnsi="Times New Roman;serif"/>
                  <w:b w:val="false"/>
                  <w:strike w:val="false"/>
                  <w:dstrike w:val="false"/>
                  <w:color w:val="000000"/>
                  <w:sz w:val="20"/>
                  <w:u w:val="none"/>
                  <w:effect w:val="none"/>
                </w:rPr>
                <w:t>88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b6b404f37b4219b9ccc39c5c66011b">
              <w:r>
                <w:rPr>
                  <w:rStyle w:val="InternetLink"/>
                  <w:rFonts w:ascii="Times New Roman;serif" w:hAnsi="Times New Roman;serif"/>
                  <w:b w:val="false"/>
                  <w:strike w:val="false"/>
                  <w:dstrike w:val="false"/>
                  <w:color w:val="000000"/>
                  <w:sz w:val="20"/>
                  <w:u w:val="none"/>
                  <w:effect w:val="none"/>
                </w:rPr>
                <w:t>Opinion of MITT’s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b6b404f37b4219b9ccc39c5c66011b">
              <w:r>
                <w:rPr>
                  <w:rStyle w:val="InternetLink"/>
                  <w:rFonts w:ascii="Times New Roman;serif" w:hAnsi="Times New Roman;serif"/>
                  <w:b w:val="false"/>
                  <w:strike w:val="false"/>
                  <w:dstrike w:val="false"/>
                  <w:color w:val="000000"/>
                  <w:sz w:val="20"/>
                  <w:u w:val="none"/>
                  <w:effect w:val="none"/>
                </w:rPr>
                <w:t>92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8431c5481d42acaf284fd9c837be13">
              <w:r>
                <w:rPr>
                  <w:rStyle w:val="InternetLink"/>
                  <w:rFonts w:ascii="Times New Roman;serif" w:hAnsi="Times New Roman;serif"/>
                  <w:b w:val="false"/>
                  <w:strike w:val="false"/>
                  <w:dstrike w:val="false"/>
                  <w:color w:val="000000"/>
                  <w:sz w:val="20"/>
                  <w:u w:val="none"/>
                  <w:effect w:val="none"/>
                </w:rPr>
                <w:t>Opinion of CHMI’s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8431c5481d42acaf284fd9c837be13">
              <w:r>
                <w:rPr>
                  <w:rStyle w:val="InternetLink"/>
                  <w:rFonts w:ascii="Times New Roman;serif" w:hAnsi="Times New Roman;serif"/>
                  <w:b w:val="false"/>
                  <w:strike w:val="false"/>
                  <w:dstrike w:val="false"/>
                  <w:color w:val="000000"/>
                  <w:sz w:val="20"/>
                  <w:u w:val="none"/>
                  <w:effect w:val="none"/>
                </w:rPr>
                <w:t>102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dc4b765f1844bf8a0c2a42335c4175">
              <w:r>
                <w:rPr>
                  <w:rStyle w:val="InternetLink"/>
                  <w:rFonts w:ascii="Times New Roman;serif" w:hAnsi="Times New Roman;serif"/>
                  <w:b w:val="false"/>
                  <w:strike w:val="false"/>
                  <w:dstrike w:val="false"/>
                  <w:color w:val="000000"/>
                  <w:sz w:val="20"/>
                  <w:u w:val="none"/>
                  <w:effect w:val="none"/>
                </w:rPr>
                <w:t>Certain MITT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dc4b765f1844bf8a0c2a42335c4175">
              <w:r>
                <w:rPr>
                  <w:rStyle w:val="InternetLink"/>
                  <w:rFonts w:ascii="Times New Roman;serif" w:hAnsi="Times New Roman;serif"/>
                  <w:b w:val="false"/>
                  <w:strike w:val="false"/>
                  <w:dstrike w:val="false"/>
                  <w:color w:val="000000"/>
                  <w:sz w:val="20"/>
                  <w:u w:val="none"/>
                  <w:effect w:val="none"/>
                </w:rPr>
                <w:t>108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f2fa1ca3314b98b7c3de0b7365f71e">
              <w:r>
                <w:rPr>
                  <w:rStyle w:val="InternetLink"/>
                  <w:rFonts w:ascii="Times New Roman;serif" w:hAnsi="Times New Roman;serif"/>
                  <w:b w:val="false"/>
                  <w:strike w:val="false"/>
                  <w:dstrike w:val="false"/>
                  <w:color w:val="000000"/>
                  <w:sz w:val="20"/>
                  <w:u w:val="none"/>
                  <w:effect w:val="none"/>
                </w:rPr>
                <w:t>Certain CHMI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f2fa1ca3314b98b7c3de0b7365f71e">
              <w:r>
                <w:rPr>
                  <w:rStyle w:val="InternetLink"/>
                  <w:rFonts w:ascii="Times New Roman;serif" w:hAnsi="Times New Roman;serif"/>
                  <w:b w:val="false"/>
                  <w:strike w:val="false"/>
                  <w:dstrike w:val="false"/>
                  <w:color w:val="000000"/>
                  <w:sz w:val="20"/>
                  <w:u w:val="none"/>
                  <w:effect w:val="none"/>
                </w:rPr>
                <w:t>111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65f95a9354f7b9826d38dadc05982">
              <w:r>
                <w:rPr>
                  <w:rStyle w:val="InternetLink"/>
                  <w:rFonts w:ascii="Times New Roman;serif" w:hAnsi="Times New Roman;serif"/>
                  <w:b w:val="false"/>
                  <w:strike w:val="false"/>
                  <w:dstrike w:val="false"/>
                  <w:color w:val="000000"/>
                  <w:sz w:val="20"/>
                  <w:u w:val="none"/>
                  <w:effect w:val="none"/>
                </w:rPr>
                <w:t>Interests of MITT’s Directors and Executive Officers in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865f95a9354f7b9826d38dadc05982">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d31cf02634dc9b037297a9885f3e7">
              <w:r>
                <w:rPr>
                  <w:rStyle w:val="InternetLink"/>
                  <w:rFonts w:ascii="Times New Roman;serif" w:hAnsi="Times New Roman;serif"/>
                  <w:b w:val="false"/>
                  <w:strike w:val="false"/>
                  <w:dstrike w:val="false"/>
                  <w:color w:val="000000"/>
                  <w:sz w:val="20"/>
                  <w:u w:val="none"/>
                  <w:effect w:val="none"/>
                </w:rPr>
                <w:t xml:space="preserve">Interests of CHMI’s Directors and Executive Officers in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d31cf02634dc9b037297a9885f3e7">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ea9de670b452381fac7ed6dedf302">
              <w:r>
                <w:rPr>
                  <w:rStyle w:val="InternetLink"/>
                  <w:rFonts w:ascii="Times New Roman;serif" w:hAnsi="Times New Roman;serif"/>
                  <w:b w:val="false"/>
                  <w:strike w:val="false"/>
                  <w:dstrike w:val="false"/>
                  <w:color w:val="000000"/>
                  <w:sz w:val="20"/>
                  <w:u w:val="none"/>
                  <w:effect w:val="none"/>
                </w:rPr>
                <w:t>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ea9de670b452381fac7ed6dedf302">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247b0545134f16a0cf03ea7fad8cce">
              <w:r>
                <w:rPr>
                  <w:rStyle w:val="InternetLink"/>
                  <w:rFonts w:ascii="Times New Roman;serif" w:hAnsi="Times New Roman;serif"/>
                  <w:b w:val="false"/>
                  <w:strike w:val="false"/>
                  <w:dstrike w:val="false"/>
                  <w:color w:val="000000"/>
                  <w:sz w:val="20"/>
                  <w:u w:val="none"/>
                  <w:effect w:val="none"/>
                </w:rPr>
                <w:t>MITT Management Agreement Amendment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247b0545134f16a0cf03ea7fad8cce">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47abd4b5e6476885be93a2464aadbd">
              <w:r>
                <w:rPr>
                  <w:rStyle w:val="InternetLink"/>
                  <w:rFonts w:ascii="Times New Roman;serif" w:hAnsi="Times New Roman;serif"/>
                  <w:b w:val="false"/>
                  <w:strike w:val="false"/>
                  <w:dstrike w:val="false"/>
                  <w:color w:val="000000"/>
                  <w:sz w:val="20"/>
                  <w:u w:val="none"/>
                  <w:effect w:val="none"/>
                </w:rPr>
                <w:t xml:space="preserve">Required Regulatory Approvals for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47abd4b5e6476885be93a2464aadbd">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b1ca1b1ab442df96c4c6d0d442d13c">
              <w:r>
                <w:rPr>
                  <w:rStyle w:val="InternetLink"/>
                  <w:rFonts w:ascii="Times New Roman;serif" w:hAnsi="Times New Roman;serif"/>
                  <w:b w:val="false"/>
                  <w:strike w:val="false"/>
                  <w:dstrike w:val="false"/>
                  <w:color w:val="000000"/>
                  <w:sz w:val="20"/>
                  <w:u w:val="none"/>
                  <w:effect w:val="none"/>
                </w:rPr>
                <w:t xml:space="preserve">Accounting Treatment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b1ca1b1ab442df96c4c6d0d442d13c">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201909c9ba455fb605645316b2c01c">
              <w:r>
                <w:rPr>
                  <w:rStyle w:val="InternetLink"/>
                  <w:rFonts w:ascii="Times New Roman;serif" w:hAnsi="Times New Roman;serif"/>
                  <w:b w:val="false"/>
                  <w:strike w:val="false"/>
                  <w:dstrike w:val="false"/>
                  <w:color w:val="000000"/>
                  <w:sz w:val="20"/>
                  <w:u w:val="none"/>
                  <w:effect w:val="none"/>
                </w:rPr>
                <w:t>No Appraisal Rights or Dissenters’ Rights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201909c9ba455fb605645316b2c01c">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b6f5cfd6444546b387bb9f02c243cc">
              <w:r>
                <w:rPr>
                  <w:rStyle w:val="InternetLink"/>
                  <w:rFonts w:ascii="Times New Roman;serif" w:hAnsi="Times New Roman;serif"/>
                  <w:b w:val="false"/>
                  <w:strike w:val="false"/>
                  <w:dstrike w:val="false"/>
                  <w:color w:val="000000"/>
                  <w:sz w:val="20"/>
                  <w:u w:val="none"/>
                  <w:effect w:val="none"/>
                </w:rPr>
                <w:t>Exchange of Shares of Stock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b6f5cfd6444546b387bb9f02c243cc">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0f8b69193f450ab6365a0b3caea659">
              <w:r>
                <w:rPr>
                  <w:rStyle w:val="InternetLink"/>
                  <w:rFonts w:ascii="Times New Roman;serif" w:hAnsi="Times New Roman;serif"/>
                  <w:b w:val="false"/>
                  <w:strike w:val="false"/>
                  <w:dstrike w:val="false"/>
                  <w:color w:val="000000"/>
                  <w:sz w:val="20"/>
                  <w:u w:val="none"/>
                  <w:effect w:val="none"/>
                </w:rPr>
                <w:t xml:space="preserve">Dividends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0f8b69193f450ab6365a0b3caea659">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499e283e545e5a47b68a130d6354b">
              <w:r>
                <w:rPr>
                  <w:rStyle w:val="InternetLink"/>
                  <w:rFonts w:ascii="Times New Roman;serif" w:hAnsi="Times New Roman;serif"/>
                  <w:b w:val="false"/>
                  <w:strike w:val="false"/>
                  <w:dstrike w:val="false"/>
                  <w:color w:val="000000"/>
                  <w:sz w:val="20"/>
                  <w:u w:val="none"/>
                  <w:effect w:val="none"/>
                </w:rPr>
                <w:t>Listing of Shares of Stock and Deregistration of CHMI 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b499e283e545e5a47b68a130d6354b">
              <w:r>
                <w:rPr>
                  <w:rStyle w:val="InternetLink"/>
                  <w:rFonts w:ascii="Times New Roman;serif" w:hAnsi="Times New Roman;serif"/>
                  <w:b w:val="false"/>
                  <w:strike w:val="false"/>
                  <w:dstrike w:val="false"/>
                  <w:color w:val="000000"/>
                  <w:sz w:val="20"/>
                  <w:u w:val="none"/>
                  <w:effect w:val="none"/>
                </w:rPr>
                <w:t>126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6215c399734784a922577dcdadf42b">
              <w:r>
                <w:rPr>
                  <w:rStyle w:val="InternetLink"/>
                  <w:rFonts w:ascii="Times New Roman;serif" w:hAnsi="Times New Roman;serif"/>
                  <w:b w:val="false"/>
                  <w:strike w:val="false"/>
                  <w:dstrike w:val="false"/>
                  <w:color w:val="000000"/>
                  <w:sz w:val="20"/>
                  <w:u w:val="none"/>
                  <w:effect w:val="none"/>
                </w:rPr>
                <w:t>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6215c399734784a922577dcdadf42b">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52553a9ab401da848419740b310c6">
              <w:r>
                <w:rPr>
                  <w:rStyle w:val="InternetLink"/>
                  <w:rFonts w:ascii="Times New Roman;serif" w:hAnsi="Times New Roman;serif"/>
                  <w:b w:val="false"/>
                  <w:strike w:val="false"/>
                  <w:dstrike w:val="false"/>
                  <w:color w:val="000000"/>
                  <w:sz w:val="20"/>
                  <w:u w:val="none"/>
                  <w:effect w:val="none"/>
                </w:rPr>
                <w:t xml:space="preserve">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52553a9ab401da848419740b310c6">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f342484b11456789769d8c2739c36d">
              <w:r>
                <w:rPr>
                  <w:rStyle w:val="InternetLink"/>
                  <w:rFonts w:ascii="Times New Roman;serif" w:hAnsi="Times New Roman;serif"/>
                  <w:b w:val="false"/>
                  <w:strike w:val="false"/>
                  <w:dstrike w:val="false"/>
                  <w:color w:val="000000"/>
                  <w:sz w:val="20"/>
                  <w:u w:val="none"/>
                  <w:effect w:val="none"/>
                </w:rPr>
                <w:t>Closing; Effective Time of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f342484b11456789769d8c2739c36d">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102cf452d443ae92e62c55654503ac">
              <w:r>
                <w:rPr>
                  <w:rStyle w:val="InternetLink"/>
                  <w:rFonts w:ascii="Times New Roman;serif" w:hAnsi="Times New Roman;serif"/>
                  <w:b w:val="false"/>
                  <w:strike w:val="false"/>
                  <w:dstrike w:val="false"/>
                  <w:color w:val="000000"/>
                  <w:sz w:val="20"/>
                  <w:u w:val="none"/>
                  <w:effect w:val="none"/>
                </w:rPr>
                <w:t>Organizational Documents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102cf452d443ae92e62c55654503ac">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5e43528b054d3ca8629d16adf429e5">
              <w:r>
                <w:rPr>
                  <w:rStyle w:val="InternetLink"/>
                  <w:rFonts w:ascii="Times New Roman;serif" w:hAnsi="Times New Roman;serif"/>
                  <w:b w:val="false"/>
                  <w:strike w:val="false"/>
                  <w:dstrike w:val="false"/>
                  <w:color w:val="000000"/>
                  <w:sz w:val="20"/>
                  <w:u w:val="none"/>
                  <w:effect w:val="none"/>
                </w:rPr>
                <w:t>Consideration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5e43528b054d3ca8629d16adf429e5">
              <w:r>
                <w:rPr>
                  <w:rStyle w:val="InternetLink"/>
                  <w:rFonts w:ascii="Times New Roman;serif" w:hAnsi="Times New Roman;serif"/>
                  <w:b w:val="false"/>
                  <w:strike w:val="false"/>
                  <w:dstrike w:val="false"/>
                  <w:color w:val="000000"/>
                  <w:sz w:val="20"/>
                  <w:u w:val="none"/>
                  <w:effect w:val="none"/>
                </w:rPr>
                <w:t>128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d6fb61a1884b44b704649f7ea8a119">
              <w:r>
                <w:rPr>
                  <w:rStyle w:val="InternetLink"/>
                  <w:rFonts w:ascii="Times New Roman;serif" w:hAnsi="Times New Roman;serif"/>
                  <w:b w:val="false"/>
                  <w:strike w:val="false"/>
                  <w:dstrike w:val="false"/>
                  <w:color w:val="000000"/>
                  <w:sz w:val="20"/>
                  <w:u w:val="none"/>
                  <w:effect w:val="none"/>
                </w:rPr>
                <w:t>Tax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d6fb61a1884b44b704649f7ea8a119">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5a662839144528a137223f9c528d1">
              <w:r>
                <w:rPr>
                  <w:rStyle w:val="InternetLink"/>
                  <w:rFonts w:ascii="Times New Roman;serif" w:hAnsi="Times New Roman;serif"/>
                  <w:b w:val="false"/>
                  <w:strike w:val="false"/>
                  <w:dstrike w:val="false"/>
                  <w:color w:val="000000"/>
                  <w:sz w:val="20"/>
                  <w:u w:val="none"/>
                  <w:effect w:val="none"/>
                </w:rPr>
                <w:t xml:space="preserve">Exchange Procedures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45a662839144528a137223f9c528d1">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a201e3e9b9447da939694aa5dbab144">
              <w:r>
                <w:rPr>
                  <w:rStyle w:val="InternetLink"/>
                  <w:rFonts w:ascii="Times New Roman;serif" w:hAnsi="Times New Roman;serif"/>
                  <w:b w:val="false"/>
                  <w:strike w:val="false"/>
                  <w:dstrike w:val="false"/>
                  <w:color w:val="000000"/>
                  <w:sz w:val="20"/>
                  <w:u w:val="none"/>
                  <w:effect w:val="none"/>
                </w:rPr>
                <w:t>Representations and Warranties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201e3e9b9447da939694aa5dbab144">
              <w:r>
                <w:rPr>
                  <w:rStyle w:val="InternetLink"/>
                  <w:rFonts w:ascii="Times New Roman;serif" w:hAnsi="Times New Roman;serif"/>
                  <w:b w:val="false"/>
                  <w:strike w:val="false"/>
                  <w:dstrike w:val="false"/>
                  <w:color w:val="000000"/>
                  <w:sz w:val="20"/>
                  <w:u w:val="none"/>
                  <w:effect w:val="none"/>
                </w:rPr>
                <w:t>130</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tbl>
      <w:tblPr>
        <w:tblW w:w="7800" w:type="dxa"/>
        <w:jc w:val="left"/>
        <w:tblInd w:w="0" w:type="dxa"/>
        <w:tblLayout w:type="fixed"/>
        <w:tblCellMar>
          <w:top w:w="28" w:type="dxa"/>
          <w:left w:w="28" w:type="dxa"/>
          <w:bottom w:w="28" w:type="dxa"/>
          <w:right w:w="28" w:type="dxa"/>
        </w:tblCellMar>
      </w:tblPr>
      <w:tblGrid>
        <w:gridCol w:w="2659"/>
        <w:gridCol w:w="2334"/>
        <w:gridCol w:w="2341"/>
        <w:gridCol w:w="136"/>
        <w:gridCol w:w="136"/>
        <w:gridCol w:w="194"/>
      </w:tblGrid>
      <w:tr>
        <w:trPr/>
        <w:tc>
          <w:tcPr>
            <w:tcW w:w="265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85ed9f3c0c4146bf655c8e7866ab37">
              <w:r>
                <w:rPr>
                  <w:rStyle w:val="InternetLink"/>
                  <w:rFonts w:ascii="Times New Roman;serif" w:hAnsi="Times New Roman;serif"/>
                  <w:b w:val="false"/>
                  <w:strike w:val="false"/>
                  <w:dstrike w:val="false"/>
                  <w:color w:val="000000"/>
                  <w:sz w:val="20"/>
                  <w:u w:val="none"/>
                  <w:effect w:val="none"/>
                </w:rPr>
                <w:t>Material Adverse Effect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85ed9f3c0c4146bf655c8e7866ab37">
              <w:r>
                <w:rPr>
                  <w:rStyle w:val="InternetLink"/>
                  <w:rFonts w:ascii="Times New Roman;serif" w:hAnsi="Times New Roman;serif"/>
                  <w:b w:val="false"/>
                  <w:strike w:val="false"/>
                  <w:dstrike w:val="false"/>
                  <w:color w:val="000000"/>
                  <w:sz w:val="20"/>
                  <w:u w:val="none"/>
                  <w:effect w:val="none"/>
                </w:rPr>
                <w:t>133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58b121c2da4e12ae613cec95943a2b">
              <w:r>
                <w:rPr>
                  <w:rStyle w:val="InternetLink"/>
                  <w:rFonts w:ascii="Times New Roman;serif" w:hAnsi="Times New Roman;serif"/>
                  <w:b w:val="false"/>
                  <w:strike w:val="false"/>
                  <w:dstrike w:val="false"/>
                  <w:color w:val="000000"/>
                  <w:sz w:val="20"/>
                  <w:u w:val="none"/>
                  <w:effect w:val="none"/>
                </w:rPr>
                <w:t>Conduct of Business by MITT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58b121c2da4e12ae613cec95943a2b">
              <w:r>
                <w:rPr>
                  <w:rStyle w:val="InternetLink"/>
                  <w:rFonts w:ascii="Times New Roman;serif" w:hAnsi="Times New Roman;serif"/>
                  <w:b w:val="false"/>
                  <w:strike w:val="false"/>
                  <w:dstrike w:val="false"/>
                  <w:color w:val="000000"/>
                  <w:sz w:val="20"/>
                  <w:u w:val="none"/>
                  <w:effect w:val="none"/>
                </w:rPr>
                <w:t>134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59e83cb306428b89c66f344dddad01">
              <w:r>
                <w:rPr>
                  <w:rStyle w:val="InternetLink"/>
                  <w:rFonts w:ascii="Times New Roman;serif" w:hAnsi="Times New Roman;serif"/>
                  <w:b w:val="false"/>
                  <w:strike w:val="false"/>
                  <w:dstrike w:val="false"/>
                  <w:color w:val="000000"/>
                  <w:sz w:val="20"/>
                  <w:u w:val="none"/>
                  <w:effect w:val="none"/>
                </w:rPr>
                <w:t>Conduct of Business by CHMI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59e83cb306428b89c66f344dddad01">
              <w:r>
                <w:rPr>
                  <w:rStyle w:val="InternetLink"/>
                  <w:rFonts w:ascii="Times New Roman;serif" w:hAnsi="Times New Roman;serif"/>
                  <w:b w:val="false"/>
                  <w:strike w:val="false"/>
                  <w:dstrike w:val="false"/>
                  <w:color w:val="000000"/>
                  <w:sz w:val="20"/>
                  <w:u w:val="none"/>
                  <w:effect w:val="none"/>
                </w:rPr>
                <w:t>136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3bfb9c830846319c149cbd6de2fa03">
              <w:r>
                <w:rPr>
                  <w:rStyle w:val="InternetLink"/>
                  <w:rFonts w:ascii="Times New Roman;serif" w:hAnsi="Times New Roman;serif"/>
                  <w:b w:val="false"/>
                  <w:strike w:val="false"/>
                  <w:dstrike w:val="false"/>
                  <w:color w:val="000000"/>
                  <w:sz w:val="20"/>
                  <w:u w:val="none"/>
                  <w:effect w:val="none"/>
                </w:rPr>
                <w:t>Agreement to Use Reasonable Best Efforts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3bfb9c830846319c149cbd6de2fa03">
              <w:r>
                <w:rPr>
                  <w:rStyle w:val="InternetLink"/>
                  <w:rFonts w:ascii="Times New Roman;serif" w:hAnsi="Times New Roman;serif"/>
                  <w:b w:val="false"/>
                  <w:strike w:val="false"/>
                  <w:dstrike w:val="false"/>
                  <w:color w:val="000000"/>
                  <w:sz w:val="20"/>
                  <w:u w:val="none"/>
                  <w:effect w:val="none"/>
                </w:rPr>
                <w:t>139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d6a77400b414d96465f6fddf68960">
              <w:r>
                <w:rPr>
                  <w:rStyle w:val="InternetLink"/>
                  <w:rFonts w:ascii="Times New Roman;serif" w:hAnsi="Times New Roman;serif"/>
                  <w:b w:val="false"/>
                  <w:strike w:val="false"/>
                  <w:dstrike w:val="false"/>
                  <w:color w:val="000000"/>
                  <w:sz w:val="20"/>
                  <w:u w:val="none"/>
                  <w:effect w:val="none"/>
                </w:rPr>
                <w:t>No Solicitation; Change in Recommendation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d6a77400b414d96465f6fddf68960">
              <w:r>
                <w:rPr>
                  <w:rStyle w:val="InternetLink"/>
                  <w:rFonts w:ascii="Times New Roman;serif" w:hAnsi="Times New Roman;serif"/>
                  <w:b w:val="false"/>
                  <w:strike w:val="false"/>
                  <w:dstrike w:val="false"/>
                  <w:color w:val="000000"/>
                  <w:sz w:val="20"/>
                  <w:u w:val="none"/>
                  <w:effect w:val="none"/>
                </w:rPr>
                <w:t>140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02c388152845cfacb1cf4802a4d0d6">
              <w:r>
                <w:rPr>
                  <w:rStyle w:val="InternetLink"/>
                  <w:rFonts w:ascii="Times New Roman;serif" w:hAnsi="Times New Roman;serif"/>
                  <w:b w:val="false"/>
                  <w:strike w:val="false"/>
                  <w:dstrike w:val="false"/>
                  <w:color w:val="000000"/>
                  <w:sz w:val="20"/>
                  <w:u w:val="none"/>
                  <w:effect w:val="none"/>
                </w:rPr>
                <w:t>Stockholder Meetings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02c388152845cfacb1cf4802a4d0d6">
              <w:r>
                <w:rPr>
                  <w:rStyle w:val="InternetLink"/>
                  <w:rFonts w:ascii="Times New Roman;serif" w:hAnsi="Times New Roman;serif"/>
                  <w:b w:val="false"/>
                  <w:strike w:val="false"/>
                  <w:dstrike w:val="false"/>
                  <w:color w:val="000000"/>
                  <w:sz w:val="20"/>
                  <w:u w:val="none"/>
                  <w:effect w:val="none"/>
                </w:rPr>
                <w:t>145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5088e49774c8db46d58a0469a72ba">
              <w:r>
                <w:rPr>
                  <w:rStyle w:val="InternetLink"/>
                  <w:rFonts w:ascii="Times New Roman;serif" w:hAnsi="Times New Roman;serif"/>
                  <w:b w:val="false"/>
                  <w:strike w:val="false"/>
                  <w:dstrike w:val="false"/>
                  <w:color w:val="000000"/>
                  <w:sz w:val="20"/>
                  <w:u w:val="none"/>
                  <w:effect w:val="none"/>
                </w:rPr>
                <w:t>Listing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5088e49774c8db46d58a0469a72ba">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d434cfc9054aff9e81b62bbc48f3c5">
              <w:r>
                <w:rPr>
                  <w:rStyle w:val="InternetLink"/>
                  <w:rFonts w:ascii="Times New Roman;serif" w:hAnsi="Times New Roman;serif"/>
                  <w:b w:val="false"/>
                  <w:strike w:val="false"/>
                  <w:dstrike w:val="false"/>
                  <w:color w:val="000000"/>
                  <w:sz w:val="20"/>
                  <w:u w:val="none"/>
                  <w:effect w:val="none"/>
                </w:rPr>
                <w:t>Conditions to Complete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d434cfc9054aff9e81b62bbc48f3c5">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68b285fb3f411cb40c68206ece1eef">
              <w:r>
                <w:rPr>
                  <w:rStyle w:val="InternetLink"/>
                  <w:rFonts w:ascii="Times New Roman;serif" w:hAnsi="Times New Roman;serif"/>
                  <w:b w:val="false"/>
                  <w:strike w:val="false"/>
                  <w:dstrike w:val="false"/>
                  <w:color w:val="000000"/>
                  <w:sz w:val="20"/>
                  <w:u w:val="none"/>
                  <w:effect w:val="none"/>
                </w:rPr>
                <w:t>Termination of 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8b285fb3f411cb40c68206ece1eef">
              <w:r>
                <w:rPr>
                  <w:rStyle w:val="InternetLink"/>
                  <w:rFonts w:ascii="Times New Roman;serif" w:hAnsi="Times New Roman;serif"/>
                  <w:b w:val="false"/>
                  <w:strike w:val="false"/>
                  <w:dstrike w:val="false"/>
                  <w:color w:val="000000"/>
                  <w:sz w:val="20"/>
                  <w:u w:val="none"/>
                  <w:effect w:val="none"/>
                </w:rPr>
                <w:t>148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16f173c264249afacef00224755f9">
              <w:r>
                <w:rPr>
                  <w:rStyle w:val="InternetLink"/>
                  <w:rFonts w:ascii="Times New Roman;serif" w:hAnsi="Times New Roman;serif"/>
                  <w:b w:val="false"/>
                  <w:strike w:val="false"/>
                  <w:dstrike w:val="false"/>
                  <w:color w:val="000000"/>
                  <w:sz w:val="20"/>
                  <w:u w:val="none"/>
                  <w:effect w:val="none"/>
                </w:rPr>
                <w:t>Termination Fees and Expenses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16f173c264249afacef00224755f9">
              <w:r>
                <w:rPr>
                  <w:rStyle w:val="InternetLink"/>
                  <w:rFonts w:ascii="Times New Roman;serif" w:hAnsi="Times New Roman;serif"/>
                  <w:b w:val="false"/>
                  <w:strike w:val="false"/>
                  <w:dstrike w:val="false"/>
                  <w:color w:val="000000"/>
                  <w:sz w:val="20"/>
                  <w:u w:val="none"/>
                  <w:effect w:val="none"/>
                </w:rPr>
                <w:t>149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438f0cdf064635aac497b872ef09be">
              <w:r>
                <w:rPr>
                  <w:rStyle w:val="InternetLink"/>
                  <w:rFonts w:ascii="Times New Roman;serif" w:hAnsi="Times New Roman;serif"/>
                  <w:b w:val="false"/>
                  <w:strike w:val="false"/>
                  <w:dstrike w:val="false"/>
                  <w:color w:val="000000"/>
                  <w:sz w:val="20"/>
                  <w:u w:val="none"/>
                  <w:effect w:val="none"/>
                </w:rPr>
                <w:t>Directors and Management of MITT After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438f0cdf064635aac497b872ef09be">
              <w:r>
                <w:rPr>
                  <w:rStyle w:val="InternetLink"/>
                  <w:rFonts w:ascii="Times New Roman;serif" w:hAnsi="Times New Roman;serif"/>
                  <w:b w:val="false"/>
                  <w:strike w:val="false"/>
                  <w:dstrike w:val="false"/>
                  <w:color w:val="000000"/>
                  <w:sz w:val="20"/>
                  <w:u w:val="none"/>
                  <w:effect w:val="none"/>
                </w:rPr>
                <w:t>150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5b3b5b045a48f183f206e24d3e1119">
              <w:r>
                <w:rPr>
                  <w:rStyle w:val="InternetLink"/>
                  <w:rFonts w:ascii="Times New Roman;serif" w:hAnsi="Times New Roman;serif"/>
                  <w:b w:val="false"/>
                  <w:strike w:val="false"/>
                  <w:dstrike w:val="false"/>
                  <w:color w:val="000000"/>
                  <w:sz w:val="20"/>
                  <w:u w:val="none"/>
                  <w:effect w:val="none"/>
                </w:rPr>
                <w:t>Directors’ and Officers’ Indemnification and Insurance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5b3b5b045a48f183f206e24d3e1119">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41ea1fc044abdb5a4570804fe4469">
              <w:r>
                <w:rPr>
                  <w:rStyle w:val="InternetLink"/>
                  <w:rFonts w:ascii="Times New Roman;serif" w:hAnsi="Times New Roman;serif"/>
                  <w:b w:val="false"/>
                  <w:strike w:val="false"/>
                  <w:dstrike w:val="false"/>
                  <w:color w:val="000000"/>
                  <w:sz w:val="20"/>
                  <w:u w:val="none"/>
                  <w:effect w:val="none"/>
                </w:rPr>
                <w:t xml:space="preserve">Amendment and Waiver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841ea1fc044abdb5a4570804fe4469">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8f418cdab1461bad7aa08330c58a91">
              <w:r>
                <w:rPr>
                  <w:rStyle w:val="InternetLink"/>
                  <w:rFonts w:ascii="Times New Roman;serif" w:hAnsi="Times New Roman;serif"/>
                  <w:b w:val="false"/>
                  <w:strike w:val="false"/>
                  <w:dstrike w:val="false"/>
                  <w:color w:val="000000"/>
                  <w:sz w:val="20"/>
                  <w:u w:val="none"/>
                  <w:effect w:val="none"/>
                </w:rPr>
                <w:t xml:space="preserve">Specific Performance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8f418cdab1461bad7aa08330c58a91">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9c30ce243145a99652fd173a679b8d">
              <w:r>
                <w:rPr>
                  <w:rStyle w:val="InternetLink"/>
                  <w:rFonts w:ascii="Times New Roman;serif" w:hAnsi="Times New Roman;serif"/>
                  <w:b w:val="false"/>
                  <w:strike w:val="false"/>
                  <w:dstrike w:val="false"/>
                  <w:color w:val="000000"/>
                  <w:sz w:val="20"/>
                  <w:u w:val="none"/>
                  <w:effect w:val="none"/>
                </w:rPr>
                <w:t>THE 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9c30ce243145a99652fd173a679b8d">
              <w:r>
                <w:rPr>
                  <w:rStyle w:val="InternetLink"/>
                  <w:rFonts w:ascii="Times New Roman;serif" w:hAnsi="Times New Roman;serif"/>
                  <w:b w:val="false"/>
                  <w:strike w:val="false"/>
                  <w:dstrike w:val="false"/>
                  <w:color w:val="000000"/>
                  <w:sz w:val="20"/>
                  <w:u w:val="none"/>
                  <w:effect w:val="none"/>
                </w:rPr>
                <w:t>153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244a9e0b47420a9b2a5b99792058ef">
              <w:r>
                <w:rPr>
                  <w:rStyle w:val="InternetLink"/>
                  <w:rFonts w:ascii="Times New Roman;serif" w:hAnsi="Times New Roman;serif"/>
                  <w:b w:val="false"/>
                  <w:strike w:val="false"/>
                  <w:dstrike w:val="false"/>
                  <w:color w:val="000000"/>
                  <w:sz w:val="20"/>
                  <w:u w:val="none"/>
                  <w:effect w:val="none"/>
                </w:rPr>
                <w:t>U.S. FEDERAL INCOME TAX CONSIDERATIONS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244a9e0b47420a9b2a5b99792058ef">
              <w:r>
                <w:rPr>
                  <w:rStyle w:val="InternetLink"/>
                  <w:rFonts w:ascii="Times New Roman;serif" w:hAnsi="Times New Roman;serif"/>
                  <w:b w:val="false"/>
                  <w:strike w:val="false"/>
                  <w:dstrike w:val="false"/>
                  <w:color w:val="000000"/>
                  <w:sz w:val="20"/>
                  <w:u w:val="none"/>
                  <w:effect w:val="none"/>
                </w:rPr>
                <w:t>154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7499be551347e5997ca89047951b5e">
              <w:r>
                <w:rPr>
                  <w:rStyle w:val="InternetLink"/>
                  <w:rFonts w:ascii="Times New Roman;serif" w:hAnsi="Times New Roman;serif"/>
                  <w:b w:val="false"/>
                  <w:strike w:val="false"/>
                  <w:dstrike w:val="false"/>
                  <w:color w:val="000000"/>
                  <w:sz w:val="20"/>
                  <w:u w:val="none"/>
                  <w:effect w:val="none"/>
                </w:rPr>
                <w:t>U.S. Federal Income Tax Consequences of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7499be551347e5997ca89047951b5e">
              <w:r>
                <w:rPr>
                  <w:rStyle w:val="InternetLink"/>
                  <w:rFonts w:ascii="Times New Roman;serif" w:hAnsi="Times New Roman;serif"/>
                  <w:b w:val="false"/>
                  <w:strike w:val="false"/>
                  <w:dstrike w:val="false"/>
                  <w:color w:val="000000"/>
                  <w:sz w:val="20"/>
                  <w:u w:val="none"/>
                  <w:effect w:val="none"/>
                </w:rPr>
                <w:t>155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8f5771ae4d4ba9abe33d007317bd55">
              <w:r>
                <w:rPr>
                  <w:rStyle w:val="InternetLink"/>
                  <w:rFonts w:ascii="Times New Roman;serif" w:hAnsi="Times New Roman;serif"/>
                  <w:b w:val="false"/>
                  <w:strike w:val="false"/>
                  <w:dstrike w:val="false"/>
                  <w:color w:val="000000"/>
                  <w:sz w:val="20"/>
                  <w:u w:val="none"/>
                  <w:effect w:val="none"/>
                </w:rPr>
                <w:t>Taxation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8f5771ae4d4ba9abe33d007317bd55">
              <w:r>
                <w:rPr>
                  <w:rStyle w:val="InternetLink"/>
                  <w:rFonts w:ascii="Times New Roman;serif" w:hAnsi="Times New Roman;serif"/>
                  <w:b w:val="false"/>
                  <w:strike w:val="false"/>
                  <w:dstrike w:val="false"/>
                  <w:color w:val="000000"/>
                  <w:sz w:val="20"/>
                  <w:u w:val="none"/>
                  <w:effect w:val="none"/>
                </w:rPr>
                <w:t>159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93aebe196f48408c90b6557c9fec50">
              <w:r>
                <w:rPr>
                  <w:rStyle w:val="InternetLink"/>
                  <w:rFonts w:ascii="Times New Roman;serif" w:hAnsi="Times New Roman;serif"/>
                  <w:b w:val="false"/>
                  <w:strike w:val="false"/>
                  <w:dstrike w:val="false"/>
                  <w:color w:val="000000"/>
                  <w:sz w:val="20"/>
                  <w:u w:val="none"/>
                  <w:effect w:val="none"/>
                </w:rPr>
                <w:t>Requirements for Qualification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3aebe196f48408c90b6557c9fec50">
              <w:r>
                <w:rPr>
                  <w:rStyle w:val="InternetLink"/>
                  <w:rFonts w:ascii="Times New Roman;serif" w:hAnsi="Times New Roman;serif"/>
                  <w:b w:val="false"/>
                  <w:strike w:val="false"/>
                  <w:dstrike w:val="false"/>
                  <w:color w:val="000000"/>
                  <w:sz w:val="20"/>
                  <w:u w:val="none"/>
                  <w:effect w:val="none"/>
                </w:rPr>
                <w:t>161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529c59b8e8417f9bc204f187c54f72">
              <w:r>
                <w:rPr>
                  <w:rStyle w:val="InternetLink"/>
                  <w:rFonts w:ascii="Times New Roman;serif" w:hAnsi="Times New Roman;serif"/>
                  <w:b w:val="false"/>
                  <w:strike w:val="false"/>
                  <w:dstrike w:val="false"/>
                  <w:color w:val="000000"/>
                  <w:sz w:val="20"/>
                  <w:u w:val="none"/>
                  <w:effect w:val="none"/>
                </w:rPr>
                <w:t>Gross Income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529c59b8e8417f9bc204f187c54f72">
              <w:r>
                <w:rPr>
                  <w:rStyle w:val="InternetLink"/>
                  <w:rFonts w:ascii="Times New Roman;serif" w:hAnsi="Times New Roman;serif"/>
                  <w:b w:val="false"/>
                  <w:strike w:val="false"/>
                  <w:dstrike w:val="false"/>
                  <w:color w:val="000000"/>
                  <w:sz w:val="20"/>
                  <w:u w:val="none"/>
                  <w:effect w:val="none"/>
                </w:rPr>
                <w:t>165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8b42a40514cb1b08a8f4cf33e3ca8">
              <w:r>
                <w:rPr>
                  <w:rStyle w:val="InternetLink"/>
                  <w:rFonts w:ascii="Times New Roman;serif" w:hAnsi="Times New Roman;serif"/>
                  <w:b w:val="false"/>
                  <w:strike w:val="false"/>
                  <w:dstrike w:val="false"/>
                  <w:color w:val="000000"/>
                  <w:sz w:val="20"/>
                  <w:u w:val="none"/>
                  <w:effect w:val="none"/>
                </w:rPr>
                <w:t>Asset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8b42a40514cb1b08a8f4cf33e3ca8">
              <w:r>
                <w:rPr>
                  <w:rStyle w:val="InternetLink"/>
                  <w:rFonts w:ascii="Times New Roman;serif" w:hAnsi="Times New Roman;serif"/>
                  <w:b w:val="false"/>
                  <w:strike w:val="false"/>
                  <w:dstrike w:val="false"/>
                  <w:color w:val="000000"/>
                  <w:sz w:val="20"/>
                  <w:u w:val="none"/>
                  <w:effect w:val="none"/>
                </w:rPr>
                <w:t>173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26fcbf9f814a24a5ba93262ef0b91c">
              <w:r>
                <w:rPr>
                  <w:rStyle w:val="InternetLink"/>
                  <w:rFonts w:ascii="Times New Roman;serif" w:hAnsi="Times New Roman;serif"/>
                  <w:b w:val="false"/>
                  <w:strike w:val="false"/>
                  <w:dstrike w:val="false"/>
                  <w:color w:val="000000"/>
                  <w:sz w:val="20"/>
                  <w:u w:val="none"/>
                  <w:effect w:val="none"/>
                </w:rPr>
                <w:t>Distribution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26fcbf9f814a24a5ba93262ef0b91c">
              <w:r>
                <w:rPr>
                  <w:rStyle w:val="InternetLink"/>
                  <w:rFonts w:ascii="Times New Roman;serif" w:hAnsi="Times New Roman;serif"/>
                  <w:b w:val="false"/>
                  <w:strike w:val="false"/>
                  <w:dstrike w:val="false"/>
                  <w:color w:val="000000"/>
                  <w:sz w:val="20"/>
                  <w:u w:val="none"/>
                  <w:effect w:val="none"/>
                </w:rPr>
                <w:t>177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e212f4eb3142ab9b0326196dd72397">
              <w:r>
                <w:rPr>
                  <w:rStyle w:val="InternetLink"/>
                  <w:rFonts w:ascii="Times New Roman;serif" w:hAnsi="Times New Roman;serif"/>
                  <w:b w:val="false"/>
                  <w:strike w:val="false"/>
                  <w:dstrike w:val="false"/>
                  <w:color w:val="000000"/>
                  <w:sz w:val="20"/>
                  <w:u w:val="none"/>
                  <w:effect w:val="none"/>
                </w:rPr>
                <w:t>Recordkeeping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e212f4eb3142ab9b0326196dd72397">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9e3afc33b8455b9c1ac534e6c70b92">
              <w:r>
                <w:rPr>
                  <w:rStyle w:val="InternetLink"/>
                  <w:rFonts w:ascii="Times New Roman;serif" w:hAnsi="Times New Roman;serif"/>
                  <w:b w:val="false"/>
                  <w:strike w:val="false"/>
                  <w:dstrike w:val="false"/>
                  <w:color w:val="000000"/>
                  <w:sz w:val="20"/>
                  <w:u w:val="none"/>
                  <w:effect w:val="none"/>
                </w:rPr>
                <w:t>Failure to Qualify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9e3afc33b8455b9c1ac534e6c70b92">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08ebfa4fae4b549643cb7ba4f39138">
              <w:r>
                <w:rPr>
                  <w:rStyle w:val="InternetLink"/>
                  <w:rFonts w:ascii="Times New Roman;serif" w:hAnsi="Times New Roman;serif"/>
                  <w:b w:val="false"/>
                  <w:strike w:val="false"/>
                  <w:dstrike w:val="false"/>
                  <w:color w:val="000000"/>
                  <w:sz w:val="20"/>
                  <w:u w:val="none"/>
                  <w:effect w:val="none"/>
                </w:rPr>
                <w:t>Taxation of 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08ebfa4fae4b549643cb7ba4f39138">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5d3937d4e74d67870ec0b3161b0553">
              <w:r>
                <w:rPr>
                  <w:rStyle w:val="InternetLink"/>
                  <w:rFonts w:ascii="Times New Roman;serif" w:hAnsi="Times New Roman;serif"/>
                  <w:b w:val="false"/>
                  <w:strike w:val="false"/>
                  <w:dstrike w:val="false"/>
                  <w:color w:val="000000"/>
                  <w:sz w:val="20"/>
                  <w:u w:val="none"/>
                  <w:effect w:val="none"/>
                </w:rPr>
                <w:t>Taxation of Non-U.S.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5d3937d4e74d67870ec0b3161b0553">
              <w:r>
                <w:rPr>
                  <w:rStyle w:val="InternetLink"/>
                  <w:rFonts w:ascii="Times New Roman;serif" w:hAnsi="Times New Roman;serif"/>
                  <w:b w:val="false"/>
                  <w:strike w:val="false"/>
                  <w:dstrike w:val="false"/>
                  <w:color w:val="000000"/>
                  <w:sz w:val="20"/>
                  <w:u w:val="none"/>
                  <w:effect w:val="none"/>
                </w:rPr>
                <w:t>183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8f28c0209c44eab302818dd0816fda">
              <w:r>
                <w:rPr>
                  <w:rStyle w:val="InternetLink"/>
                  <w:rFonts w:ascii="Times New Roman;serif" w:hAnsi="Times New Roman;serif"/>
                  <w:b w:val="false"/>
                  <w:strike w:val="false"/>
                  <w:dstrike w:val="false"/>
                  <w:color w:val="000000"/>
                  <w:sz w:val="20"/>
                  <w:u w:val="none"/>
                  <w:effect w:val="none"/>
                </w:rPr>
                <w:t>Conversion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8f28c0209c44eab302818dd0816fda">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633d8ecd0b42d1ada845339d16d974">
              <w:r>
                <w:rPr>
                  <w:rStyle w:val="InternetLink"/>
                  <w:rFonts w:ascii="Times New Roman;serif" w:hAnsi="Times New Roman;serif"/>
                  <w:b w:val="false"/>
                  <w:strike w:val="false"/>
                  <w:dstrike w:val="false"/>
                  <w:color w:val="000000"/>
                  <w:sz w:val="20"/>
                  <w:u w:val="none"/>
                  <w:effect w:val="none"/>
                </w:rPr>
                <w:t>Redemption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633d8ecd0b42d1ada845339d16d974">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8bbe5055640f6a58727eab4b6521b">
              <w:r>
                <w:rPr>
                  <w:rStyle w:val="InternetLink"/>
                  <w:rFonts w:ascii="Times New Roman;serif" w:hAnsi="Times New Roman;serif"/>
                  <w:b w:val="false"/>
                  <w:strike w:val="false"/>
                  <w:dstrike w:val="false"/>
                  <w:color w:val="000000"/>
                  <w:sz w:val="20"/>
                  <w:u w:val="none"/>
                  <w:effect w:val="none"/>
                </w:rPr>
                <w:t>Legislative or Other Actions Affecting REITs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8bbe5055640f6a58727eab4b6521b">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11af8cdd5d4cb284adaa058bb76de6">
              <w:r>
                <w:rPr>
                  <w:rStyle w:val="InternetLink"/>
                  <w:rFonts w:ascii="Times New Roman;serif" w:hAnsi="Times New Roman;serif"/>
                  <w:b w:val="false"/>
                  <w:strike w:val="false"/>
                  <w:dstrike w:val="false"/>
                  <w:color w:val="000000"/>
                  <w:sz w:val="20"/>
                  <w:u w:val="none"/>
                  <w:effect w:val="none"/>
                </w:rPr>
                <w:t>State, Local and Foreign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11af8cdd5d4cb284adaa058bb76de6">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0bbc1482c4dcfb4c2756439c87c44">
              <w:r>
                <w:rPr>
                  <w:rStyle w:val="InternetLink"/>
                  <w:rFonts w:ascii="Times New Roman;serif" w:hAnsi="Times New Roman;serif"/>
                  <w:b w:val="false"/>
                  <w:strike w:val="false"/>
                  <w:dstrike w:val="false"/>
                  <w:color w:val="000000"/>
                  <w:sz w:val="20"/>
                  <w:u w:val="none"/>
                  <w:effect w:val="none"/>
                </w:rPr>
                <w:t>Tax Shelter Reporting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0bbc1482c4dcfb4c2756439c87c44">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eff6a659a44095a4b332f38060a8ba">
              <w:r>
                <w:rPr>
                  <w:rStyle w:val="InternetLink"/>
                  <w:rFonts w:ascii="Times New Roman;serif" w:hAnsi="Times New Roman;serif"/>
                  <w:b w:val="false"/>
                  <w:strike w:val="false"/>
                  <w:dstrike w:val="false"/>
                  <w:color w:val="000000"/>
                  <w:sz w:val="20"/>
                  <w:u w:val="none"/>
                  <w:effect w:val="none"/>
                </w:rPr>
                <w:t>FATCA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eff6a659a44095a4b332f38060a8ba">
              <w:r>
                <w:rPr>
                  <w:rStyle w:val="InternetLink"/>
                  <w:rFonts w:ascii="Times New Roman;serif" w:hAnsi="Times New Roman;serif"/>
                  <w:b w:val="false"/>
                  <w:strike w:val="false"/>
                  <w:dstrike w:val="false"/>
                  <w:color w:val="000000"/>
                  <w:sz w:val="20"/>
                  <w:u w:val="none"/>
                  <w:effect w:val="none"/>
                </w:rPr>
                <w:t>188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f000353ae4420eba5726767e74f80a">
              <w:r>
                <w:rPr>
                  <w:rStyle w:val="InternetLink"/>
                  <w:rFonts w:ascii="Times New Roman;serif" w:hAnsi="Times New Roman;serif"/>
                  <w:b w:val="false"/>
                  <w:strike w:val="false"/>
                  <w:dstrike w:val="false"/>
                  <w:color w:val="000000"/>
                  <w:sz w:val="20"/>
                  <w:u w:val="none"/>
                  <w:effect w:val="none"/>
                </w:rPr>
                <w:t>DESCRIPTION OF MITT CAPITAL STOCK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f000353ae4420eba5726767e74f80a">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b49117e2a44afcab974b5ea55bd475">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b49117e2a44afcab974b5ea55bd475">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c93685c5254b828b26a5807efe6ac6">
              <w:r>
                <w:rPr>
                  <w:rStyle w:val="InternetLink"/>
                  <w:rFonts w:ascii="Times New Roman;serif" w:hAnsi="Times New Roman;serif"/>
                  <w:b w:val="false"/>
                  <w:strike w:val="false"/>
                  <w:dstrike w:val="false"/>
                  <w:color w:val="000000"/>
                  <w:sz w:val="20"/>
                  <w:u w:val="none"/>
                  <w:effect w:val="none"/>
                </w:rPr>
                <w:t>Authorized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c93685c5254b828b26a5807efe6ac6">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341c73a0ba49879a2174e873c5f482">
              <w:r>
                <w:rPr>
                  <w:rStyle w:val="InternetLink"/>
                  <w:rFonts w:ascii="Times New Roman;serif" w:hAnsi="Times New Roman;serif"/>
                  <w:b w:val="false"/>
                  <w:strike w:val="false"/>
                  <w:dstrike w:val="false"/>
                  <w:color w:val="000000"/>
                  <w:sz w:val="20"/>
                  <w:u w:val="none"/>
                  <w:effect w:val="none"/>
                </w:rPr>
                <w:t xml:space="preserve">Shares Outstanding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341c73a0ba49879a2174e873c5f482">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2703b3b2d9411b9256fa0650d090cc">
              <w:r>
                <w:rPr>
                  <w:rStyle w:val="InternetLink"/>
                  <w:rFonts w:ascii="Times New Roman;serif" w:hAnsi="Times New Roman;serif"/>
                  <w:b w:val="false"/>
                  <w:strike w:val="false"/>
                  <w:dstrike w:val="false"/>
                  <w:color w:val="000000"/>
                  <w:sz w:val="20"/>
                  <w:u w:val="none"/>
                  <w:effect w:val="none"/>
                </w:rPr>
                <w:t>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2703b3b2d9411b9256fa0650d090cc">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bc31fe17f84d31ab57d0325801ba57">
              <w:r>
                <w:rPr>
                  <w:rStyle w:val="InternetLink"/>
                  <w:rFonts w:ascii="Times New Roman;serif" w:hAnsi="Times New Roman;serif"/>
                  <w:b w:val="false"/>
                  <w:strike w:val="false"/>
                  <w:dstrike w:val="false"/>
                  <w:color w:val="000000"/>
                  <w:sz w:val="20"/>
                  <w:u w:val="none"/>
                  <w:effect w:val="none"/>
                </w:rPr>
                <w:t>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bc31fe17f84d31ab57d0325801ba57">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219c2f6e34e6c9051979250640a04">
              <w:r>
                <w:rPr>
                  <w:rStyle w:val="InternetLink"/>
                  <w:rFonts w:ascii="Times New Roman;serif" w:hAnsi="Times New Roman;serif"/>
                  <w:b w:val="false"/>
                  <w:strike w:val="false"/>
                  <w:dstrike w:val="false"/>
                  <w:color w:val="000000"/>
                  <w:sz w:val="20"/>
                  <w:u w:val="none"/>
                  <w:effect w:val="none"/>
                </w:rPr>
                <w:t>Certain Provisions of the MGCL, the MITT Charter and the MITT Bylaws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219c2f6e34e6c9051979250640a04">
              <w:r>
                <w:rPr>
                  <w:rStyle w:val="InternetLink"/>
                  <w:rFonts w:ascii="Times New Roman;serif" w:hAnsi="Times New Roman;serif"/>
                  <w:b w:val="false"/>
                  <w:strike w:val="false"/>
                  <w:dstrike w:val="false"/>
                  <w:color w:val="000000"/>
                  <w:sz w:val="20"/>
                  <w:u w:val="none"/>
                  <w:effect w:val="none"/>
                </w:rPr>
                <w:t>192</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1874158d94497e8abb88a96ffab8aa">
              <w:r>
                <w:rPr>
                  <w:rStyle w:val="InternetLink"/>
                  <w:rFonts w:ascii="Times New Roman;serif" w:hAnsi="Times New Roman;serif"/>
                  <w:b w:val="false"/>
                  <w:strike w:val="false"/>
                  <w:dstrike w:val="false"/>
                  <w:color w:val="000000"/>
                  <w:sz w:val="20"/>
                  <w:u w:val="none"/>
                  <w:effect w:val="none"/>
                </w:rPr>
                <w:t>COMPARISON OF RIGHTS OF MITT STOCKHOLDERS AND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1874158d94497e8abb88a96ffab8aa">
              <w:r>
                <w:rPr>
                  <w:rStyle w:val="InternetLink"/>
                  <w:rFonts w:ascii="Times New Roman;serif" w:hAnsi="Times New Roman;serif"/>
                  <w:b w:val="false"/>
                  <w:strike w:val="false"/>
                  <w:dstrike w:val="false"/>
                  <w:color w:val="000000"/>
                  <w:sz w:val="20"/>
                  <w:u w:val="none"/>
                  <w:effect w:val="none"/>
                </w:rPr>
                <w:t>199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18c5e6370047d1984a5909af7ae641">
              <w:r>
                <w:rPr>
                  <w:rStyle w:val="InternetLink"/>
                  <w:rFonts w:ascii="Times New Roman;serif" w:hAnsi="Times New Roman;serif"/>
                  <w:b w:val="false"/>
                  <w:strike w:val="false"/>
                  <w:dstrike w:val="false"/>
                  <w:color w:val="000000"/>
                  <w:sz w:val="20"/>
                  <w:u w:val="none"/>
                  <w:effect w:val="none"/>
                </w:rPr>
                <w:t>DESCRIPTION OF POLICIES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18c5e6370047d1984a5909af7ae641">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2afb298bd741f88e8e35e7082fea7b">
              <w:r>
                <w:rPr>
                  <w:rStyle w:val="InternetLink"/>
                  <w:rFonts w:ascii="Times New Roman;serif" w:hAnsi="Times New Roman;serif"/>
                  <w:b w:val="false"/>
                  <w:strike w:val="false"/>
                  <w:dstrike w:val="false"/>
                  <w:color w:val="000000"/>
                  <w:sz w:val="20"/>
                  <w:u w:val="none"/>
                  <w:effect w:val="none"/>
                </w:rPr>
                <w:t>Investment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2afb298bd741f88e8e35e7082fea7b">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c5a35e8eb64be490674c4193b28fe9">
              <w:r>
                <w:rPr>
                  <w:rStyle w:val="InternetLink"/>
                  <w:rFonts w:ascii="Times New Roman;serif" w:hAnsi="Times New Roman;serif"/>
                  <w:b w:val="false"/>
                  <w:strike w:val="false"/>
                  <w:dstrike w:val="false"/>
                  <w:color w:val="000000"/>
                  <w:sz w:val="20"/>
                  <w:u w:val="none"/>
                  <w:effect w:val="none"/>
                </w:rPr>
                <w:t>Financing and Hedging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c5a35e8eb64be490674c4193b28fe9">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ff86095b7442a8ab1360f120c02834">
              <w:r>
                <w:rPr>
                  <w:rStyle w:val="InternetLink"/>
                  <w:rFonts w:ascii="Times New Roman;serif" w:hAnsi="Times New Roman;serif"/>
                  <w:b w:val="false"/>
                  <w:strike w:val="false"/>
                  <w:dstrike w:val="false"/>
                  <w:color w:val="000000"/>
                  <w:sz w:val="20"/>
                  <w:u w:val="none"/>
                  <w:effect w:val="none"/>
                </w:rPr>
                <w:t>Risk Management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ff86095b7442a8ab1360f120c02834">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7856de28d24003bdf11486ccb1b00c">
              <w:r>
                <w:rPr>
                  <w:rStyle w:val="InternetLink"/>
                  <w:rFonts w:ascii="Times New Roman;serif" w:hAnsi="Times New Roman;serif"/>
                  <w:b w:val="false"/>
                  <w:strike w:val="false"/>
                  <w:dstrike w:val="false"/>
                  <w:color w:val="000000"/>
                  <w:sz w:val="20"/>
                  <w:u w:val="none"/>
                  <w:effect w:val="none"/>
                </w:rPr>
                <w:t>Investment Process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7856de28d24003bdf11486ccb1b00c">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c01fd4f34e469d8aad0f285597a792">
              <w:r>
                <w:rPr>
                  <w:rStyle w:val="InternetLink"/>
                  <w:rFonts w:ascii="Times New Roman;serif" w:hAnsi="Times New Roman;serif"/>
                  <w:b w:val="false"/>
                  <w:strike w:val="false"/>
                  <w:dstrike w:val="false"/>
                  <w:color w:val="000000"/>
                  <w:sz w:val="20"/>
                  <w:u w:val="none"/>
                  <w:effect w:val="none"/>
                </w:rPr>
                <w:t>Other Policies and Investments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c01fd4f34e469d8aad0f285597a792">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048fe5c1f45b1941deb2ff113c133">
              <w:r>
                <w:rPr>
                  <w:rStyle w:val="InternetLink"/>
                  <w:rFonts w:ascii="Times New Roman;serif" w:hAnsi="Times New Roman;serif"/>
                  <w:b w:val="false"/>
                  <w:strike w:val="false"/>
                  <w:dstrike w:val="false"/>
                  <w:color w:val="000000"/>
                  <w:sz w:val="20"/>
                  <w:u w:val="none"/>
                  <w:effect w:val="none"/>
                </w:rPr>
                <w:t>Changes in Strategies and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048fe5c1f45b1941deb2ff113c133">
              <w:r>
                <w:rPr>
                  <w:rStyle w:val="InternetLink"/>
                  <w:rFonts w:ascii="Times New Roman;serif" w:hAnsi="Times New Roman;serif"/>
                  <w:b w:val="false"/>
                  <w:strike w:val="false"/>
                  <w:dstrike w:val="false"/>
                  <w:color w:val="000000"/>
                  <w:sz w:val="20"/>
                  <w:u w:val="none"/>
                  <w:effect w:val="none"/>
                </w:rPr>
                <w:t>206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fec22f116845b1b7e9d026083c746a">
              <w:r>
                <w:rPr>
                  <w:rStyle w:val="InternetLink"/>
                  <w:rFonts w:ascii="Times New Roman;serif" w:hAnsi="Times New Roman;serif"/>
                  <w:b w:val="false"/>
                  <w:strike w:val="false"/>
                  <w:dstrike w:val="false"/>
                  <w:color w:val="000000"/>
                  <w:sz w:val="20"/>
                  <w:u w:val="none"/>
                  <w:effect w:val="none"/>
                </w:rPr>
                <w:t xml:space="preserve">PRINCIPAL AND MANAGEMENT STOCKHOLDERS OF MITT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fec22f116845b1b7e9d026083c746a">
              <w:r>
                <w:rPr>
                  <w:rStyle w:val="InternetLink"/>
                  <w:rFonts w:ascii="Times New Roman;serif" w:hAnsi="Times New Roman;serif"/>
                  <w:b w:val="false"/>
                  <w:strike w:val="false"/>
                  <w:dstrike w:val="false"/>
                  <w:color w:val="000000"/>
                  <w:sz w:val="20"/>
                  <w:u w:val="none"/>
                  <w:effect w:val="none"/>
                </w:rPr>
                <w:t>207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4aefc15c914617a642bffdc74e8ce2">
              <w:r>
                <w:rPr>
                  <w:rStyle w:val="InternetLink"/>
                  <w:rFonts w:ascii="Times New Roman;serif" w:hAnsi="Times New Roman;serif"/>
                  <w:b w:val="false"/>
                  <w:strike w:val="false"/>
                  <w:dstrike w:val="false"/>
                  <w:color w:val="000000"/>
                  <w:sz w:val="20"/>
                  <w:u w:val="none"/>
                  <w:effect w:val="none"/>
                </w:rPr>
                <w:t>PRINCIPAL AND MANAGEMENT STOCKHOLDERS OF CHMI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4aefc15c914617a642bffdc74e8ce2">
              <w:r>
                <w:rPr>
                  <w:rStyle w:val="InternetLink"/>
                  <w:rFonts w:ascii="Times New Roman;serif" w:hAnsi="Times New Roman;serif"/>
                  <w:b w:val="false"/>
                  <w:strike w:val="false"/>
                  <w:dstrike w:val="false"/>
                  <w:color w:val="000000"/>
                  <w:sz w:val="20"/>
                  <w:u w:val="none"/>
                  <w:effect w:val="none"/>
                </w:rPr>
                <w:t>209</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tbl>
      <w:tblPr>
        <w:tblW w:w="8235" w:type="dxa"/>
        <w:jc w:val="left"/>
        <w:tblInd w:w="0" w:type="dxa"/>
        <w:tblLayout w:type="fixed"/>
        <w:tblCellMar>
          <w:top w:w="28" w:type="dxa"/>
          <w:left w:w="28" w:type="dxa"/>
          <w:bottom w:w="28" w:type="dxa"/>
          <w:right w:w="28" w:type="dxa"/>
        </w:tblCellMar>
      </w:tblPr>
      <w:tblGrid>
        <w:gridCol w:w="2812"/>
        <w:gridCol w:w="2467"/>
        <w:gridCol w:w="2490"/>
        <w:gridCol w:w="136"/>
        <w:gridCol w:w="136"/>
        <w:gridCol w:w="194"/>
      </w:tblGrid>
      <w:tr>
        <w:trPr/>
        <w:tc>
          <w:tcPr>
            <w:tcW w:w="2812"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c86c1d435c4328ac89b849d6a89268">
              <w:r>
                <w:rPr>
                  <w:rStyle w:val="InternetLink"/>
                  <w:rFonts w:ascii="Times New Roman;serif" w:hAnsi="Times New Roman;serif"/>
                  <w:b w:val="false"/>
                  <w:strike w:val="false"/>
                  <w:dstrike w:val="false"/>
                  <w:color w:val="000000"/>
                  <w:sz w:val="20"/>
                  <w:u w:val="none"/>
                  <w:effect w:val="none"/>
                </w:rPr>
                <w:t>EXPERTS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c86c1d435c4328ac89b849d6a89268">
              <w:r>
                <w:rPr>
                  <w:rStyle w:val="InternetLink"/>
                  <w:rFonts w:ascii="Times New Roman;serif" w:hAnsi="Times New Roman;serif"/>
                  <w:b w:val="false"/>
                  <w:strike w:val="false"/>
                  <w:dstrike w:val="false"/>
                  <w:color w:val="000000"/>
                  <w:sz w:val="20"/>
                  <w:u w:val="none"/>
                  <w:effect w:val="none"/>
                </w:rPr>
                <w:t>211</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4493602fa14e5588909119ce19b90b">
              <w:r>
                <w:rPr>
                  <w:rStyle w:val="InternetLink"/>
                  <w:rFonts w:ascii="Times New Roman;serif" w:hAnsi="Times New Roman;serif"/>
                  <w:b w:val="false"/>
                  <w:strike w:val="false"/>
                  <w:dstrike w:val="false"/>
                  <w:color w:val="000000"/>
                  <w:sz w:val="20"/>
                  <w:u w:val="none"/>
                  <w:effect w:val="none"/>
                </w:rPr>
                <w:t>LEGAL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4493602fa14e5588909119ce19b90b">
              <w:r>
                <w:rPr>
                  <w:rStyle w:val="InternetLink"/>
                  <w:rFonts w:ascii="Times New Roman;serif" w:hAnsi="Times New Roman;serif"/>
                  <w:b w:val="false"/>
                  <w:strike w:val="false"/>
                  <w:dstrike w:val="false"/>
                  <w:color w:val="000000"/>
                  <w:sz w:val="20"/>
                  <w:u w:val="none"/>
                  <w:effect w:val="none"/>
                </w:rPr>
                <w:t>212</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036b5b0047478b9ad91e4156e1cc67">
              <w:r>
                <w:rPr>
                  <w:rStyle w:val="InternetLink"/>
                  <w:rFonts w:ascii="Times New Roman;serif" w:hAnsi="Times New Roman;serif"/>
                  <w:b w:val="false"/>
                  <w:strike w:val="false"/>
                  <w:dstrike w:val="false"/>
                  <w:color w:val="000000"/>
                  <w:sz w:val="20"/>
                  <w:u w:val="none"/>
                  <w:effect w:val="none"/>
                </w:rPr>
                <w:t xml:space="preserve">STOCKHOLDER PROPOSALS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036b5b0047478b9ad91e4156e1cc67">
              <w:r>
                <w:rPr>
                  <w:rStyle w:val="InternetLink"/>
                  <w:rFonts w:ascii="Times New Roman;serif" w:hAnsi="Times New Roman;serif"/>
                  <w:b w:val="false"/>
                  <w:strike w:val="false"/>
                  <w:dstrike w:val="false"/>
                  <w:color w:val="000000"/>
                  <w:sz w:val="20"/>
                  <w:u w:val="none"/>
                  <w:effect w:val="none"/>
                </w:rPr>
                <w:t>213</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dc073d5f684bfe805702762048f368">
              <w:r>
                <w:rPr>
                  <w:rStyle w:val="InternetLink"/>
                  <w:rFonts w:ascii="Times New Roman;serif" w:hAnsi="Times New Roman;serif"/>
                  <w:b w:val="false"/>
                  <w:strike w:val="false"/>
                  <w:dstrike w:val="false"/>
                  <w:color w:val="000000"/>
                  <w:sz w:val="20"/>
                  <w:u w:val="none"/>
                  <w:effect w:val="none"/>
                </w:rPr>
                <w:t>WHERE YOU CAN FIND MORE INFORMATION AND INCORPORATION BY REFERENCE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dc073d5f684bfe805702762048f368">
              <w:r>
                <w:rPr>
                  <w:rStyle w:val="InternetLink"/>
                  <w:rFonts w:ascii="Times New Roman;serif" w:hAnsi="Times New Roman;serif"/>
                  <w:b w:val="false"/>
                  <w:strike w:val="false"/>
                  <w:dstrike w:val="false"/>
                  <w:color w:val="000000"/>
                  <w:sz w:val="20"/>
                  <w:u w:val="none"/>
                  <w:effect w:val="none"/>
                </w:rPr>
                <w:t>215</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406a9945fa4156a6fbd3982b5ef0b5">
              <w:r>
                <w:rPr>
                  <w:rStyle w:val="InternetLink"/>
                  <w:rFonts w:ascii="Times New Roman;serif" w:hAnsi="Times New Roman;serif"/>
                  <w:b w:val="false"/>
                  <w:strike w:val="false"/>
                  <w:dstrike w:val="false"/>
                  <w:color w:val="000000"/>
                  <w:sz w:val="20"/>
                  <w:u w:val="none"/>
                  <w:effect w:val="none"/>
                </w:rPr>
                <w:t>MULTIPLE STOCKHOLDERS SHARING ONE ADDRESS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406a9945fa4156a6fbd3982b5ef0b5">
              <w:r>
                <w:rPr>
                  <w:rStyle w:val="InternetLink"/>
                  <w:rFonts w:ascii="Times New Roman;serif" w:hAnsi="Times New Roman;serif"/>
                  <w:b w:val="false"/>
                  <w:strike w:val="false"/>
                  <w:dstrike w:val="false"/>
                  <w:color w:val="000000"/>
                  <w:sz w:val="20"/>
                  <w:u w:val="none"/>
                  <w:effect w:val="none"/>
                </w:rPr>
                <w:t>218</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c38ce2254940b99e2232c1c9219cfa">
              <w:r>
                <w:rPr>
                  <w:rStyle w:val="InternetLink"/>
                  <w:rFonts w:ascii="Times New Roman;serif" w:hAnsi="Times New Roman;serif"/>
                  <w:b w:val="false"/>
                  <w:strike w:val="false"/>
                  <w:dstrike w:val="false"/>
                  <w:color w:val="000000"/>
                  <w:sz w:val="20"/>
                  <w:u w:val="none"/>
                  <w:effect w:val="none"/>
                </w:rPr>
                <w:t>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c38ce2254940b99e2232c1c9219cfa">
              <w:r>
                <w:rPr>
                  <w:rStyle w:val="InternetLink"/>
                  <w:rFonts w:ascii="Times New Roman;serif" w:hAnsi="Times New Roman;serif"/>
                  <w:b w:val="false"/>
                  <w:strike w:val="false"/>
                  <w:dstrike w:val="false"/>
                  <w:color w:val="000000"/>
                  <w:sz w:val="20"/>
                  <w:u w:val="none"/>
                  <w:effect w:val="none"/>
                </w:rPr>
                <w:t>219</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83addfa3864675b8fd0dedc5c66c30">
              <w:r>
                <w:rPr>
                  <w:rStyle w:val="InternetLink"/>
                  <w:rFonts w:ascii="Times New Roman;serif" w:hAnsi="Times New Roman;serif"/>
                  <w:b w:val="false"/>
                  <w:strike w:val="false"/>
                  <w:dstrike w:val="false"/>
                  <w:color w:val="000000"/>
                  <w:sz w:val="20"/>
                  <w:u w:val="none"/>
                  <w:effect w:val="none"/>
                </w:rPr>
                <w:t>Notes to 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83addfa3864675b8fd0dedc5c66c30">
              <w:r>
                <w:rPr>
                  <w:rStyle w:val="InternetLink"/>
                  <w:rFonts w:ascii="Times New Roman;serif" w:hAnsi="Times New Roman;serif"/>
                  <w:b w:val="false"/>
                  <w:strike w:val="false"/>
                  <w:dstrike w:val="false"/>
                  <w:color w:val="000000"/>
                  <w:sz w:val="20"/>
                  <w:u w:val="none"/>
                  <w:effect w:val="none"/>
                </w:rPr>
                <w:t>223</w:t>
              </w:r>
            </w:hyperlink>
          </w:p>
        </w:tc>
      </w:tr>
    </w:tbl>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2315"/>
        <w:gridCol w:w="2038"/>
        <w:gridCol w:w="2051"/>
        <w:gridCol w:w="131"/>
        <w:gridCol w:w="131"/>
        <w:gridCol w:w="188"/>
      </w:tblGrid>
      <w:tr>
        <w:trPr/>
        <w:tc>
          <w:tcPr>
            <w:tcW w:w="231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8e3236674744b24bbd77f8ede5bb2eb_322">
              <w:r>
                <w:rPr>
                  <w:rStyle w:val="InternetLink"/>
                  <w:rFonts w:ascii="Times New Roman;serif" w:hAnsi="Times New Roman;serif"/>
                  <w:b w:val="false"/>
                  <w:strike w:val="false"/>
                  <w:dstrike w:val="false"/>
                  <w:color w:val="000000"/>
                  <w:sz w:val="20"/>
                  <w:u w:val="none"/>
                  <w:effect w:val="none"/>
                </w:rPr>
                <w:t>ANNEX A: AGREEMENT AND PLAN OF MERGER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38e3236674744b24bbd77f8ede5bb2eb_322">
              <w:r>
                <w:rPr>
                  <w:rStyle w:val="InternetLink"/>
                  <w:rFonts w:ascii="Times New Roman;serif" w:hAnsi="Times New Roman;serif"/>
                  <w:b w:val="false"/>
                  <w:strike w:val="false"/>
                  <w:dstrike w:val="false"/>
                  <w:color w:val="000000"/>
                  <w:sz w:val="20"/>
                  <w:u w:val="none"/>
                  <w:effect w:val="none"/>
                </w:rPr>
                <w:t>A-</w:t>
              </w:r>
            </w:hyperlink>
            <w:r>
              <w:rPr>
                <w:rFonts w:ascii="Times New Roman;serif" w:hAnsi="Times New Roman;serif"/>
                <w:b w:val="false"/>
                <w:color w:val="000000"/>
                <w:sz w:val="20"/>
              </w:rPr>
              <w:t>i</w:t>
            </w:r>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8e3236674744b24bbd77f8ede5bb2eb_658">
              <w:r>
                <w:rPr>
                  <w:rStyle w:val="InternetLink"/>
                  <w:rFonts w:ascii="Times New Roman;serif" w:hAnsi="Times New Roman;serif"/>
                  <w:b w:val="false"/>
                  <w:strike w:val="false"/>
                  <w:dstrike w:val="false"/>
                  <w:color w:val="000000"/>
                  <w:sz w:val="20"/>
                  <w:u w:val="none"/>
                  <w:effect w:val="none"/>
                </w:rPr>
                <w:t>ANNEX B: FIFTH AMENDMENT TO MITT MANAGEMENT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38e3236674744b24bbd77f8ede5bb2eb_658">
              <w:r>
                <w:rPr>
                  <w:rStyle w:val="InternetLink"/>
                  <w:rFonts w:ascii="Times New Roman;serif" w:hAnsi="Times New Roman;serif"/>
                  <w:b w:val="false"/>
                  <w:strike w:val="false"/>
                  <w:dstrike w:val="false"/>
                  <w:color w:val="000000"/>
                  <w:sz w:val="20"/>
                  <w:u w:val="none"/>
                  <w:effect w:val="none"/>
                </w:rPr>
                <w:t>B-1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8e3236674744b24bbd77f8ede5bb2eb_667">
              <w:r>
                <w:rPr>
                  <w:rStyle w:val="InternetLink"/>
                  <w:rFonts w:ascii="Times New Roman;serif" w:hAnsi="Times New Roman;serif"/>
                  <w:b w:val="false"/>
                  <w:strike w:val="false"/>
                  <w:dstrike w:val="false"/>
                  <w:color w:val="000000"/>
                  <w:sz w:val="20"/>
                  <w:u w:val="none"/>
                  <w:effect w:val="none"/>
                </w:rPr>
                <w:t>ANNEX C: VOTING AND SUPPORT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38e3236674744b24bbd77f8ede5bb2eb_667">
              <w:r>
                <w:rPr>
                  <w:rStyle w:val="InternetLink"/>
                  <w:rFonts w:ascii="Times New Roman;serif" w:hAnsi="Times New Roman;serif"/>
                  <w:b w:val="false"/>
                  <w:strike w:val="false"/>
                  <w:dstrike w:val="false"/>
                  <w:color w:val="000000"/>
                  <w:sz w:val="20"/>
                  <w:u w:val="none"/>
                  <w:effect w:val="none"/>
                </w:rPr>
                <w:t>C-1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8e3236674744b24bbd77f8ede5bb2eb_676">
              <w:r>
                <w:rPr>
                  <w:rStyle w:val="InternetLink"/>
                  <w:rFonts w:ascii="Times New Roman;serif" w:hAnsi="Times New Roman;serif"/>
                  <w:b w:val="false"/>
                  <w:strike w:val="false"/>
                  <w:dstrike w:val="false"/>
                  <w:color w:val="000000"/>
                  <w:sz w:val="20"/>
                  <w:u w:val="none"/>
                  <w:effect w:val="none"/>
                </w:rPr>
                <w:t>ANNEX D: OPINION OF MITT’S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38e3236674744b24bbd77f8ede5bb2eb_676">
              <w:r>
                <w:rPr>
                  <w:rStyle w:val="InternetLink"/>
                  <w:rFonts w:ascii="Times New Roman;serif" w:hAnsi="Times New Roman;serif"/>
                  <w:b w:val="false"/>
                  <w:strike w:val="false"/>
                  <w:dstrike w:val="false"/>
                  <w:color w:val="000000"/>
                  <w:sz w:val="20"/>
                  <w:u w:val="none"/>
                  <w:effect w:val="none"/>
                </w:rPr>
                <w:t>D-1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8e3236674744b24bbd77f8ede5bb2eb_682">
              <w:r>
                <w:rPr>
                  <w:rStyle w:val="InternetLink"/>
                  <w:rFonts w:ascii="Times New Roman;serif" w:hAnsi="Times New Roman;serif"/>
                  <w:b w:val="false"/>
                  <w:strike w:val="false"/>
                  <w:dstrike w:val="false"/>
                  <w:color w:val="000000"/>
                  <w:sz w:val="20"/>
                  <w:u w:val="none"/>
                  <w:effect w:val="none"/>
                </w:rPr>
                <w:t>ANNEX E: OPINION OF CHMI’S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38e3236674744b24bbd77f8ede5bb2eb_682">
              <w:r>
                <w:rPr>
                  <w:rStyle w:val="InternetLink"/>
                  <w:rFonts w:ascii="Times New Roman;serif" w:hAnsi="Times New Roman;serif"/>
                  <w:b w:val="false"/>
                  <w:strike w:val="false"/>
                  <w:dstrike w:val="false"/>
                  <w:color w:val="000000"/>
                  <w:sz w:val="20"/>
                  <w:u w:val="none"/>
                  <w:effect w:val="none"/>
                </w:rPr>
                <w:t>E-1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0" w:name="i9a0359061b9f4ff7b7192cdda28d4d3c"/>
      <w:bookmarkEnd w:id="0"/>
      <w:r>
        <w:rPr>
          <w:rFonts w:ascii="Times New Roman;serif" w:hAnsi="Times New Roman;serif"/>
          <w:b/>
          <w:color w:val="000000"/>
          <w:sz w:val="20"/>
        </w:rPr>
        <w:t>FREQUENTLY USED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terms that are defined in and frequently used throughout this joint proxy statement/prospectus may be helpful for you to have in mind at the outset. Unless otherwise specified or if the context so requires, the following terms have the meanings set forth below for purposes of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Aurora” refers to Aurora Financial Group, Inc., a New Jersey corporation and CHMI’s licensed mortgage servicing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Canceled Shares” refers to all shares of CHMI Common Stock and CHMI Preferred Stock held by MITT or CHMI or by any direct or indirect subsidiary of MITT or CHMI immediately prior to the Company Merger Effective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refers to Cherry Hill Mortgage Investment Corporation,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Adjournment Proposal” refers to the proposal to the CHMI common stockholders to approve the adjournment of the CHMI special meeting, if necessary or appropriate, including for the purpose of soliciting additional proxies for the approval of the CHMI Merger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Board” refers to the board of directors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Bylaws” refers to the Second Amended and Restated Bylaws of CHMI, as amended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Charter” refers to the Articles of Amendment and Restatement of CHMI, as amended and supplemented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Stock” refers to common stock, par value $0.01 per share,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Unit” means a Common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Compensation Proposal” refers to the non-binding, advisory proposal to the CHMI common stockholders to approve the compensation that may be paid or become payable to CHMI’s named executive officers that is based on or otherwise relates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Director Designees” refers to two persons designated by CHMI pursuant to the Merger Agreement no later than 20 business days prior to the Closing Date, who will be appointed to the MITT Board pursuant to the terms of the Merger Agreement upon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Awards” means, collectively, CHMI Restricted Stock Awards, CHMI PSU Awards, CHMI RSU Awards and CHMI LTIP Units.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Plans” means any of CHMI’s 2023 Equity Incentive Plan and 2013 Equity Incentive Plan.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LTIP Unit” means a LTIP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Merger Proposal” refers to the proposal to the CHMI common stockholders to approve the Merger Agreement and the Company Merger.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Preferred Stock” refers to the CHMI Series A Preferred Stock and the CHMI Series B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PSU Award” means each performance-based restricted stock unit award in respect of a share of CHMI Common Stock granted under the CHMI Equity Plans.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Record Date” refers to the close of business on October 2,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Restricted Stock Award” means shares of restricted CHMI Common Stock subject to vesting conditions based on continuing service and granted under the CHMI Equity Plans.</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RSU Award” means each restricted stock unit award in respect of a share of CHMI Common Stock granted under the CHMI Equity Plans (other than CHMI PSU Awards).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A Preferred Stock” means CHMI’s 8.20% Series A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B Preferred Stock” means CHMI’s 8.250% Series B Fixed-to-Floating Rate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Solutions” refers to CHMI Solutions, Inc., a Delaware corporation and CHMI’s taxable REIT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special meeting” refers to the special meeting of CHMI common stockholders to be held virtually on December 2, 2026, at 9:00 a.m.,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Stock” refers to CHMI Common Stock and CHMI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Stockholder Approval” refers to the approval of the CHMI Merger Proposal by the affirmative vote of the holders of at least a majority of the issued and outstanding shares of CHMI Common Stock entitled to vote at the CHMI special meeting.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Sub-REIT” means CHMI Sub-REIT,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CHOP” refers to Cherry Hill Operating Partnership, LP, a Delaware limited partnership and subsidiary of CHMI.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CHOP Partnership Agreement” means the Agreement of Limited Partnership of CHOP, dated as of April 25, 2013, as amended by that certain First Amendment to the Agreement of Limited Partnership of CHOP, dated as of August 16, 2017, as further amended by that certain Second Amendment to the Agreement of Limited Partnership of CHOP, dated as of April 5, 2018, as further amended by that certain Third Amendment to the Agreement of Limited Partnership of CHOP, dated as of February 8, 2019.</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Closing” refers to the closing of the transactions contemplated in the Merger Agreement, including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Closing Date” refers to the date on which the Closing occurs.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Code” refers to the Internal Revenue Code of 1986,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Combined Company” refers to MITT and its subsidiaries, including Merger Sub as the Surviving Entity of the Company Merger, after the Closing. References in this joint proxy statement/prospectus to securities of the Combined Company mean securities of MITT after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Common Stock Merger Consideration” refers to the Per Share MITT Consideration plus the Per Share Additional Manager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refers to the merger of CHMI with and into Merger Sub, with Merger Sub continuing as the Surviving Entity,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Effective Time” refers to such date and time that the Company Merger becomes effective.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Exchange Act” refers to the Securities Exchange Act of 1934,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Exchange Ratio” refers to the fixed exchange ratio of 0.3063 (subject to adjustment in accordance with Section 3.1(d) of the Merger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Facility Documentation” refers to documentation relating to the Fannie Mae Facility or the Freddie Mac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refers to the Federal National Mortgage Association.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Facility” refers to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refers to the Federal Home Loan Mortgage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Facility” refers to that certain Credit and Security Agreement, dated as of July 31, 2018 (as amended, modified, supplemented, restated or amended and restated from time to time in accordance with its terms), by and among Aurora, CHMI and Cherry Hill QRS V, LLC, as borrowers, and NEXBANK,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GAAP” refers to the accounting principles generally accepted in the United States of America.</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Investment Company Act” refers to the Investment Company Act of 1940,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IRS” refers to the U.S. Internal Revenue Service.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Mergers” refers to, collectively, the Partnership Merger and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Agreement” refers to the Agreement and Plan of Merger, dated as of August 9, 2026, by and among MITT, CHMI, CHOP, Merger Sub and, solely for the limited purposes set forth therein, MITT Manager, as amended or modified from time to time (a copy of the Merger Agreement is attached as Annex A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Consideration” refers to the aggregate amount of Common Stock Merger Consideration, as well as the MITT Series D Preferred Stock and the MITT Series E Preferred Stock into which the CHMI Series A Preferred Stock and the CHMI Series B Preferred Stock will be converted, in each case,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Merger Sub” refers to MIT Merger Sub II, LLC, a Delaware limited liability company and wholly owned subsidiary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MGCL” refers to the Maryland General Corporation Law,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Minimum Distribution Dividend” refers to such amount, if any, with respect to any taxable year of CHMI, MITT or any of their subsidiaries, as applicable, ending on or prior to the Closing Date, which is required to be paid by CHMI, MITT or any of their subsidiaries, as applicable,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or “Registrant” refers to TPG Mortgage Investment Trust,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Adjournment Proposal” refers to the proposal to the MITT common stockholders to approve the adjournment of the MITT special meeting, if necessary or appropriate, for the purpose of soliciting additional proxies for the approval of the MITT Common Stock Issuance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Board” refers to the board of directors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Bylaws” refers to the Amended and Restated Bylaws of MITT,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Charter” refers to the Articles of Amendment and Restatement of MITT, as amended and supplemented from time to time. </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refers to a share of common stock, par value $0.01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refers to the issuance of the shares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Proposal” refers to the proposal to the MITT common stockholders to approve the issuance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refers to the Management Agreement between MITT and MITT Manager,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that certain Fourth Amendment to Management Agreement, dated as of August 8, 2023, and, as applicable the MITT Management Agreement Amendment.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Amendment” refers to the Fifth Amendment to the MITT Management Agreement between MITT and MITT Manager, dated as of August 9, 2026 (a copy of the MITT Management Agreement Amendment is attached as Annex B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Manager” refers to AG REIT Management, LLC, a Delaware limited liability company.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Preferred Stock” refers to, prior to completion of the Mergers, MITT Series A Preferred Stock, MITT Series B Preferred Stock and MITT Series C Preferred Stock, collectively, and, after completion of the Mergers, the foregoing series of preferred stock plus MITT Series D Preferred Stock and MITT Series E Preferred Stock.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Preferred Stock Issuance” refers to the issuance of the shares of MITT Series D Preferred Stock and MITT Series E Preferred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Record Date” refers to the close of business on October 2,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A Preferred Stock” refers to the shares of 8.25% Series A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B Preferred Stock” refers to the shares of 8.00% Series B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C Preferred Stock” refers to the shares of 8.000% Series C Fixed-to-Floating Rate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D Preferred Stock” means MITT’s 8.20% Series D Cumulative Redeemable Preferred Stock set forth in the articles supplementary substantially in the form attached as Annex A to the Merger Agreement, which is attached as Annex A to this joint proxy statement/prospectus, having the rights, preferences, privileges and voting powers substantially the same as those of the CHMI Series A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E Preferred Stock” means MITT’s Series E Floating Rate Cumulative Redeemable Preferred Stock, with the terms of MITT’s Series E Floating Rate Cumulative Redeemable Preferred Stock set forth in the articles supplementary substantially in the form attached as Annex B to the Merger Agreement, which is attached as Annex A to this joint proxy statement/prospectus, having the rights, preferences, privileges and voting powers substantially the same as those of the CHMI Series B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special meeting” refers to the special meeting of MITT common stockholders to be held at the offices of Hunton Andrews Kurth LLP, 200 Park Avenue, New York, New York 10166, on December 2, 2026, at 10:00 a.m.,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Stock” refers to MITT Common Stock and MITT Preferred Stock.</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Stockholder Approval” refers to the approval of the MITT Common Stock Issuance Proposal by the affirmative vote of the holders of a majority of the votes cast at the MITT special meeting in accordance with the rules and regulations of the NYSE and the organizational documents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NYSE” refers to the New York Stock Exchange.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refers to the merger occurring immediately prior to the Company Merger in which CHOP merges with and into CHMI, with CHMI continuing as the surviving corporation,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Effective Time” refers to the effective time of the Partnership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Additional Manager Consideration” means $0.52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Cash Consideration” means $0.41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Consideration” refers to the Per Share Stock Consideration plus the Per Share MITT Cash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Stock Consideration” refers to a number of validly issued, fully-paid and nonassessable shares of MITT Common Stock equal to the Exchange Ratio.</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REIT” refers to a real estate investment trust as defined in Section 856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Approvals” refers to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Notifications” means the pre-Closing notification filings to be made with any governmental authority under applicable law in connection with the consummation of the Transactions, subject to the terms and conditions of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 refers to the U.S. Securities and Exchange Commission.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Securities Act” refers to the Securities Act of 1933,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Surviving Entity” refers to Merger Sub, as the surviving entity of the merger of CHMI with and into Merger Sub with Merger Sub continuing as the Surviving Entity.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Termination Date” refers to 11:59 p.m. Eastern Time, on March 9, 2027; provided, however,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Transactions” refers to the transactions contemplated by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Treasury Regulations” means the regulations promulgated under the Code,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Voting Agreement” refers to the Voting and Support Agreement, dated as of August 9, 2026, by and among Cherry Hill Mortgage Investment Corporation and AG MIT, LLC (a copy of the Voting Agreement is attached as Annex C to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1" w:name="if504eaea65874221983247c5ade42566"/>
      <w:bookmarkEnd w:id="1"/>
      <w:r>
        <w:rPr>
          <w:rFonts w:ascii="Times New Roman;serif" w:hAnsi="Times New Roman;serif"/>
          <w:b/>
          <w:color w:val="000000"/>
          <w:sz w:val="20"/>
        </w:rPr>
        <w:t>QUESTIONS AND ANSWERS ABOUT THE SPECIAL MEETINGS AND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questions and answers are intended to address certain questions that you may have regarding the Merger Agreement, the Mergers and the MITT and CHMI special meetings. These questions and answers do not address all questions that may be important to you as a stockholder of MITT or CHMI. Please refer to the “Summary” beginning on page 22 and the more detailed information contained elsewhere in this joint proxy statement/prospectus, the annexes to this joint proxy statement/prospectus and the documents incorporated by reference into this joint proxy statement/prospectus, which you should read carefully.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Partnership Merger and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Merger Sub, CHMI, CHOP and, solely for the limited purposes set forth in the Merger Agreement, MITT Manager, have entered into the Merger Agreement pursuant to which, and subject to the terms and conditions of the Merger Agreement, CHOP will merge with and into CHMI, with CHMI continuing as the surviving entity. We refer to this merger as the “Partnership Merger.” Immediately following the Partnership Merger, CHMI will merge with and into Merger Sub, with Merger Sub continuing as the Surviving Entity and a subsidiary of MITT. We refer to this merger as the “Company Merger.” We refer to the Partnership Merger and the Company Merger, collectively, as the “Mergers.” A copy of the Merger Agreement is attached as Annex A to this joint proxy statement/prospectus. In order to complete the Mergers, among other conditions described in the Merger Agreement and this joint proxy statement/prospectus, the common stockholders of MITT must approve the MITT Common Stock Issuance Proposal and the common stockholders of CHMI must approve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am I receiving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and CHMI are delivering this joint proxy statement/prospectus to you because it is a joint proxy statement being used by both the MITT Board and the CHMI Board to solicit proxies from MITT’s and CHMI’s respective common stockholders in connection with the approval of the MITT Common Stock Issuance Proposal, the CHMI Merger Proposal and related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approve the MITT Common Stock Issuance Proposal, MITT will duly give notice of, convene and hold a special meeting of its common stockholders. This joint proxy statement/prospectus serves as a proxy statement for the MITT special meeting and describes the proposals to be presented at the MITT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duly give notice of, convene and hold a special meeting of its common stockholders to approve the CHMI Merger Proposal and related matters. This joint proxy statement/prospectus serves as a proxy statement for the CHMI special meeting and describes the proposals to be presented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 and CHMI will hold separate special meetings of their respective common stockholders to obtain these approvals.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this joint proxy statement/prospectus is also a prospectus that is being delivered to holders of CHMI Common Stock because, in connection with the Company Merger, MITT will issue (i) shares of MITT Common Stock to the holders of CHMI Common Stock, including holders of CHMI Equity Awards that are vesting and settling in, or being converted into, CHMI Common Stock under the Merger Agreement prior to the Company Merger, (ii) shares of MITT Series D Preferred Stock to the holders of CHMI Series A Preferred Stock and (iii) shares of MITT Series E Preferred Stock to the holders of CHMI Series B Preferred Stock, as provided in the Merger Agreement and as described in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of the newly issued shares of MITT Series D Preferred Stock and MITT Series E Preferred Stock will be set forth in the articles supplementary classifying and designating the MITT Series D Preferred Stock, which we refer to as the “MITT Series D Articles Supplementary,” and the MITT Series E Preferred Stock, which we refer to as the “MITT Series E Articles Supplementary,” respectively, the forms of which are included as Annexes A and B, respectively, to the Merger Agreement, which is attached to this joint proxy statement/prospectus as Annex 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contains important information about the Mergers and the proposals being considered and voted on at the MITT special meeting and CHMI special meeting and important information to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 in connection with an investment in MITT Common Stock. This joint proxy statement/prospectus contains important information about the special meetings of the common stockholders of each of MITT and CHMI, and you should read it carefully and in its entirety. The enclosed voting materials allow you to vote your shares of MITT Common Stock and/or CHMI Common Stock, as applicable, without attending the applicable special meeting. Your vote is important and we encourage you to authorize your proxy as soon as possible.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MITT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are being asked to approve the MITT Common Stock Issuance Proposal and the MITT Adjournment Proposal. The approval of the MITT Common Stock Issuance Proposal by the MITT common stockholders is a condition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CHMI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CHMI common stockholders are being asked to approve the CHMI Merger Proposal, the CHMI Compensation Proposal and the CHMI Adjournment Proposal. The approval of the CHMI Merger Proposal by the CHMI common stockholders is a condition to the consummation of the Closing. The approval of each of the CHMI Compensation Proposal and the CHMI Adjournment Proposal are not conditions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are MITT and CHMI proposing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determined that the Company Merger, and the CHMI Board has determined that the Mergers, will provide a number of significant strategic opportunities and benefits to MITT and CHMI, respectively, and will be advisable, fair to and in the best interests of MITT and CHMI, respectively. The Company Merger is expected to provide MITT with improved scale, enhanced portfolio liquidity and an improved access to capital alternatives, which should support continued growth across MITT’s target assets and position MITT to take advantage of opportunities as they arise in the diversified markets in which MITT operates. The combination of MITT and CHMI is also expected to create significant cost savings and efficiencies over time resulting from the allocation of fixed operating expenses over a larger common equity base. To review the MITT Board’s reasons for the Company Merger in greater detail, see “The Mergers —Recommendation of the MITT Board and Its Reasons for the Company Merger” beginning on page 85. To review the CHMI Board’s reasons for the Mergers in greater detail, see “The Mergers — 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market price of MITT Common Stock or CHMI Common Stock changes before the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Changes in the market price of MITT Common Stock or the market price of CHMI Common Stock at or prior to the Company Merger Effective Time will not change the number of shares of MITT Common Stock that CHMI common stockholders, including holders of CHMI Equity Awards that are vesting and settling in, or being converted into, CHMI Common Stock under the Merger Agreement prior to the Company Merger, will receive in the Company Merger or the fixed cash consideration of $0.41 per share payable by MITT or the fixed Per Share Additional Manager Consideration of $0.52 per share payable by MITT Manager.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CHMI common stockholders, including holders of CHMI Equity Awards that are vesting and settling in, or being converted into, CHMI Common Stock under the Merger Agreement prior to the Company Merger, will receive a fixed number of shares of MITT Common Stock (based on the Exchange Ratio of 0.3063), plus fixed cash consideration of $0.41 per share from MITT, plus a fixed $0.52 per share from MITT Manager, regardless of changes in MITT’s or CHMI’s stock prices.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any conditions to completion of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Yes. In addition to the approval of the MITT common stockholders of the MITT Common Stock Issuance Proposal and the approval of the CHMI common stockholders of the CHMI Merger Proposal, each as described in this joint proxy statement/prospectus, there are a number of other conditions that must be satisfied or waived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to be consummated. For a description of all of the conditions to the Mergers, see “The Merger Agreement—Conditions to Complete the Mergers” beginning on page 146.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MITT stockholder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special meeting will be held at the offices of Hunton Andrews Kurth LLP, 200 Park Avenue, New York, New York 10166, on December 2, 2026, at 10:00 a.m., Eastern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will consider the following proposals at the MITT special meeting: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MITT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MITT Board has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the MITT common stockholders vote “FOR” the MITT Common Stock Issuance Proposal and vote “FOR” the MITT Adjournment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MITT special meeting? What must I bring to attend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Any MITT stockholder that wants to attend the MITT special meeting must pre-register by emailing mittir@tpg.com not later than 5:00 p.m., Eastern Time, on November 27, 2026. For security reasons, you will be required to show a form of government-issued photo identification (e.g.,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need to provide evidence that you are a stockholder as of the close of business on the MITT Record Date. This can be a copy of your proxy card or a brokerage statement showing your shares as of the close of business on the MITT Record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ensure your representation at the MITT special meeting, you are urged to authorize your proxy to vote your shares of MITT Common Stock as promptly as possible by (1) calling the number specified on your proxy card, (2) accessing the website specified on your proxy card or (3) marking, signing, dating and promptly returning the enclosed proxy card in the postage-paid envelope provided. Whether or not you plan to attend the MITT special meeting, we urge you to vote in advance of the MITT special meeting by one of the methods described above. Any MITT stockholder of record attending the MITT special meeting may vote at the MITT special meeting even if such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 previously submitted a proxy. If your shares of MITT Common Stock are held by a broker, bank or other nominee, please follow the instructions from your broker, bank or other nominee to have your shares voted.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Please note that if you hold shares of MITT Common Stock in different accounts, it is important that you vote or authorize a proxy to vote the shares of MITT Common Stock represented by each account.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attend the MITT special meeting, you may revoke your proxy and vote in person at the MITT special meeting, even if you have previously returned your proxy card or authorized, through the Internet or by telephone, a proxy to vote your shares of MITT Common Stock. Attendance alone will not revoke a previously authorized proxy. Please carefully review the instructions in this joint proxy statement/prospectus and the enclosed proxy card or the information forwarded by your broker, bank or other nominee regarding each of these options.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in person or by proxy of the holders of shares of MITT Common Stock entitled to cast a majority of all the votes entitled to be cast at the MITT special meeting will constitute a quorum. Abstentions will be included in the calculation of the number of shares considered to be present at the MITT special meeting for purposes of determining the presence of a quorum at the MITT special meeting. As of the close of business on October 2, 2026, the MITT Record Date for the MITT special meeting, there were 31,803,475 shares of MITT Common Stock outstanding.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Common Stock Issuance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Common Stock Issuance Proposal must be approved by the affirmative vote of a majority of the votes cast at the MITT special meeting. The approval of the MITT Common Stock Issuance Proposal is a condition to the completion of the Mergers under the Merger Agreement. If MITT stockholders do not approve the MITT Common Stock Issuance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Adjournment Proposal must be approved by the affirmative vote of a majority of the votes cast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MITT special meeting?</w:t>
      </w:r>
    </w:p>
    <w:p>
      <w:pPr>
        <w:pStyle w:val="TextBody"/>
        <w:bidi w:val="0"/>
        <w:spacing w:lineRule="auto" w:line="288" w:before="0" w:after="180"/>
        <w:jc w:val="both"/>
        <w:rPr/>
      </w:pPr>
      <w:r>
        <w:rPr>
          <w:rFonts w:ascii="Times New Roman;serif" w:hAnsi="Times New Roman;serif"/>
          <w:b w:val="false"/>
          <w:color w:val="000000"/>
          <w:sz w:val="20"/>
        </w:rPr>
        <w:t>A:    For the MITT Common Stock Issuance Proposal and the MITT Adjournment Proposal, you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If you do not return your proxy card or otherwise authorize a proxy to vote your shares or attend the meeting, your shares of MITT Common Stock will not be considered present for the purpose of determining the presence of a quorum and will otherwise have no effect on the MITT Common Stock Issuance Proposal or the MITT Adjournment Proposal. Pursuant to Maryland law, abstentions are counted as present for purposes of determining the presence of a quorum. Abstentions and broker non-votes, as applicable, will have no effect on the outcome of the MITT Common Stock Issuance Proposal or the MITT Adjournment Proposal, as they will not be considered as votes cast. 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banks, brokers and other nominees that hold their customers’ shares in street name may not vote their customers’ shares on “non-routine” matters without instructions from their customers. As each of the proposals to be voted upon at the MITT special meeting is considered “non-routine,” such organizations do not have discretion to vote on any of the proposals. As a result, if you fail to provide your broker, bank or other nominee with any instructions regarding how to vote your shares of MITT Common Stock, your shares of MITT Common Stock will not be considered present at the MITT special meeting and will not be voted on any of the proposals.</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fixed the close of business on October 2, 2026, as the MITT Record Date. Accordingly, only MITT common stockholders at the close of business on the MITT Record Date are entitled to notice of, and to vote their shares of MITT Common Stock at, the MITT special meeting and any adjournment or postponement thereof. The MITT Preferred Stock is not entitled to vote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MITT be required to submit the MITT Common Stock Issuance Proposal to the MITT stockholders even if the MITT Board has withdrawn, modified or qualified its recommendation?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Unless the Merger Agreement is terminated before the MITT special meeting, MITT is required to submit the MITT Common Stock Issuance Proposal to its stockholders even if the MITT Board has withdrawn, modified or qualified its recommendation that MITT stockholders approve the MITT Common Stock Issuance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MITT’s stockholders be affected by the Company Merger and MITT Common Stock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After the Closing, each MITT common stockholder will continue to own the shares of MITT Common Stock that such stockholder held immediately prior to the Closing. As a result, each MITT common stockholder will continue to own MITT Common Stock in the Combined Company, which will be a larger company with more assets and liabilities. However, because MITT will be issuing new shares of MITT Common Stock in the Company Merger, each outstanding share of MITT Common Stock immediately prior to the Closing will represent a smaller percentage of the aggregate number of shares of MITT Common Stock outstanding after the Closing.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the MITT directors and executive officers and MITT Manager have any interests in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 Combined Company will continue to be managed by MITT Manager under the terms of the MITT Management Agreement, as amended by the MITT Management Agreement Amendment. Under the MITT Management Agreement, MITT Manager is responsible for managing MITT’s affairs and to supply MITT’s executive officers, all of whom are employees of MITT Manager or an affiliate of MITT Manager, do not receive cash compensation from MITT. In exchange for its management services, MITT pays MITT Manager a management fee and reimburses it for certain expenses incurred by it and its affiliates in rendering management services to MITT. All non-independent directors and executive officers of MITT are employees of MITT Manager or its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as amended by the MITT Management Agreement Amendment, MITT pays MITT Manager (i) a management fee calculated and payable quarterly in arrears in an amount equal to 1.5% of MITT’s stockholders’ equity, per annum (as defined in the MITT Management Agreement) and, as amended by the MITT Management Agreement Amendment, (ii) an incentive fee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will be payable to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CHMI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CHMI special meeting will be held virtually on December 2, 2026, at 9:00 a.m., Eastern Time. You will not be able to attend the CHMI special meeting in person.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At the CHMI special meeting, CHMI common stockholders will be asked to consider and vote on the following proposals: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transact no other business at the CHMI special meeting or any postponements or adjournments thereof.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CHMI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CHMI Board has unanimously (i) determined that the Merger Agreement and the transactions contemplated thereby, including the Company Merger, are advisable, fair to and in the best interests of CHMI and CHMI’s stockholders, (ii) adopted the Merger Agreement and approved the transactions contemplated thereby, including the Company Merger, (iii) directed that the Merger Agreement and the Company Merger be submitted for consideration at the CHMI special meeting, and (iv) resolved to recommend that the CHMI stockholders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stockholders vote “FOR” the CHMI Merger Proposal, “FOR” the CHMI Compensation Proposal and “FOR”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information on the recommendation of the CHMI Board is included in this joint proxy statement/prospectus under the heading “The Mergers—Recommendation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will be able to virtually attend the CHMI special meeting, as well as vote and submit questions during the CHMI special meeting, by visiting www.meetnow.global/MS2Z2F5 on December 2, 2026. If you are a CHMI stockholder of record, to virtually attend and vote at the CHMI special meeting, you will need the control number and password included with your proxy materials. If you are a CHMI stockholder of record, you do not need to pre-register with Computershare Trust Company, N.A., which we refer to as “Computershare,” to attend and vote at the CHMI special meeting.</w:t>
      </w:r>
    </w:p>
    <w:p>
      <w:pPr>
        <w:pStyle w:val="TextBody"/>
        <w:bidi w:val="0"/>
        <w:spacing w:lineRule="auto" w:line="288" w:before="0" w:after="180"/>
        <w:jc w:val="both"/>
        <w:rPr/>
      </w:pPr>
      <w:r>
        <w:rPr>
          <w:rFonts w:ascii="Times New Roman;serif" w:hAnsi="Times New Roman;serif"/>
          <w:b w:val="false"/>
          <w:color w:val="000000"/>
          <w:sz w:val="20"/>
        </w:rPr>
        <w:t>If you hold your shares of CHMI Common Stock in “street name” (</w:t>
      </w:r>
      <w:r>
        <w:rPr>
          <w:rFonts w:ascii="Times New Roman;serif" w:hAnsi="Times New Roman;serif"/>
          <w:b w:val="false"/>
          <w:i/>
          <w:color w:val="000000"/>
          <w:sz w:val="20"/>
        </w:rPr>
        <w:t>i.e.</w:t>
      </w:r>
      <w:r>
        <w:rPr>
          <w:rFonts w:ascii="Times New Roman;serif" w:hAnsi="Times New Roman;serif"/>
          <w:b w:val="false"/>
          <w:color w:val="000000"/>
          <w:sz w:val="20"/>
        </w:rPr>
        <w:t xml:space="preserve">, you hold your shares of CHMI Common Stock beneficially through a broker, bank or other nominee), you should follow the voting instructions provided by your broker, bank or other nominee in order to vote by proxy. Please note that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in “street name” and wish to vote virtually at the CHMI special meeting, you must register in advance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jc w:val="both"/>
        <w:rPr/>
      </w:pPr>
      <w:r>
        <w:rPr>
          <w:rFonts w:ascii="Times New Roman;serif" w:hAnsi="Times New Roman;serif"/>
          <w:b w:val="false"/>
          <w:color w:val="000000"/>
          <w:sz w:val="20"/>
        </w:rPr>
        <w:t xml:space="preserve">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w:t>
      </w:r>
      <w:r>
        <w:rPr>
          <w:rFonts w:ascii="Times New Roman;serif" w:hAnsi="Times New Roman;serif"/>
          <w:b/>
          <w:color w:val="000000"/>
          <w:sz w:val="20"/>
        </w:rPr>
        <w:t>legalproxy@computershare.com</w:t>
      </w:r>
      <w:r>
        <w:rPr>
          <w:rFonts w:ascii="Times New Roman;serif" w:hAnsi="Times New Roman;serif"/>
          <w:b w:val="false"/>
          <w:color w:val="000000"/>
          <w:sz w:val="20"/>
        </w:rPr>
        <w:t xml:space="preserve">;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telephone,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virtually attending the CHMI special meeting, see “The CHMI Special Meeting—Attendance at the Virtual CHMI Special Meeting” beginning on page 68.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a CHMI stockholder of record as of the CHMI Record Date, you can vote using the following methods: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t>
      </w:r>
      <w:r>
        <w:rPr>
          <w:rFonts w:ascii="Times New Roman;serif" w:hAnsi="Times New Roman;serif"/>
          <w:b w:val="false"/>
          <w:i/>
          <w:color w:val="000000"/>
          <w:sz w:val="20"/>
        </w:rPr>
        <w:t>www.envisionreports.com/CHMI</w:t>
      </w:r>
      <w:r>
        <w:rPr>
          <w:color w:val="000000"/>
        </w:rPr>
        <w:t xml:space="preserve"> </w:t>
      </w:r>
      <w:r>
        <w:rPr>
          <w:rFonts w:ascii="Times New Roman;serif" w:hAnsi="Times New Roman;serif"/>
          <w:b w:val="false"/>
          <w:color w:val="000000"/>
          <w:sz w:val="20"/>
        </w:rPr>
        <w:t xml:space="preserve">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December 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shares of CHMI Common Stock in “street name” through a broker, bank or other nominee, you should follow the voting instructions provided by your broker, bank or other nominee in order to vote by proxy. Please note that if you hold shares of CHMI Common Stock in “street name” and wish to vote virtually at the CHMI special meeting, you must obtain a legal proxy from your broker, bank or other nominee.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voting procedures for the CHMI special meeting, see “The CHMI Special Meeting—Record Date; Voting Rights; Proxies” beginning on page 66.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may change your vote or revoke your proxy at any time before the vote is taken at the CHMI special meeting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uto" w:line="288" w:before="0" w:after="180"/>
        <w:jc w:val="both"/>
        <w:rPr/>
      </w:pPr>
      <w:r>
        <w:rPr>
          <w:rFonts w:ascii="Times New Roman;serif" w:hAnsi="Times New Roman;serif"/>
          <w:b/>
          <w:color w:val="000000"/>
          <w:sz w:val="20"/>
        </w:rPr>
        <w:t>Q:    What vote is required for CHMI stockholders to approve the CHMI Merger</w:t>
      </w:r>
      <w:r>
        <w:rPr>
          <w:color w:val="000000"/>
        </w:rPr>
        <w:t> </w:t>
      </w:r>
      <w:r>
        <w:rPr>
          <w:rFonts w:ascii="Times New Roman;serif" w:hAnsi="Times New Roman;serif"/>
          <w:b/>
          <w:color w:val="000000"/>
          <w:sz w:val="20"/>
        </w:rPr>
        <w:t>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CHMI special meeting?</w:t>
      </w:r>
    </w:p>
    <w:p>
      <w:pPr>
        <w:pStyle w:val="TextBody"/>
        <w:bidi w:val="0"/>
        <w:spacing w:lineRule="auto" w:line="288" w:before="0" w:after="180"/>
        <w:jc w:val="both"/>
        <w:rPr/>
      </w:pPr>
      <w:r>
        <w:rPr>
          <w:rFonts w:ascii="Times New Roman;serif" w:hAnsi="Times New Roman;serif"/>
          <w:b w:val="false"/>
          <w:color w:val="000000"/>
          <w:sz w:val="20"/>
        </w:rPr>
        <w:t>A:     For the CHMI Merger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xml:space="preserve">.” For purposes of the CHMI Merger Proposal, assuming a quorum is present, abstentions from voting, the failure to give voting instructions to your broker, bank or other nominee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both"/>
        <w:rPr/>
      </w:pPr>
      <w:r>
        <w:rPr>
          <w:rFonts w:ascii="Times New Roman;serif" w:hAnsi="Times New Roman;serif"/>
          <w:b w:val="false"/>
          <w:color w:val="000000"/>
          <w:sz w:val="20"/>
        </w:rPr>
        <w:t>For the CHMI Compensation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pPr>
      <w:r>
        <w:rPr>
          <w:rFonts w:ascii="Times New Roman;serif" w:hAnsi="Times New Roman;serif"/>
          <w:b w:val="false"/>
          <w:color w:val="000000"/>
          <w:sz w:val="20"/>
        </w:rPr>
        <w:t>For the CHMI Adjournment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both"/>
        <w:rPr/>
      </w:pPr>
      <w:r>
        <w:rPr>
          <w:rFonts w:ascii="Times New Roman;serif" w:hAnsi="Times New Roman;serif"/>
          <w:b w:val="false"/>
          <w:color w:val="000000"/>
          <w:sz w:val="20"/>
        </w:rPr>
        <w:t>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stockholders be affected by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terms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Common Stock issued and outstanding immediately prior to the Company Merger Effective Time (excluding any Canceled Shares) will be converted into the right to receive (i) from MITT, 0.3063 shares of MITT Common Stock and $0.41 per share in cash and (ii) from MITT Manager, acting solely on its own behalf, as additional consideration, $0.52 per share in cash;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A Preferred Stock issued and outstanding immediately prior to the Company Merger Effective Time (excluding any Canceled Shares) will be converted into the right to receive one share of MITT Series D Preferred Stock; and</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B Preferred Stock issued and outstanding immediately prior to the Company Merger Effective Time (excluding any Canceled Shares) will be converted into the right to receive one share of MITT Series 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Company Merger, former holders of CHMI Common Stock, including holders of CHMI Equity Awards that are vesting and settling in, or being converted into, CHMI Common Stock under the Merger Agreement prior to the Company Merger, are anticipated to own approximately 27% of the outstanding shares of common stock of the Combined Company, and holders of MITT Common Stock immediately prior to the Company Merger Effective Time will own approximately 73% of the outstanding shares of common stock of the Combined Company.</w:t>
      </w:r>
    </w:p>
    <w:p>
      <w:pPr>
        <w:pStyle w:val="TextBody"/>
        <w:bidi w:val="0"/>
        <w:spacing w:lineRule="auto" w:line="288" w:before="0" w:after="180"/>
        <w:jc w:val="both"/>
        <w:rPr/>
      </w:pPr>
      <w:r>
        <w:rPr>
          <w:rFonts w:ascii="Times New Roman;serif" w:hAnsi="Times New Roman;serif"/>
          <w:b/>
          <w:color w:val="000000"/>
          <w:sz w:val="20"/>
        </w:rPr>
        <w:t>Q:</w:t>
      </w:r>
      <w:r>
        <w:rPr>
          <w:color w:val="000000"/>
        </w:rPr>
        <w:t>    </w:t>
      </w:r>
      <w:r>
        <w:rPr>
          <w:rFonts w:ascii="Times New Roman;serif" w:hAnsi="Times New Roman;serif"/>
          <w:b/>
          <w:color w:val="000000"/>
          <w:sz w:val="20"/>
        </w:rPr>
        <w:t>Why are CHMI stockholders being asked to cast an advisory (non-binding) vote to approve “golden parachute compensation” that may be paid or become payable to CHMI’s named executive officers that is based on or otherwise relates to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SEC rules, CHMI is required to seek a non-binding, advisory vote with respect to the compensation that may be paid or become payable to CHMI’s named executive officers that is based on, or otherwise relates to, the Mergers.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CHMI stockholders do not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Because the vote on the CHMI Compensation Proposal is advisory in nature only, it will not be binding upon CHMI or MITT. Accordingly, if the CHMI Merger Proposal is approved and the Mergers are completed, the merger-related compensation will be payable, subject only to the conditions applicable thereto, regardless of the outcome of the vote on the CHMI Compensation Proposal. The vote on the CHMI Compensation Proposal is separate and apart from the votes to approve the other proposals being presented at the CHMI special meeting and is not a condition to the completion of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any of CHMI’s directors or executive officers have interests in the Mergers that may differ from or be in addition to the interests of CHMI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In considering the recommendation of the CHMI Board with respect to the approval of the CHMI Merger Proposal, you should be aware that CHMI’s directors and executive officers have interests in the Mergers that may be different from, or in addition to, the interests of CHMI stockholders generally. The CHMI Board was aware of and considered these interests to the extent such interests existed at the time, among other matters, in evaluating the Merger Agreement, in approving the Merger Agreement and the Mergers and in recommending that the Merger Agreement and the Company Merger be approved by the stockholders of CHMI. For more information, see the section of this joint proxy statement/prospectus titled “The Mergers—Interests of CHMI’s Directors and Executive Officers in the Mergers” for a more detailed discussion of these interests.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Equity Awards be treated in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be net settled in shares of CHMI Common Stock immediately prior to the Company Merger Effective Time, </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taking into account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whether vested or unvested,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effect will the Partnership Merger have on the CHOP Common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provides that, upon the terms and subject to the conditions set forth therein, immediately prior to the Company Merger, CHOP, CHMI’s operating partnership, will merge with and into CHMI, with CHMI surviving as the surviving corporation of the Partnership Merger. At the Partnership Merger Effective Time, each CHOP common unit of limited partnership interest, which we refer to as “CHOP Common Unit,”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Have any holders of CHMI Common Stock already agreed to vote in favor of the proposals?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CHMI’s knowledge, no holder of CHMI Common Stock other than AG MIT, LLC, a subsidiary of MITT, which we refer to as “AG MIT” or the “Voting Party,” has entered into any agreement to vote any of their shares of CHMI Common Stock either in favor or against any proposal at the CHMI special meeting. </w:t>
      </w:r>
    </w:p>
    <w:p>
      <w:pPr>
        <w:pStyle w:val="TextBody"/>
        <w:bidi w:val="0"/>
        <w:spacing w:lineRule="auto" w:line="288" w:before="0" w:after="180"/>
        <w:jc w:val="both"/>
        <w:rPr/>
      </w:pPr>
      <w:r>
        <w:rPr>
          <w:rFonts w:ascii="Times New Roman;serif" w:hAnsi="Times New Roman;serif"/>
          <w:b w:val="false"/>
          <w:color w:val="000000"/>
          <w:sz w:val="20"/>
        </w:rPr>
        <w:t>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the CHMI Record Date, AG MIT owned an aggregate of 734,800 shares of CHMI Common Stock.</w:t>
      </w:r>
      <w:r>
        <w:rPr>
          <w:color w:val="000000"/>
        </w:rPr>
        <w:t xml:space="preserve"> </w:t>
      </w:r>
      <w:r>
        <w:rPr>
          <w:rFonts w:ascii="Times New Roman;serif" w:hAnsi="Times New Roman;serif"/>
          <w:b w:val="false"/>
          <w:color w:val="000000"/>
          <w:sz w:val="20"/>
        </w:rPr>
        <w:t>For additional information, see “The Mergers—Voting Agreement” beginning on page 123.</w:t>
      </w:r>
      <w:r>
        <w:rPr>
          <w:color w:val="000000"/>
        </w:rPr>
        <w:t xml:space="preserv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and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sell my stock before the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record date for each company’s special meeting is earlier than the date of each company’s special meeting and the date that the Company Merger is expected to be completed. If you sell your stock after your company’s record date but before the date of your company’s special meeting, you will retain any right to vote at your company’s special meeting, but, for CHMI stockholders, you will have transferred your right to receive the Common Stock Merger Consideration. For CHMI stockholders, in order to receive the Common Stock Merger Consideration, you must hold your shares of CHMI Common Stock through the Company Merger Effective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is the difference between a stockholder of record and a beneficial owner?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If your shares of MITT Common Stock or CHMI Common Stock are registered directly in your name with MITT’s or CHMI’s transfer agent, respectively, you are considered the stockholder of record with respect to those shares. If your shares of MITT Common Stock or CHMI Common Stock are held in a stock brokerage account, or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a bank or other nominee, you are considered the beneficial owner of shares held in “street name.” As the beneficial owner, you have the right to direct your broker, bank or other nominee on how to vote the shares that you beneficially own and you are also invited to attend the applicable special meeting. However, beneficial owners generally cannot vote their shares directly because they are not the stockholder of record; instead, beneficial owners must instruct their broker, bank or other nominee how to vote their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am both a MITT stockholder and a CHMI stockholder?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both a MITT stockholder and a CHMI stockholder on the applicable company’s record date, you are entitled to vote at the special meeting of each company. You will receive separate proxy cards for each company and must complete, sign and date each proxy card and return each proxy card in the appropriate preaddressed postage-paid envelope or, if available, by authorizing a proxy to vote your shares by one of the other methods specified in your proxy card or voting instruction card for each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If I am a beneficial owner of MITT or CHMI shares, will my broker, bank or other nominee vote my shares for 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No. If you hold your shares in a stock brokerage account or if your shares are held by a bank or other nominee (that is, in “street name”), you must provide your broker, bank or other nominee with instructions on how to vote your shares. Unless you instruct your broker, bank or other nominee to vote your shares held in street name, your shares will NOT be voted. You should follow the procedures provided by your bank, broker or nominee regarding the voting of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is the Company Merger expected to be consummated?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expected to close in the fourth quarter of 2026, although MITT and CHMI cannot assure completion by any particular date, if at all. Because the Company Merger is subject to a number of conditions, including the approval of the MITT Common Stock Issuance Proposal by the requisite vote of the MITT common stockholders and the approval of the CHMI Merger Proposal by the requisite vote of the CHMI common stockholders and receipt of the Required Regulatory Approvals, subject to the terms and conditions of the Merger Agreement, the exact timing of the Company Merger cannot be determined at this time and MITT and CHMI cannot guarantee that the Company Merger will be completed at all.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Mergers are not completed?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the MITT Common Stock Issuance Proposal is not approved by MITT common stockholders or the CHMI Merger Proposal is not approved by CHMI common stockholders, or if the Mergers are not completed for any other reason, CHMI common stockholders will not have their CHMI Common Stock converted into the right to receive the Common Stock Merger Consideration and holders of CHMI Series A Preferred Stock and CHMI Series B Preferred Stock will not have such CHMI Preferred Stock converted into the right to receive MITT Series D Preferred Stock and MITT Series E Preferred Stock, respectively. Instead, CHMI and MITT would remain separate companies. Under certain circumstances, MITT or CHMI, as applicable, may be required to pay the other party a termination fee. The termination fees are described under “The Merger Agreement—Termination Fees and Expenses” beginning on page 149.</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Am I entitled to exercise appraisal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the Combined Company have the same business strategy as CHMI following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While CHMI’s current business strategy focused on acquiring Agency RMBS and MSRs is complementary to MITT’s current business strategy, the Combined Company will follow MITT’s current business strategy, which is focused on acquiring and securitizing non-agency residential loans.</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MITT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MITT and its subsidiaries, from the date of the Merger Agreement until the earlier of the Company Merger Effective Time and the termination of the Merger Agreement, to continue to pay: (i) quarterly dividends payable in respect of the MITT Common Stock at a rate not to exceed $0.24 per share of MITT Common Stock; (ii) regular quarterly dividends payable in respect of the MITT Preferred Stock as required by their terms and consistent with past practice; (iii) any dividends or other distributions to MITT by any directly or indirectly wholly owned subsidiary of MITT; (iv) without duplication of the amounts described in clauses (i) through (iii), any dividends or other distributions necessary for MITT or any MITT subsidiary (as applicable) to maintain their status as REITs under the Code and avoid the imposition of corporate level income or excise tax (including the Minimum Distribution Dividend) or required under the organizational documents of MITT or any of its subsidiaries, as applicable; or (v) any additional dividends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CHMI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CHMI and its subsidiaries, from the date of the Merger Agreement until the earlier of the Company Merger Effective Time and the termination of the Merger Agreement, to continue to pay: (i) regular quarterly dividends payable in respect of the CHMI Common Stock consistent with past practice and in amounts that do not exceed $0.10 per share of CHMI Common Stock; (ii) regular quarterly dividends payable in respect of (x) the CHMI Preferred Stock as required by their terms and consistent with past practice and (y) the issued and outstanding preferred stock of CHMI Sub-REIT as required by their terms and consistent with past practice; (iii) dividends or other distributions to CHMI by any directly or indirectly wholly owned subsidiary of CHMI; (iv) without duplication of the amounts described in clauses (i) through (iii), any dividends or other distributions necessary for CHMI or any of its subsidiaries (as applicable) to maintain their status as REITs under the Code and avoid the imposition of corporate level income or excise tax (including the Minimum Distribution Dividend) or required under the organizational documents of CHMI or any of its subsidiaries, as applicable; or (v) any dividend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additional dividends are MITT and CHMI permitted to pay?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Merger Agreement, prior to the Company Merger Effective Time, each of CHMI and MITT may authorize and declare an interim stub dividend to its stockholders. The record date for any such dividend of MITT or CHMI will be three business days before the payment date. Any per share dividend amount payable by MITT with respect to shares of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MITT payable with respect to shares of MITT Common Stock shall not be earlier than the close of business on the last Business Day prior to the Closing Date (but in MITT’s discretion may be after the Closing Date to MITT’s stockholders of record determined in accordance with the Merger Agreement), subject to funds being legally available therefor. Any per share dividend amount payable by CHMI with respect to shares of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CHMI payable with respect to shares of CHMI Common Stock shall be the close of business on the last business day prior to the Closing Date or such other date as MITT and CHMI may agree, subject to funds being legally available therefor.</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my dividend payments continue after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Following completion of the Mergers, holders of MITT Common Stock will be entitled to receive dividends or other distributions when, as and if authorized by the MITT Board and declared by MITT out of funds legally available therefor.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risks associated with the Mergers that I should consider in deciding how to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There are a number of risks related to the Mergers that are discussed in this joint proxy statement/prospectus described in the section entitled “Risk Factors” beginning on page 41.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material U.S. federal income tax consequences of the Mergers to CHMI stockholders and MITT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intended to qualify as a reorganization within the meaning of Section 368(a) of the Code, and the Closing of the Company Merger is conditioned on the receipt by each of CHMI and MITT of an opinion from its respective tax counsel to that effect. Provided the Company Merger qualifies as a reorganization within the meaning of Section 368(a) of the Code, U.S. holders (as defined in “U.S. Federal Income Tax Considerations”) of shares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 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 The tax consequences to you of the Company Merger will depend on your own particular circumstances. You should consult your tax advisor for a full understanding of the tax consequences to you (including the application and effect of any state, local or non-U.S. income and other tax laws) of the Company Merger. For a more detailed summary of the U.S. federal income tax consequences of the Company Merger, see “U.S. Federal Income Tax Considerations—U.S. Federal Income Tax Consequences of the Company Merger” beginning on page 155.</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obtain additional information about MITT and CHMI?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MITT and CHMI each file annual, quarterly and current reports, proxy statements and other information with the SEC. Each company’s filings with the SEC may be accessed on the Internet at www.sec.gov.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Copies of the documents filed by MITT with the SEC are available free of charge on MITT’s website at www.mitt.tpg.com or by contacting MITT Investor Relations at (212) 692-2110; or email: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Copies of the documents filed by CHMI with the SEC are available free of charge on CHMI’s website at www.chmireit.com or by contacting CHMI’s Investor Relations at (877) 870-7005; or email: InvestorRelations@CHMIreit.com.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provided on each company’s website is not part of this joint proxy statement/prospectus and is not incorporated by reference into this joint proxy statement/prospectus.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Where can I find the voting results of the MITT and CHMI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Within four business days following certification of the final voting results, MITT and CHMI will each file the final voting results with the SEC on a Current Report on Form 8-K.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else do I need to do now?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You are urged to read this joint proxy statement/prospectus carefully and in its entirety, including its annexes and the information incorporated by reference in this joint proxy statement/prospectus, and to consider how the Mergers affect you. Even if you plan to attend your company’s special meeting, please authorize a proxy to vote your shares via the Internet, telephone or by completing, signing, dating and returning the enclosed proxy card. You can also attend your company’s special meeting and vote or change your prior proxy authorization. If you hold your shares in “street name” through a broker, bank or other nominee, then you should have received this joint proxy statement/prospectus from that nominee, along with that nominee’s voting instructions and instructions on how to change your vote.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a proxy solicitor be used?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has engaged D.F. King &amp; Co., Inc., which we refer to as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connection with the proxy solicitation and to indemnify D.F. King against certain losses, costs and expenses. In addition to mailing proxy solicitation materials, proxies may be solicited from MITT stockholders by the directors, officers and employees of MITT and MITT Manager by telephone or by any other appropriate means of communications. No additional compensation, except for reimbursement of reasonable out-of-pocket expenses, will be paid to the directors, officers and employees of MITT or MITT Manager in connection with such solicitation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engaged Georgeson LLC, which we refer to as “Georgeson,” as proxy solicitor to assist in the solicitation of proxies for the CHMI special meeting. CHMI estimates it will pay Georgeson a fee of approximately $55,000 plus disbursements for these services.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can answer my questions?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have any questions about the Mergers or the other matters to be voted on at the MITT special meeting or the CHMI special meeting, how to submit your proxy or need additional copies of this joint proxy statement/prospectus, the enclosed proxy card or voting instructions, you should contact:</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tbl>
      <w:tblPr>
        <w:tblW w:w="6026" w:type="dxa"/>
        <w:jc w:val="left"/>
        <w:tblInd w:w="0" w:type="dxa"/>
        <w:tblLayout w:type="fixed"/>
        <w:tblCellMar>
          <w:top w:w="28" w:type="dxa"/>
          <w:left w:w="28" w:type="dxa"/>
          <w:bottom w:w="28" w:type="dxa"/>
          <w:right w:w="28" w:type="dxa"/>
        </w:tblCellMar>
      </w:tblPr>
      <w:tblGrid>
        <w:gridCol w:w="999"/>
        <w:gridCol w:w="879"/>
        <w:gridCol w:w="882"/>
        <w:gridCol w:w="109"/>
        <w:gridCol w:w="109"/>
        <w:gridCol w:w="109"/>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If you are a CHMI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bdr w:val="single" w:sz="8" w:space="18" w:color="000000"/>
        </w:rPr>
      </w:pPr>
      <w:bookmarkStart w:id="2" w:name="i65e88652d8d34086bc96e7223089e32a"/>
      <w:bookmarkEnd w:id="2"/>
      <w:r>
        <w:rPr>
          <w:rFonts w:ascii="Times New Roman;serif" w:hAnsi="Times New Roman;serif"/>
          <w:b/>
          <w:color w:val="000000"/>
          <w:sz w:val="20"/>
          <w:bdr w:val="single" w:sz="8" w:space="18" w:color="000000"/>
        </w:rPr>
        <w:t>SUMMARY</w:t>
      </w:r>
    </w:p>
    <w:p>
      <w:pPr>
        <w:pStyle w:val="TextBody"/>
        <w:bidi w:val="0"/>
        <w:spacing w:lineRule="auto" w:line="288" w:before="0" w:after="180"/>
        <w:jc w:val="both"/>
        <w:rPr>
          <w:rFonts w:ascii="Times New Roman;serif" w:hAnsi="Times New Roman;serif"/>
          <w:b w:val="false"/>
          <w:i/>
          <w:color w:val="000000"/>
          <w:sz w:val="20"/>
          <w:bdr w:val="single" w:sz="8" w:space="18" w:color="000000"/>
        </w:rPr>
      </w:pPr>
      <w:r>
        <w:rPr>
          <w:rFonts w:ascii="Times New Roman;serif" w:hAnsi="Times New Roman;serif"/>
          <w:b w:val="false"/>
          <w:i/>
          <w:color w:val="000000"/>
          <w:sz w:val="20"/>
          <w:bdr w:val="single" w:sz="8" w:space="18" w:color="000000"/>
        </w:rPr>
        <w:t>The following summary highlights selected information in this joint proxy statement/prospectus and may not contain all the information that may be important to you with respect to the Merger Agreement, the Mergers, the MITT special meeting or the CHMI special meeting. Accordingly, you are encouraged to read this joint proxy statement/prospectus, including its annexes and the information incorporated by reference in this joint proxy statement/prospectus, carefully and in its entirety. Each item in this summary includes a page reference directing you to a more complete description of that topic. See also “Where You Can Find More Information and Incorporation by Reference” on page 215.</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3" w:name="i280b892a86b24d78980c113c4ce98e19"/>
      <w:bookmarkEnd w:id="3"/>
      <w:r>
        <w:rPr>
          <w:rFonts w:ascii="Times New Roman;serif" w:hAnsi="Times New Roman;serif"/>
          <w:b/>
          <w:color w:val="000000"/>
          <w:sz w:val="20"/>
          <w:bdr w:val="single" w:sz="8" w:space="18" w:color="000000"/>
        </w:rPr>
        <w:t>The Companies (page 56)</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245 Park Avenue</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LLC, which we refer to as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 types,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88" w:before="0" w:after="180"/>
        <w:jc w:val="both"/>
        <w:rPr>
          <w:rFonts w:ascii="Times New Roman;serif" w:hAnsi="Times New Roman;serif"/>
          <w:b w:val="false"/>
          <w:color w:val="000000"/>
          <w:sz w:val="20"/>
          <w:u w:val="single"/>
          <w:bdr w:val="single" w:sz="8" w:space="18" w:color="000000"/>
        </w:rPr>
      </w:pPr>
      <w:r>
        <w:rPr>
          <w:rFonts w:ascii="Times New Roman;serif" w:hAnsi="Times New Roman;serif"/>
          <w:b w:val="false"/>
          <w:color w:val="000000"/>
          <w:sz w:val="20"/>
          <w:u w:val="single"/>
          <w:bdr w:val="single" w:sz="8" w:space="18" w:color="000000"/>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U.S. Government-sponsored enterprise, which we refer to as “GSEs.” Non-Agency Loans consist of Qualified mortgage loans, which we refer to as “QM Loans,” and Non-Qualified mortgage loans, which we refer to as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Home Equity Loans: Home Equity Loans consist of revolving lines of credit and closed-end loans secured primarily by second liens on residential mortgaged properties. These products provide borrowers with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Residential Mortgage-Backed Securities: Non-Agency Residential Mortgage-Backed Securities, which we refer to as “RMBS,” represent fixed- and floating-rate RMBS issued by entities other than GSEs or agencies of the U.S. government. Non-Agency RMBS are primarily secured by Non-QM, Agency-Eligible, Home Equity, and Prime Jumbo Loans.</w:t>
      </w:r>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u w:val="single"/>
          <w:bdr w:val="single" w:sz="8" w:space="18" w:color="000000"/>
        </w:rPr>
        <w:t>Agency RMBS</w:t>
      </w:r>
      <w:r>
        <w:rPr>
          <w:color w:val="000000"/>
          <w:bdr w:val="single" w:sz="8" w:space="18" w:color="000000"/>
        </w:rPr>
        <w:t xml:space="preserv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is externally managed by MITT Manager, an affiliate of TPG (NASDAQ: TPG), a leading global alternative asset management firm.</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taxable REIT subsidiaries, which we refer to as a “TRS,” to engage in such activities, and MITT may form additional TRSs in the future. MITT also operates its business in a manner that will permit it to maintain its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principal executive offices are located at 245 Park Avenue, 26th Floor, New York, New York 10167 and its telephone number is (212) 692-2000. MITT’s website is www.mitt.tpg.com.</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MIT Merger Sub II, LLC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 Merger Sub II, LLC, which we refer to as “Merger Sub,” is a Delaware limited liability company and wholly owned subsidiary of MITT that was formed on August 6, 2026, solely for the purpose of effecting the Company Merger. Upon Closing, CHMI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Merger Sub’s principal executive offices are located at c/o TPG Mortgage Investment Trust, Inc., 245 Park Avenue, 26th Floor, New York, New York 10167, and its telephone number is (212) 692-2000.</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Mortgage Investment Corporation</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through its operating partnership, Cherry Hill Operating Partnership, LP, which we refer to as “CHOP,” and its subsidiaries, including CHMI Sub-REIT, Inc., which we refer to as “CHMI Sub-REIT,” CHMI Solutions, Inc., which we refer to as “CHMI Solutions,” which is CHMI’s taxable REIT subsidiary and a wholly owned subsidiary of CHMI Sub-REIT, and Aurora Financial Group, Inc., which we refer to as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residential mortgage-backed securities, which we refer to as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omortgage servicing rights, which we refer to as “MSRs,”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mortgage servicing right, which we refer to as “Excess MSR,” with the basic servicing fee being the amount of compensation for the performance of servicing duties;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Operating Partnership, LP</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Cherry Hill Operating Partnership, LP</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4000 Route 66, Suite 310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Tinton Falls, New Jersey 07753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CHOP, in turn, owns all of the outstanding common stock of CHMI Sub-REIT. CHMI Sub-REIT elected to be taxed as a REIT under the Code commencing with the taxable year ended December 31, 2020. 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Upon completion of the Company Merger, MITT will remain a publicly traded corporation focused on investing in a diversified risk-adjusted portfolio of residential mortgage-related assets in the U.S. mortgage market. The Combined Company is expected to have a pro forma total stockholders’ equity capitalization of approximately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bdr w:val="single" w:sz="8" w:space="18" w:color="000000"/>
        </w:rPr>
        <w:t xml:space="preserve">$740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w:t>
      </w:r>
      <w:r>
        <w:rPr>
          <w:rFonts w:ascii="Times New Roman;serif" w:hAnsi="Times New Roman;serif"/>
          <w:b w:val="false"/>
          <w:i/>
          <w:color w:val="000000"/>
          <w:sz w:val="20"/>
          <w:bdr w:val="single" w:sz="8" w:space="18" w:color="000000"/>
        </w:rPr>
        <w:t>pro forma</w:t>
      </w:r>
      <w:r>
        <w:rPr>
          <w:color w:val="000000"/>
          <w:bdr w:val="single" w:sz="8" w:space="18" w:color="000000"/>
        </w:rPr>
        <w:t xml:space="preserve"> </w:t>
      </w:r>
      <w:r>
        <w:rPr>
          <w:rFonts w:ascii="Times New Roman;serif" w:hAnsi="Times New Roman;serif"/>
          <w:b w:val="false"/>
          <w:color w:val="000000"/>
          <w:sz w:val="20"/>
          <w:bdr w:val="single" w:sz="8" w:space="18" w:color="000000"/>
        </w:rPr>
        <w:t>common equity market capitalization of approximately $259 million based on the $5.97 per share closing price of MITT Common Stock on September 29,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business will continue to be operated through MITT and its subsidiaries, which will include Merger Sub, as the surviving entity in the Company Merger, and subsidiaries of Merger Sub, which were previously subsidiaries of CHMI.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Combined Company’s principal executive offices will remain at MITT’s location at 245 Park Avenue, 26th Floor, New York, New York 10167, and its telephone number will remain (212) 692-2000. The Combined Company’s website will remain www.mitt.tpg.com.</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4" w:name="i26f77369b9554abc9f6619c568426069"/>
      <w:bookmarkEnd w:id="4"/>
      <w:r>
        <w:rPr>
          <w:rFonts w:ascii="Times New Roman;serif" w:hAnsi="Times New Roman;serif"/>
          <w:b/>
          <w:color w:val="000000"/>
          <w:sz w:val="20"/>
          <w:bdr w:val="single" w:sz="8" w:space="18" w:color="000000"/>
        </w:rPr>
        <w:t>The Mergers (page 74)</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5" w:name="i71e5353bd52c4c1d85d9c5353d2b9491"/>
      <w:bookmarkEnd w:id="5"/>
      <w:r>
        <w:rPr>
          <w:rFonts w:ascii="Times New Roman;serif" w:hAnsi="Times New Roman;serif"/>
          <w:b/>
          <w:i/>
          <w:color w:val="000000"/>
          <w:sz w:val="20"/>
          <w:bdr w:val="single" w:sz="8" w:space="18" w:color="000000"/>
        </w:rPr>
        <w:t>The Merger Agreement (page 127)</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CHMI, Merger Sub, CHOP and MITT Manager (solely for the limited purposes set forth in the Merger Agreement) have entered into the Merger Agreement, a copy of which is attached as Annex A to this joint proxy statement/prospectus, which is incorporated by reference in this joint proxy statement/prospectus. MITT and CHMI encourage you to read the Merger Agreement carefully and in its entirety because it is the principal document governing the Mergers and the other transactions contemplated by the Merger Agreement.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6" w:name="i77ee08c319a248f38a13867cb3696dea"/>
      <w:bookmarkEnd w:id="6"/>
      <w:r>
        <w:rPr>
          <w:rFonts w:ascii="Times New Roman;serif" w:hAnsi="Times New Roman;serif"/>
          <w:b/>
          <w:i/>
          <w:color w:val="000000"/>
          <w:sz w:val="20"/>
          <w:bdr w:val="single" w:sz="8" w:space="18" w:color="000000"/>
        </w:rPr>
        <w:t>The Mergers (page 74)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Subject to the terms and conditions of the Merger Agreement, CHOP will merge with and into CHMI with CHMI continuing as the surviving corporation, which we refer to as the Partnership Merger, and immediately following the Partnership Merger, CHMI will merge with and into Merger Sub, with Merger Sub continuing as the Surviving Entity from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Immediately following the Company Merger Effective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held by the MITT common stockholders as of immediately prior to the Company Merger Effective Time are expected to represent in the aggregate approximately 73% of the Combined Company’s outstanding shares of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holders of CHMI Common Stock, including holders of CHMI Equity Awards that are vesting and settling in, or being converted into CHMI Common Stock under the Merger Agreement immediately prior to the Company Merger, are expected to own in the aggregate the remaining approximately 27% of the Combined Company’s outstanding shares of common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exact equity stake of MITT common stockholders and CHMI common stockholders, including former holders of certain CHMI Equity Awards, in the Combined Company immediately following the Closing will depend on the number of shares of MITT Common Stock and CHMI Common Stock issued and outstanding immediately prior to the Company Merger. See “The Merger Agreement—Consideration for the Mergers” beginning on page 128. Once the Company Merger is consummated, the Combined Company will retain the name “TPG Mortgage Investment Trust, Inc.,” will continue to be listed on the NYSE and its common stock will continue to trade under the symbol “MITT.”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7" w:name="i32e300e5716743679ecc6d6314e3b55d"/>
      <w:bookmarkEnd w:id="7"/>
      <w:r>
        <w:rPr>
          <w:rFonts w:ascii="Times New Roman;serif" w:hAnsi="Times New Roman;serif"/>
          <w:b/>
          <w:i/>
          <w:color w:val="000000"/>
          <w:sz w:val="20"/>
          <w:bdr w:val="single" w:sz="8" w:space="18" w:color="000000"/>
        </w:rPr>
        <w:t>Consideration for the Mergers (page 128)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Pursuant to the terms and subject to the conditions of the Merger Agreement, 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and (B) the Per Share MITT Cash Consideration of $0.41 per share in cash, and (2) from MITT Manager, the Per Share Additional Manager Consideration of $0.52 per share in cash. Cash will be paid in lieu of any fractional shares of MITT Common Stock that would have been received as a result of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expects to fund the Per Share MITT Cash Consideration using a combination of cash on hand, disposing of other liquid assets or borrowings available under its existing credit facilities. MITT Manager, an affiliate of TPG Inc., expects to fund the Per Share Additional Manager Consideration using cash on hand. Completion of the Mergers is not conditioned on MITT or MITT Manager obtaining financing.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terms and subject to the conditions of the Merger Agreement, each share of CHMI Series A Preferred Stock issued and outstanding immediately prior to the Company Merger Effective Time will be converted into the right to receive one share of MITT Series D Preferred Stock, and each share of CHMI Series B Preferred Stock issued and outstanding immediately prior to the Company Merger Effective Time will be converted into the right to receive one share of MITT Series E Preferred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8" w:name="i23a996b4ad224836a977f651e5dccd65"/>
      <w:bookmarkEnd w:id="8"/>
      <w:r>
        <w:rPr>
          <w:rFonts w:ascii="Times New Roman;serif" w:hAnsi="Times New Roman;serif"/>
          <w:b/>
          <w:i/>
          <w:color w:val="000000"/>
          <w:sz w:val="20"/>
          <w:bdr w:val="single" w:sz="8" w:space="18" w:color="000000"/>
        </w:rPr>
        <w:t>Recommendation of the MITT Board and Its Reasons for the Company Merger (page 85)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After careful consideration, the MITT Board unanimously (i) determined that the Merger Agreement and the transactions contemplated by the Merger Agreement, including the Company Merger and the MITT Common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Certain factors considered by the MITT Board in reaching its decision to authorize and approve the Merger Agreement and declare advisable the transactions contemplated by the Merger Agreement, including the Company Merger and the MITT Common Stock Issuance, can be found in the section entitled “The Mergers—Recommendation of the MITT Board and Its Reasons for the Company Merger” beginning on page 85. The MITT Board unanimously recommends that the MITT common stockholders vote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9" w:name="i43fd99abd66d4cfca1d3301b0cb733a6"/>
      <w:bookmarkEnd w:id="9"/>
      <w:r>
        <w:rPr>
          <w:rFonts w:ascii="Times New Roman;serif" w:hAnsi="Times New Roman;serif"/>
          <w:b/>
          <w:i/>
          <w:color w:val="000000"/>
          <w:sz w:val="20"/>
          <w:bdr w:val="single" w:sz="8" w:space="18" w:color="000000"/>
        </w:rPr>
        <w:t>Recommendation of the CHMI Board and Its Reasons for the Mergers (page 88)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Certain factors considered by the CHMI Board in reaching its decision to approve the Merger Agreement, the Mergers and the other transactions contemplated by the Merger Agreement can be found in the section entitled “The Mergers – Recommendation of the CHMI Board and Its Reasons for the Mergers” beginning on page 88. The CHMI Board unanimously recommends that the CHMI stockholders vote “FOR” the CHMI Merger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0" w:name="i4679801acc6d4793aaab3fbb487ecd77"/>
      <w:bookmarkEnd w:id="10"/>
      <w:r>
        <w:rPr>
          <w:rFonts w:ascii="Times New Roman;serif" w:hAnsi="Times New Roman;serif"/>
          <w:b/>
          <w:i/>
          <w:color w:val="000000"/>
          <w:sz w:val="20"/>
          <w:bdr w:val="single" w:sz="8" w:space="18" w:color="000000"/>
        </w:rPr>
        <w:t>Summary of Risk Factors Related to the Mergers (page 41)</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 should carefully consider the following important risks, together with all of the other information included in this joint proxy statement/prospectus and the risks related to the Mergers and the related transactions described under the section “Risk Factors” beginning on page 41, before deciding how to vote: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consummate the Company Merger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 Agreement contains provisions that could discourage a potential competing acquirer of CHMI or MITT or could result in any competing acquisition proposal being at a lower price than it might otherwise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pendency of the Company Merger could adversely affect MITT’s and CHMI’s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Common Stock Issuance is subject to MITT common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 is subject to CHMI common stockholder approval.</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voting power of MITT stockholders will be diluted by the MITT Common Stock Issuance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Mergers are not consummated by 11:59 p.m., Eastern Time, on the Termination Date, either MITT or CHMI may terminate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Directors and executive officers of each of MITT and CHMI have interests in the Company Merger that may be different from, or in addition to, the interests of MITT stockholders and CHMI stockholders,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Completion of the Company Merger will trigger change in control or other provisions in certain agreements to which CHMI is a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there is no guarantee that the Combined Company will pay dividends at or above the rate currently paid by MITT, or any dividends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party and the Combined Company is expected to incur substantial expenses related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unaudited pro forma condensed combined financial information included elsewhere in this joint proxy statement/prospectus may not be representative of the Combined Company’s financial conditions or operating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Company Merger does not qualify as a reorganization, CHMI stockholders may recognize additional taxable gain.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1" w:name="id537afe39fd9432bae8710d6ef90d715"/>
      <w:bookmarkEnd w:id="11"/>
      <w:r>
        <w:rPr>
          <w:rFonts w:ascii="Times New Roman;serif" w:hAnsi="Times New Roman;serif"/>
          <w:b/>
          <w:i/>
          <w:color w:val="000000"/>
          <w:sz w:val="20"/>
          <w:bdr w:val="single" w:sz="8" w:space="18" w:color="000000"/>
        </w:rPr>
        <w:t>The MITT Special Meeting (page 61)</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 xml:space="preserve">Date, Time and Place. </w:t>
      </w:r>
      <w:r>
        <w:rPr>
          <w:rFonts w:ascii="Times New Roman;serif" w:hAnsi="Times New Roman;serif"/>
          <w:b w:val="false"/>
          <w:color w:val="000000"/>
          <w:sz w:val="20"/>
          <w:bdr w:val="single" w:sz="8" w:space="18" w:color="000000"/>
        </w:rPr>
        <w:t>The MITT special meeting will be held at the offices of Hunton Andrews Kurth LLP, 200 Park Avenue, New York, New York 10166, on December 2, 2026, at 10:00 a.m.,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xml:space="preserve">. At the MITT special meeting, the holders of MITT Common Stock will be asked to consider and vote upon the MITT Common Stock Issuance Proposal and the MITT Adjournment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rFonts w:ascii="Times New Roman;serif" w:hAnsi="Times New Roman;serif"/>
          <w:b w:val="false"/>
          <w:color w:val="000000"/>
          <w:sz w:val="20"/>
          <w:bdr w:val="single" w:sz="8" w:space="18" w:color="000000"/>
        </w:rPr>
        <w:t>. Holders of record of MITT Common Stock at the close of business on October 2, 2026, which is the MITT Record Date, are entitled to receive notice of and to vote at the MITT special meeting and any adjournment or postponement thereof. Each holder of record of MITT Common Stock on the MITT Record Date is entitled to one vote per share with respect to each proposal.</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in person or by proxy, of the holders of shares of MITT Common Stock entitled to cast a majority of all votes entitled to be cast at the MITT special meeting must be present or represented by proxy to constitute a quorum at the MITT special meeting. Abstentions will be counted for the purpose of determining whether a quorum exists.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Approval of each of the MITT Common Stock Issuance Proposal and the MITT Adjournment Proposal requires, provided a quorum is present, the affirmative vote of a majority of the votes cast on the applicable proposal by holders of shares of MITT Common Stock at the MITT special meeting. Holders of MITT Preferred Stock are not entitled to notice of, or to vote their shares at, the MITT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MITT Record Date, the directors and executive officers of MITT together with MITT Manager and certain of its affiliates collectively owned approximately 4.4% of the outstanding shares of MITT Common Stock. MITT currently expects that MITT’s directors and executive officers and MITT Manager and its affiliates will vote their shares of MITT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 although none of them are obligated to do so.</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MITT stockholder is very important. Accordingly, please complete, sign, date and return the enclosed proxy card whether or not you plan to attend the MITT special meeting.</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The CHMI Special Meeting (Page 66)</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Date, Time and Place</w:t>
      </w:r>
      <w:r>
        <w:rPr>
          <w:rFonts w:ascii="Times New Roman;serif" w:hAnsi="Times New Roman;serif"/>
          <w:b w:val="false"/>
          <w:color w:val="000000"/>
          <w:sz w:val="20"/>
          <w:bdr w:val="single" w:sz="8" w:space="18" w:color="000000"/>
        </w:rPr>
        <w:t>. The CHMI special meeting will be held virtually on December 2, 2026, at 9:00 a.m.,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At the CHMI special meeting, CHMI stockholders will be asked to consider and vote upon the CHMI Merger Proposal, the CHMI Compensation Proposal and the CHMI Adjournment Proposal. Only those matters included in the notice of the CHMI special meeting may be considered and voted upon at the CHMI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color w:val="000000"/>
          <w:bdr w:val="single" w:sz="8" w:space="18" w:color="000000"/>
        </w:rPr>
        <w:t xml:space="preserve"> </w:t>
      </w:r>
      <w:r>
        <w:rPr>
          <w:rFonts w:ascii="Times New Roman;serif" w:hAnsi="Times New Roman;serif"/>
          <w:b w:val="false"/>
          <w:color w:val="000000"/>
          <w:sz w:val="20"/>
          <w:bdr w:val="single" w:sz="8" w:space="18" w:color="000000"/>
        </w:rPr>
        <w:t>Holders of record of CHMI Common Stock as of the close of business on October 2, 2026, the CHMI Record Date, are entitled to vote at the CHMI special meeting and any postponement or adjournment thereof. Each holder of record of CHMI Common Stock on the CHMI Record Date is entitled to one vote per share with respect to each proposal.</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virtually or by proxy, of the holders of shares of CHMI Common Stock entitled to cast a majority of all votes entitled to be cast at the CHMI special meeting must be present (virtually) or represented by proxy to constitute a quorum at the CHMI special meeting. Abstentions will be counted for purposes of determining whether a quorum exists.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xml:space="preserve">. Approval of the CHMI Merger Proposal requires, provided a quorum is present, the affirmative vote of the holders of at least a majority of the outstanding shares of CHMI Common Stock entitled to vote at the CHMI special meeting. Approval of each of the CHMI Compensation Proposal and the CHMI Adjournment Proposal requires, assuming a quorum is present, the affirmative vote of a majority of the votes cast on the applicable proposal by holders of shares of CHMI Common Stock at the CHMI special meeting.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CHMI Record Date, directors and executive officers of CHMI collectively owned 4.1% of the outstanding shares of CHMI Common Stock entitled to vote at the CHMI special meeting. CHMI currently expects that CHMI’s directors and executive officers will vote their shares of CHMI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Merger Proposal,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Compensation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bdr w:val="single" w:sz="8" w:space="18" w:color="000000"/>
        </w:rPr>
        <w:t>conditions. As of the close of business on the CHMI Record Date, AG MIT owned an aggregate of 734,800 shares of CHMI Common Stock.</w:t>
      </w:r>
      <w:r>
        <w:rPr>
          <w:color w:val="000000"/>
          <w:bdr w:val="single" w:sz="8" w:space="18" w:color="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CHMI stockholder is very important. Accordingly, please sign and return the enclosed proxy card whether or not you plan to attend the CHMI special meeting virtually.</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2" w:name="i98b73c9233754b1b9fbf6910d79be9ce"/>
      <w:bookmarkEnd w:id="12"/>
      <w:r>
        <w:rPr>
          <w:rFonts w:ascii="Times New Roman;serif" w:hAnsi="Times New Roman;serif"/>
          <w:b/>
          <w:i/>
          <w:color w:val="000000"/>
          <w:sz w:val="20"/>
          <w:bdr w:val="single" w:sz="8" w:space="18" w:color="000000"/>
        </w:rPr>
        <w:t>Opinion of MITT’s Financial Advisor (page 92)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MITT engaged Piper Sandler &amp; Co., who we refer to as “Piper Sandler,” to act as exclusive financial advisor to MITT in connection with the Mergers. On August 9, 2026, Piper Sandler rendered its opinion to the MITT Board (which was subsequently confirmed in writing by delivery of Piper Sandler’s written opinion addressed to the MITT Board, dated the same date), to the effect that, as of such date, the aggregate Per Share MITT Consideration payable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Piper Sandler’s opinion was directed to the MITT Board (in its capacity as such), and only addressed the fairness, from a financial point of view, to MITT of the aggregate Per Share MITT Consideration payable pursuant to the Merger Agreement and did not address any other aspect or implication (financial or otherwise) of the Mergers. The summary of Piper Sandler’s opinion in this joint proxy statement/prospectus is qualified in its entirety by reference to the full text of its written opinion, which is included as Annex D to this joint proxy statement/prospectus and sets forth the procedures followed, assumptions made, qualifications and limitations on the review undertaken, and other matters considered by Piper Sandler in preparing its opinion. However, neither Piper Sandler’s written opinion nor the summary of its opinion and the related analyses set forth in this joint proxy statement/prospectus are intended to be, and they do not constitute, advice or a recommendation to any MITT stockholder as to how such holder should vote or act on any matter relating to the Mergers. For a description of the opinion that the MITT Board received from Piper Sandler, see the section entitled “The Mergers—Opinion of MITT’s Financial Advisor” beginning on page 92.</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3" w:name="i1a7680d59a414302ab0c01015698f353"/>
      <w:bookmarkEnd w:id="13"/>
      <w:r>
        <w:rPr>
          <w:rFonts w:ascii="Times New Roman;serif" w:hAnsi="Times New Roman;serif"/>
          <w:b/>
          <w:i/>
          <w:color w:val="000000"/>
          <w:sz w:val="20"/>
          <w:bdr w:val="single" w:sz="8" w:space="18" w:color="000000"/>
        </w:rPr>
        <w:t>Opinion of CHMI’s Financial Advisor (page 102)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CHMI Board retained BTIG, LLC, who we refer to as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On August 9, 2026, at a meeting of the CHMI Board, BTIG delivered an oral opinion, subsequently confirmed by delivery of a written opinion dated as of August 9, 2026, to the CHMI Board, to the effect that, based on and subject to the assumptions made, procedures followed, factors considered, limitations of the review undertaken and qualifications contained in such opinion, as of the date of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The full text of BTIG’s written opinion, dated August 9, 2026, which describes the assumptions made, procedures followed, factors considered, limitations of the review undertaken and qualifications contained in such opinion by BTIG in preparing its opinion for the Mergers is attached hereto as Annex E, and is incorporated herein by reference in its entirety. You should read the opinion carefully in its entirety.</w:t>
      </w:r>
      <w:r>
        <w:rPr>
          <w:color w:val="000000"/>
          <w:bdr w:val="single" w:sz="8" w:space="18" w:color="000000"/>
        </w:rPr>
        <w:t xml:space="preserve"> </w:t>
      </w:r>
      <w:r>
        <w:rPr>
          <w:rFonts w:ascii="Times New Roman;serif" w:hAnsi="Times New Roman;serif"/>
          <w:b/>
          <w:color w:val="000000"/>
          <w:sz w:val="20"/>
          <w:bdr w:val="single" w:sz="8" w:space="18" w:color="000000"/>
        </w:rPr>
        <w:t>BTIG provided its opinion to the CHMI Board (in its capacity as financial advisor to the CHMI Board) for the benefit and use of the CHMI Board in connection with and for purposes of the CHMI Board’s evaluation of the Common Stock Merger Consideration from a financial point of view. BTIG’s opinion does not address any other term or aspect of the Mergers, and no opinion or view was expressed as to the relative merits of the Mergers in comparison to other strategies or transactions that might have been available to CHMI or in which CHMI might have engaged or as to the underlying business decision of CHMI to proceed with or effect the Mergers. BTIG’s opinion was not intended to and does not constitute a recommendation as to how any CHMI stockholder or any other person should vote or whether any CHMI stockholder or such other person should take any other action in connection with the Mergers or any other matter. For a description of the opinion that the CHMI Board received from BTIG, see the section entitled “The Mergers – Opinion of CHMI’s Financial Advisor,” beginning on page 102.</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4" w:name="ifd6a4022eb99453a972b650d1ae3336e"/>
      <w:bookmarkEnd w:id="14"/>
      <w:r>
        <w:rPr>
          <w:rFonts w:ascii="Times New Roman;serif" w:hAnsi="Times New Roman;serif"/>
          <w:b/>
          <w:i/>
          <w:color w:val="000000"/>
          <w:sz w:val="20"/>
          <w:bdr w:val="single" w:sz="8" w:space="18" w:color="000000"/>
        </w:rPr>
        <w:t>Directors and Management of MITT After the Company Merger (page 150)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In the Merger Agreement, MITT has agreed to take all necessary corporate action so that upon and immediately after the Company Merger Effective Time, the size of the MITT Board will be increased by two members to eight total members. Under the Merger Agreement, two persons designated by CHMI no later than 20 business days prior to the Closing Date shall be appointed to the MITT Board. Each such designee must (i) at the time of such designation be a member of the CHMI Board, (ii) have provided a fully completed directors’ questionnaire to MITT and completed a background check prior to such appointment, which shall be reasonably satisfactory to MITT, and (iii) meet the requirements of an independent director of CHMI and MITT under the rules of the NYSE. Additionally, MITT has agreed to nominate the CHMI Director Designees to stand for election at the next annual meeting of stockholders of MITT following the Company Merger Effective Time. Each of the executive officers of MITT immediately prior to the Company Merger Effective Time will continue as an executive officer of the Combined Company following the Company Merger Effective Time.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5" w:name="i29db10bbb89648dd90626325512c12cc"/>
      <w:bookmarkEnd w:id="15"/>
      <w:r>
        <w:rPr>
          <w:rFonts w:ascii="Times New Roman;serif" w:hAnsi="Times New Roman;serif"/>
          <w:b/>
          <w:i/>
          <w:color w:val="000000"/>
          <w:sz w:val="20"/>
          <w:bdr w:val="single" w:sz="8" w:space="18" w:color="000000"/>
        </w:rPr>
        <w:t>Interests of MITT’s Directors and Executive Officers in the Company Merger (page 115)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stockholders should be aware that the directors and executive officers of MITT have certain interests in the Company Merger that may be different from, or in addition to, the interests of MITT stockholders and stockholders of the Combined Company generally and that may present actual or potential conflicts of interest. The MITT Board was aware of these interests and considered them, among other matters, in reaching their decision to adopt and approve the Merger Agreement and the transactions contemplated thereby.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Company will continue to be managed by MITT Manager under the terms of the MITT Management Agreement, as amended by the MITT Management Agreement Amendment. Under the MITT Management Agreement, MITT Manager provides the day-to-day management of MITT’s operations, including providing MITT with a management team and all other personnel necessary to support its operations. In exchange for its services, MITT pays MITT Manager a management fee and reimburses it for certain expenses incurred by it and its affiliates in rendering management services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MITT Management Agreement, as amended by the MITT Management Agreement Amendment, MITT pays MITT Manager a quarterly management fee, which includes a “base” component and an “incentive” component. The “base” component of the management fee is paid quarterly in arrears in an amount equal to 1.50% per annum, as calculated pursuant to the MITT Management Agreement. The “incentive” component is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shall be payable to the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At the Closing, MITT Manager will make a cash payment of $0.52 per share, which we refer to as “Per Share Additional Manager Consideration” to each holder of CHMI Common Stock.</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Interests of CHMI’s Directors and Executive Officers in the Mergers (page 115)</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directors and executive officers have interests in the Mergers that may be different from, or in addition to, those of CHMI’s stockholders generally. The CHMI Board was aware of and considered these interests, among other matters, in evaluating the Merger Agreement, in approving the Merger Agreement and the Mergers and in recommending that the Merger Agreement and the Company Merger be approved by CHMI stockholders at the CHMI special meeting. As described in more detail in the section entitled “The Mergers – Interests of CHMI’s Directors and Executive Officers in the Mergers” beginning on page 115, these interests include, among other things, the accelerated vesting of outstanding CHMI Equity Awards, the potential payment of cash severance and healthcare continuation benefits upon certain terminations of employment in connection with the Mergers, the payment of pro rata cash bonuses at or prior to the Closing, rights to ongoing indemnification and directors’ and officers’ liability insurance coverage and the designation of two CHMI Board members to the MITT Board. </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Voting Agreement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Mergers—Voting Agreement” beginning on page 123. A copy of the Voting Agreement is attached as Annex C to this joint proxy statement/prospectus. The foregoing description of the Voting Agreement does not purport to be complete and is qualified in its entirety by the full text of the form of the Voting Agreement, which is attached hereto as Annex C.</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6" w:name="i23d393ab5a994dd990def11d45112eb4"/>
      <w:bookmarkEnd w:id="16"/>
      <w:r>
        <w:rPr>
          <w:rFonts w:ascii="Times New Roman;serif" w:hAnsi="Times New Roman;serif"/>
          <w:b/>
          <w:i/>
          <w:color w:val="000000"/>
          <w:sz w:val="20"/>
          <w:bdr w:val="single" w:sz="8" w:space="18" w:color="000000"/>
        </w:rPr>
        <w:t>MITT Management Agreement Amendment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Mergers—MITT Management Agreement Amendment” beginning on page 123. A copy of the MITT Management Agreement Amendment is attached as Annex B to this joint proxy statement/prospectus. The foregoing description of the MITT Management Agreement Amendment does not purport to be complete and is qualified in its entirety by the full text of the form of the MITT Management Agreement Amendment, which is attached hereto as Annex B.</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7" w:name="i293a93c8d2b74d54b586a7e9539a5fd7"/>
      <w:bookmarkEnd w:id="17"/>
      <w:r>
        <w:rPr>
          <w:rFonts w:ascii="Times New Roman;serif" w:hAnsi="Times New Roman;serif"/>
          <w:b/>
          <w:i/>
          <w:color w:val="000000"/>
          <w:sz w:val="20"/>
          <w:bdr w:val="single" w:sz="8" w:space="18" w:color="000000"/>
        </w:rPr>
        <w:t>Conditions to Complete the Mergers (page 146)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 number of conditions must be satisfied or, to the extent permitted by law, waived before the Mergers can be consummated. These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CHMI Merger Proposal by CHMI common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MITT Common Stock Issuance Proposal by MITT common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of the registration statement on Form S-4, of which this joint proxy statement/prospectus constitutes a part, and no stop order suspending the effectiveness of the Form S-4 having been initiated or threatened by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order, injunction or law prohibiting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for listing on the NYSE of the shares of MITT Common Stock, MITT Series D Preferred Stock and MITT Series E Preferred Stock issuable in connection with the Company Merger, subject to official notice of issuance;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receipt of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accuracy of each party’s representations and warranties, subject to material adverse effect or other qualifications;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of each party’s covenants in all material respects;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receipt of tax opinions relating to the REIT status of each of MITT and CHMI and relating to the qualification of the Company Merger as a reorganization under Section 368(a) of the Code.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8" w:name="i12dd0874176e40e5af2acf795eb99fde"/>
      <w:bookmarkEnd w:id="18"/>
      <w:r>
        <w:rPr>
          <w:rFonts w:ascii="Times New Roman;serif" w:hAnsi="Times New Roman;serif"/>
          <w:b/>
          <w:i/>
          <w:color w:val="000000"/>
          <w:sz w:val="20"/>
          <w:bdr w:val="single" w:sz="8" w:space="18" w:color="000000"/>
        </w:rPr>
        <w:t>Required Regulatory Approvals for the Mergers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obligations of CHMI, CHOP, MITT, Merger Sub and MITT Manager to complete the Closing and effect the Mergers are subject to having obtained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which we refer to as the “The Mergers—Required Regulatory Approvals.”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9" w:name="i81e7eeddae3745df946e3bcbe01e618b"/>
      <w:bookmarkEnd w:id="19"/>
      <w:r>
        <w:rPr>
          <w:rFonts w:ascii="Times New Roman;serif" w:hAnsi="Times New Roman;serif"/>
          <w:b/>
          <w:i/>
          <w:color w:val="000000"/>
          <w:sz w:val="20"/>
          <w:bdr w:val="single" w:sz="8" w:space="18" w:color="000000"/>
        </w:rPr>
        <w:t>Listing of MITT Common Stock, MITT Series D Preferred Stock and MITT Series E Preferred Stock; Delisting and Deregistration of CHMI Common Stock (page 126)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Company Merger is completed, the CHMI Common Stock will no longer be listed on the NYSE and will be deregistered under the Exchange Act.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0" w:name="ie4f627a44dd040b3bf14170f8874953f"/>
      <w:bookmarkEnd w:id="20"/>
      <w:r>
        <w:rPr>
          <w:rFonts w:ascii="Times New Roman;serif" w:hAnsi="Times New Roman;serif"/>
          <w:b/>
          <w:i/>
          <w:color w:val="000000"/>
          <w:sz w:val="20"/>
          <w:bdr w:val="single" w:sz="8" w:space="18" w:color="000000"/>
        </w:rPr>
        <w:t>Accounting Treatment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 Accordingly, the fair value of the consideration transferred will be measured based on (i) the number of shares of MITT Common Stock issuable pursuant to the Merger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 The consolidated financial statements of the Combined Company issued after the Company Merger will reflect these fair values and the combined results of operations subsequent to the Closing Date. Because MITT will be the accounting acquirer, its historical financial statements will become the historical financial statements of the Combined Company upon consummation of the Company Merger.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1" w:name="i30038234fc384651ab6b6040b52f5214"/>
      <w:bookmarkEnd w:id="21"/>
      <w:r>
        <w:rPr>
          <w:rFonts w:ascii="Times New Roman;serif" w:hAnsi="Times New Roman;serif"/>
          <w:b/>
          <w:i/>
          <w:color w:val="000000"/>
          <w:sz w:val="20"/>
          <w:bdr w:val="single" w:sz="8" w:space="18" w:color="000000"/>
        </w:rPr>
        <w:t xml:space="preserve">Comparison of Rights of MITT Stockholders and CHMI Stockholders (page 199)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Holders of CHMI Common Stock will have different rights following the Company Merger Effective Time because they will hold shares of MITT Common Stock instead of shares of CHMI Common Stock, and there are differences between the organizational documents governing CHMI and MITT. For more information regarding the differences in rights of CHMI stockholders and MITT stockholders, see “Comparison of Rights of CHMI stockholders and MITT stockholders” beginning on page 199.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2" w:name="i69ad6a76492f468583d8ffde52551f61"/>
      <w:bookmarkEnd w:id="22"/>
      <w:r>
        <w:rPr>
          <w:rFonts w:ascii="Times New Roman;serif" w:hAnsi="Times New Roman;serif"/>
          <w:b/>
          <w:i/>
          <w:color w:val="000000"/>
          <w:sz w:val="20"/>
          <w:bdr w:val="single" w:sz="8" w:space="18" w:color="000000"/>
        </w:rPr>
        <w:t>No Appraisal Rights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3" w:name="i5148ca8df6ce45d983dc6a463a9792ff"/>
      <w:bookmarkEnd w:id="23"/>
      <w:r>
        <w:rPr>
          <w:rFonts w:ascii="Times New Roman;serif" w:hAnsi="Times New Roman;serif"/>
          <w:b/>
          <w:i/>
          <w:color w:val="000000"/>
          <w:sz w:val="20"/>
          <w:bdr w:val="single" w:sz="8" w:space="18" w:color="000000"/>
        </w:rPr>
        <w:t>No Solicitation; Change in Recommendation (page 140)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From and after the date of the Merger Agreement until the Company Merger Effective Time or if earlier, the termination of the Merger Agreement, each of MITT and CHMI will not, and will cause its subsidiaries and will instruct its representatives not to, among other things,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solicit, initiate, or knowingly encourage or facilitate any proposal or offer or any inquiries regarding the making of any proposal or offer, including any proposal or offer to its stockholders, that constitutes, or would reasonably be expected to lead to, a Competing Proposal (defined below);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Competing Proposal.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the restrictions set forth above, at any time prior to obtaining the applicable approval of the MITT stockholders at the MITT special meeting or the CHMI stockholders at the CHMI special meeting if MITT or CHMI receives a Competing Proposal that did not result from a material breach of the no solicitation provision of the Merger Agreement and if the MITT Board or CHMI Board, respectively, determines in good faith after consultation with its independent financial advisor and outside legal counsel that such Competing Proposal constitutes or would reasonably be expected to lead to a Superior Proposal (as defined in “The Merger Agreement—No Solicitation; Change in Recommendation” beginning on page 140), then each of MITT and CHMI may, directly or indirectly through one or more of its representatives, prior to the receipt of their respective stockholder approvals, (a) engage in any discussions or negotiations with any person with respect to a Competing Proposal and (b) furnish any non-public information regarding MITT or CHMI, as applicable, or their respective subsidiaries, or access to the properties, assets or employees of MITT or CHMI, as applicable, or their respective subsidiaries, to any person in connection with or in response to a Competing Proposal, if such person has made a written, bona fide Competing Proposal (provided, however, that MITT or CHMI, as applicable, shall, prior to or substantially concurrently with the delivery to such person, provide to the other party, any information concerning MITT or CHMI, as applicable, or any of its subsidiaries that is provided or made available to such person or its representatives unless such information has been previously provided to CHMI or MITT, as applicable).</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prior to the receipt of approval of the MITT Stockholder Approval or CHMI Stockholder Approval, as applicable, in response to a Competing Proposal that did not result from a material breach of certain provisions of the Merger Agreement, choose to change its recommendation or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that such Competing Proposal is a Superior Proposal (taking into account any adjustment to the terms and conditions of the Merger proposed by the other party in response to such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have given notice to the other party of the Competing Proposal, specifying the material terms and conditions of such proposal, and that it intends to take such action, and has made itself available to negotiate in good faith (and caused its officers, employees, financial advisor and outside legal counsel to be available to negotiate) with the other party to make such adjustments or revisions to the Merger Agreement as would preclude a determination that the Competing Proposal remains a Superior Proposal, and either (i) the other party shall not have proposed revisions to the terms and conditions of the Merger Agreement prior to the earlier of the scheduled time for the MITT or CHMI special meeting, as applicable, and the fifth business day after the date on which such notice is given, or (ii) if the other party within the period described has proposed revisions to the Merger Agreement, the MITT Board or CHMI Board, as applicable, after consultation with its outside legal counsel, shall have determined in good faith that the Competing Proposal remains a Superior Proposal with respect to the revised proposal.</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anything to the contrary in the Merger Agreement, each of the MITT Board or CHMI Board may, prior to the receipt of approval of the MITT Stockholder Approval or CHMI Stockholder Approval, as applicable, other than in response to a Competing Proposal (which is addressed above), change the MITT Board recommendation or the CHMI Board recommendation, as applicable,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in good faith, after consultation with outside legal counsel, that the failure to do so would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shall have given notice to the other party that it intends to change the MITT Board recommendation or the CHMI Board recommendation, as applicable;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giving notice and prior to effecting such change of recommendation, MITT or CHMI, as applicable, has made itself available to negotiate (and caused its officers, employees, financial advisor and outside legal counsel to be available to negotiate) with the other party to make revisions to the terms of the Merger Agreement as would permit the MITT Board or CHMI Board, as applicable, not to change its recommendation, and either (i) the other party shall not have proposed revisions to the Merger Agreement prior to the earlier of the scheduled time for the MITT or CHMI special meeting, as applicable, and the fifth business day after the date on which such notice is given, or (ii) if the other party within the period described shall have proposed revisions to the terms and conditions of this Agreement, the MITT Board or CHMI Board, as applicable, after consultation with its outside legal counsel, shall have determined in good faith that such proposed changes do not obviate the need for the change of recommendation and that the failure to change its recommendation would be reasonably expected to be inconsistent with its fiduciary duties under applicable law.</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4" w:name="i336a9d7367d84181aa68aa23d82e98ba"/>
      <w:bookmarkEnd w:id="24"/>
      <w:r>
        <w:rPr>
          <w:rFonts w:ascii="Times New Roman;serif" w:hAnsi="Times New Roman;serif"/>
          <w:b/>
          <w:i/>
          <w:color w:val="000000"/>
          <w:sz w:val="20"/>
          <w:bdr w:val="single" w:sz="8" w:space="18" w:color="000000"/>
        </w:rPr>
        <w:t>Termination of the Merger Agreement (page 148)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be terminated at any time prior to the Partnership Merger Effective Time by the mutual written consent of MITT and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also be terminated by either MITT or CHMI if,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governmental entity of competent jurisdiction has issued a final and non-appealable order, decree, ruling or injunction or taken any other action permanently restraining, enjoining or otherwise prohibiting the consummation of the Transactions, or if there has been adopted prior to the Partnership Merger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Time any law that permanently makes the consummation of the Transactions illegal or otherwise permanently prohibited;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Closing has not been consummated on or before 11:59 p.m. Eastern Time, on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provided that (B) this right to terminate will not be available to any party that has breached in any material respect any provision of the Merger Agreement in any manner that shall have contributed materially to the failure of the Closing to occur on or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other party has breached or failed to perform in any material respect any of their respective representations, warranties, covenants or other agreements contained in the Merger Agreement, which breach or failure to perform (A) would give rise to the failure of a certain conditions to Closing to be satisfied and (B) is incapable of being cured or, if curable, has not been cured, by such other party, as applicable, prior to the earlier of the (x) Termination Date and (y) thirtieth business day after its receipt of written notice thereof from the terminating party; provided, however, that the terminating party shall not have breached or failed to perform in any material respect any of their respective representations, warranties, covenants or other agreements contained in the Merger Agreement so as to cause certain conditions to Closing not to be satisfied;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Stockholder Approval has not been obtained upon a vote held at a duly held MITT special meeting, or the CHMI Stockholder Approval has not been obtained upon a vote held at a duly held CHMI special meeting.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also terminate the Merger Agreement if, prior to receiving its stockholder approval, such party has complied in all material respects with certain sections of the Merger Agreement in respect of such party’s Superior Proposal and the MITT Board or CHMI Board, as applicable, determines to terminate the Merger Agreement in accordance with the non-solicitation provisions in connection with a Superior Proposal and the MITT Board or CHMI Board, as applicable, has approved, and concurrently with such termination, MITT or CHMI, as applicable, enters into, a definitive agreement to implement such Superior Proposal, provided that such party must concurrently pay or cause to be paid to the other the termination fee.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5" w:name="i8ee6f5dbe4404ed98602fb4cf2eba143"/>
      <w:bookmarkEnd w:id="25"/>
      <w:r>
        <w:rPr>
          <w:rFonts w:ascii="Times New Roman;serif" w:hAnsi="Times New Roman;serif"/>
          <w:b/>
          <w:i/>
          <w:color w:val="000000"/>
          <w:sz w:val="20"/>
          <w:bdr w:val="single" w:sz="8" w:space="18" w:color="000000"/>
        </w:rPr>
        <w:t>Termination Fees and Expenses (page 149)</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 xml:space="preserve">Generally, all fees and expenses incurred in connection with the Mergers and the other transactions contemplated by the Merger Agreement will be paid by the party incurring those fees and expenses; </w:t>
      </w:r>
      <w:r>
        <w:rPr>
          <w:rFonts w:ascii="Times New Roman;serif" w:hAnsi="Times New Roman;serif"/>
          <w:b w:val="false"/>
          <w:i/>
          <w:color w:val="000000"/>
          <w:sz w:val="20"/>
          <w:bdr w:val="single" w:sz="8" w:space="18" w:color="000000"/>
        </w:rPr>
        <w:t>provided that</w:t>
      </w:r>
      <w:r>
        <w:rPr>
          <w:rFonts w:ascii="Times New Roman;serif" w:hAnsi="Times New Roman;serif"/>
          <w:b w:val="false"/>
          <w:color w:val="000000"/>
          <w:sz w:val="20"/>
          <w:bdr w:val="single" w:sz="8" w:space="18" w:color="000000"/>
        </w:rPr>
        <w:t>, in certain circumstances, including a change of recommendation or the acceptance of a MITT Superior Proposal or CHMI Superior Proposal, MITT or CHMI, as applicable, would be required to pay a termination fee of, in the case of payment by MITT, $7,990,000, and in the case of payment by CHMI, $4,700,000.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For further discussion of the termination fees, see “The Merger Agreement—Termination Fees and Expenses” beginning on page 149. </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6" w:name="i1180152c9f694f42bc04a4ede2603029"/>
      <w:bookmarkEnd w:id="26"/>
      <w:r>
        <w:rPr>
          <w:rFonts w:ascii="Times New Roman;serif" w:hAnsi="Times New Roman;serif"/>
          <w:b/>
          <w:color w:val="000000"/>
          <w:sz w:val="20"/>
          <w:bdr w:val="single" w:sz="8" w:space="18" w:color="000000"/>
        </w:rPr>
        <w:t>U.S. Federal Income Tax Considerations (page 154)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Company Merger is intended to qualify as a reorganization within the meaning of Section 368(a) of the Code, and the Closing is conditioned on the receipt by each of MITT and CHMI of an opinion from its respective tax counsel to that effect. Provided that the Company Merger qualifies as a reorganization within the meaning of Section 368(a) of the Code, the U.S. holders (as defined in “U.S. Federal Income Tax Considerations”) of CHMI Common Stock generally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U.S. stockholders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tax consequences to you of the Company Merger will depend on your own situation. You should consult your tax advisor for a full understanding of the tax consequences to you (including the application and effect of any state, local or non-U.S. income and other tax laws) of the Company Merger. For more information regarding the U.S. federal income tax consequences of the Company Merger to holders of CHMI Common Stock and the ownership of MITT Common Stock, please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color w:val="000000"/>
          <w:sz w:val="20"/>
          <w:bdr w:val="single" w:sz="8" w:space="18" w:color="000000"/>
        </w:rPr>
      </w:pPr>
      <w:bookmarkStart w:id="27" w:name="i2ef53fcdb4984f148ee60bc1495b2bba"/>
      <w:bookmarkEnd w:id="27"/>
      <w:r>
        <w:rPr>
          <w:rFonts w:ascii="Times New Roman;serif" w:hAnsi="Times New Roman;serif"/>
          <w:b/>
          <w:color w:val="000000"/>
          <w:sz w:val="20"/>
          <w:bdr w:val="single" w:sz="8" w:space="18" w:color="000000"/>
        </w:rPr>
        <w:t>Description of MITT Capital Stock (page 190)</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As of August 7, 2026, the last trading day prior to the public announcement by MITT and CHMI of the entry into the Merger Agreement, 31,803,475 shares of MITT Common Stock were issued and outstanding, 1,663,193 shares of MITT Series A Preferred Stock were issued and outstanding, 3,727,641 shares of MITT Series B Preferred Stock were issued and outstanding and 3,728,795 shares of MITT Series C Preferred Stock were issued and outstanding. Based on the fixed Exchange Ratio of 0.3063 and the number of issued and outstanding shares of CHMI Common Stock and vested and settled CHMI Equity Awards that were outstanding as of August 7, 2026, upon consummation of the Company Merger, MITT is expected to issue approximately 11,608,162 shares of MITT Common Stock to holders of CHMI Common Stock, including holders of vested and settled CHMI Equity Awards.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Generally, all matters to be voted on by MITT stockholders must be approved by a majority (or, in the case of election of directors, by a plurality) of the votes cast by holders of MITT Common Stock present in person or represented by proxy at a meeting at which a quorum is present. Holders of MITT Common Stock are entitled to receive dividends on such MITT Common Stock if, as and when authorized by the MITT Board, and declared by MITT out of assets legally available therefor.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more information on MITT’s capital stock, see “Description of MITT Capital Stock” beginning on page 190.</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8" w:name="iec3624ee615d46838b57ebae163362e6"/>
      <w:bookmarkEnd w:id="28"/>
      <w:r>
        <w:rPr>
          <w:rFonts w:ascii="Times New Roman;serif" w:hAnsi="Times New Roman;serif"/>
          <w:b/>
          <w:color w:val="000000"/>
          <w:sz w:val="20"/>
          <w:bdr w:val="single" w:sz="8" w:space="18" w:color="000000"/>
        </w:rPr>
        <w:t>Comparative Share Prices and Dividend Data</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9" w:name="i3a951d20f96948fab54b29b706c16cfe"/>
      <w:bookmarkEnd w:id="29"/>
      <w:r>
        <w:rPr>
          <w:rFonts w:ascii="Times New Roman;serif" w:hAnsi="Times New Roman;serif"/>
          <w:b/>
          <w:i/>
          <w:color w:val="000000"/>
          <w:sz w:val="20"/>
          <w:bdr w:val="single" w:sz="8" w:space="18" w:color="000000"/>
        </w:rPr>
        <w:t>Comparative Share Prices</w:t>
      </w:r>
    </w:p>
    <w:p>
      <w:pPr>
        <w:pStyle w:val="TextBody"/>
        <w:bidi w:val="0"/>
        <w:spacing w:lineRule="auto" w:line="288" w:before="0" w:after="6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following table sets forth the closing sales prices per share of MITT and CHMI on the NYSE on August 7, 2026, the last trading day prior to the public announcement by MITT and CHMI of their entry into the Merger Agreement, and on September 29, 2026, the last practicable trading day prior to the mailing of this joint proxy statement/prospectus. The table also shows the estimated implied value of the Common Stock Merger Consideration proposed for each share of CHMI Common Stock as of the same two dates. The implied value of the Common Stock Merger Consideration was calculated by multiplying the closing sales price of a share of MITT Common Stock on the relevant date by the Exchange Ratio of 0.3063 shares of MITT Common Stock for each share of CHMI Common Stock and adding the Per Share MITT Cash Consideration plus the Per Share Additional Manager Consideration.</w:t>
      </w:r>
    </w:p>
    <w:tbl>
      <w:tblPr>
        <w:tblW w:w="10205" w:type="dxa"/>
        <w:jc w:val="left"/>
        <w:tblInd w:w="0" w:type="dxa"/>
        <w:tblLayout w:type="fixed"/>
        <w:tblCellMar>
          <w:top w:w="28" w:type="dxa"/>
          <w:left w:w="28" w:type="dxa"/>
          <w:bottom w:w="28" w:type="dxa"/>
          <w:right w:w="28" w:type="dxa"/>
        </w:tblCellMar>
      </w:tblPr>
      <w:tblGrid>
        <w:gridCol w:w="587"/>
        <w:gridCol w:w="461"/>
        <w:gridCol w:w="462"/>
        <w:gridCol w:w="109"/>
        <w:gridCol w:w="109"/>
        <w:gridCol w:w="109"/>
        <w:gridCol w:w="415"/>
        <w:gridCol w:w="1009"/>
        <w:gridCol w:w="218"/>
        <w:gridCol w:w="109"/>
        <w:gridCol w:w="109"/>
        <w:gridCol w:w="109"/>
        <w:gridCol w:w="417"/>
        <w:gridCol w:w="1015"/>
        <w:gridCol w:w="219"/>
        <w:gridCol w:w="109"/>
        <w:gridCol w:w="109"/>
        <w:gridCol w:w="109"/>
        <w:gridCol w:w="1062"/>
        <w:gridCol w:w="2575"/>
        <w:gridCol w:w="784"/>
      </w:tblGrid>
      <w:tr>
        <w:trPr/>
        <w:tc>
          <w:tcPr>
            <w:tcW w:w="58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CHMI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Implied Per Share Value of Common Stock Merger Consideration</w:t>
            </w:r>
          </w:p>
        </w:tc>
      </w:tr>
      <w:tr>
        <w:trPr/>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September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under the trading symbol “MITT.” Shares of CHMI Common Stock are listed on the NYSE under the trading symbol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Exchange Ratio in the Company Merger is fixed (subject to certain adjustments as provided in the Merger Agreement) and will not be adjusted for changes in the market price of MITT Common Stock or CHMI Common Stock. Because of this, the implied value of the consideration to CHMI stockholders in the Company Merger based on the trading price of shares of MITT Common Stock will fluctuate until the completion of the Company Merger. For more information, see “Risk Factors—Risks Related to the Mergers—The market value of MITT Common Stock received by CHMI stockholders will fluctuate based on the trading price of MITT Common Stock,” beginning on page 43 of this joint proxy statement/prospectus. As a result, you should obtain recent market prices of MITT Common Stock and CHMI Common Stock prior to voting your shares of CHMI Common Stock or MITT Common Stock. For more information, see the section entitled “Risk Factors” beginning on page 41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 stockholders are encouraged to obtain current market quotations for MITT Common Stock and CHMI Common Stock and to review carefully the other information contained in or incorporated by reference in this joint proxy statement/prospectus. No assurance can be given concerning the market price of MITT Common Stock before or after the Company Merger Effective Time. For more information, see the section entitled “Where You Can Find More Information and Incorporation by Reference” beginning on page 215 of this joint proxy statement/prospectus.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30" w:name="i0b58f3b92d7b48e19a1b58abfd97a3b0"/>
      <w:bookmarkEnd w:id="30"/>
      <w:r>
        <w:rPr>
          <w:rFonts w:ascii="Times New Roman;serif" w:hAnsi="Times New Roman;serif"/>
          <w:b/>
          <w:i/>
          <w:color w:val="000000"/>
          <w:sz w:val="20"/>
          <w:bdr w:val="single" w:sz="8" w:space="18" w:color="000000"/>
        </w:rPr>
        <w:t>Dividend Data</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table below summarizes the dividends MITT declared on the MITT Common Stock and the dividends CHMI declared on the CHMI Common Stock during the periods indicated:</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tbl>
      <w:tblPr>
        <w:tblW w:w="7204" w:type="dxa"/>
        <w:jc w:val="center"/>
        <w:tblInd w:w="0" w:type="dxa"/>
        <w:tblLayout w:type="fixed"/>
        <w:tblCellMar>
          <w:top w:w="28" w:type="dxa"/>
          <w:left w:w="28" w:type="dxa"/>
          <w:bottom w:w="28" w:type="dxa"/>
          <w:right w:w="28" w:type="dxa"/>
        </w:tblCellMar>
      </w:tblPr>
      <w:tblGrid>
        <w:gridCol w:w="490"/>
        <w:gridCol w:w="429"/>
        <w:gridCol w:w="445"/>
        <w:gridCol w:w="109"/>
        <w:gridCol w:w="109"/>
        <w:gridCol w:w="109"/>
        <w:gridCol w:w="609"/>
        <w:gridCol w:w="1474"/>
        <w:gridCol w:w="317"/>
        <w:gridCol w:w="109"/>
        <w:gridCol w:w="109"/>
        <w:gridCol w:w="109"/>
        <w:gridCol w:w="612"/>
        <w:gridCol w:w="1483"/>
        <w:gridCol w:w="319"/>
        <w:gridCol w:w="109"/>
        <w:gridCol w:w="109"/>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MITT Dividends Per Share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24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CHMI Dividends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13"/>
              </w:rPr>
            </w:pPr>
            <w:r>
              <w:rPr>
                <w:rFonts w:ascii="Times New Roman;serif" w:hAnsi="Times New Roman;serif"/>
                <w:b w:val="false"/>
                <w:color w:val="000000"/>
                <w:sz w:val="13"/>
              </w:rPr>
              <w:t>(1)</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the quarterly dividend of $0.24 per share of MITT Common Stock declared by the MITT Board on September 15, 2026, and payable on October 30, 2026, to MITT common stockholders of record as of September 30, 2026.</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(2)Reflects the quarterly dividend of $0.10 per share of CHMI Common Stock declared by the CHMI Board on September 10, 2026, and payable on October 30, 2026, to CHMI common stockholders of record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31" w:name="i9df3c14105394d5dbf7784c54d20424c"/>
      <w:bookmarkEnd w:id="31"/>
      <w:r>
        <w:rPr>
          <w:rFonts w:ascii="Times New Roman;serif" w:hAnsi="Times New Roman;serif"/>
          <w:b/>
          <w:color w:val="000000"/>
          <w:sz w:val="20"/>
        </w:rPr>
        <w:t>RISK FACTORS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In addition to other information included or incorporated by reference in this joint proxy statement/prospectus and in the annexes to this joint proxy statement/prospectus, including the matters addressed in the section entitled “Cautionary Statement Regarding Forward-Looking Statements” beginning on page 54, you should carefully consider the following risk factors in deciding whether to vote for the MITT Common Stock Issuance Proposal or the CHMI Merger Proposal and the other related matters described in this joint proxy statement/prospectus. In addition, you should read and consider the risks associated with the businesses of each of MITT and CHMI. The risks associated with the business of MITT can be found in its Annual Report on Form 10-K for the year ended December 31, 2025, Quarterly Report on Form 10-Q for the quarter ended June 30, 2026, and other reports of MITT, which are incorporated by reference into this joint proxy statement/prospectus, </w:t>
      </w:r>
      <w:r>
        <w:rPr>
          <w:rFonts w:ascii="Times New Roman;serif" w:hAnsi="Times New Roman;serif"/>
          <w:b w:val="false"/>
          <w:color w:val="000000"/>
          <w:sz w:val="20"/>
        </w:rPr>
        <w:t>including</w:t>
      </w:r>
      <w:r>
        <w:rPr>
          <w:color w:val="000000"/>
        </w:rPr>
        <w:t xml:space="preserve"> </w:t>
      </w:r>
      <w:r>
        <w:rPr>
          <w:rFonts w:ascii="Times New Roman;serif" w:hAnsi="Times New Roman;serif"/>
          <w:b w:val="false"/>
          <w:i/>
          <w:color w:val="000000"/>
          <w:sz w:val="20"/>
        </w:rPr>
        <w:t>particularly the sections therein titled “Risk Factors.” The risks associated with the business of CHMI can be found in its Annual Report on Form 10-K for the year ended December 31, 2025, and its Quarterly Report on Form 10-Q for the quarter ended June 30, 2026, which are incorporated by reference into this joint proxy statement/prospectus, including particularly the sections therein titled “Risk Factors.” You should also read and consider the other information in this joint proxy statement/prospectus. Please also see “Where You Can Find More Information and Incorporation by Reference”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32" w:name="ia57632bd356046c1952aa9f67cca5b1c"/>
      <w:bookmarkEnd w:id="32"/>
      <w:r>
        <w:rPr>
          <w:rFonts w:ascii="Times New Roman;serif" w:hAnsi="Times New Roman;serif"/>
          <w:b/>
          <w:color w:val="000000"/>
          <w:sz w:val="20"/>
        </w:rPr>
        <w:t>Risks Related to the Mergers</w:t>
      </w:r>
    </w:p>
    <w:p>
      <w:pPr>
        <w:pStyle w:val="TextBody"/>
        <w:bidi w:val="0"/>
        <w:spacing w:lineRule="auto" w:line="288" w:before="0" w:after="180"/>
        <w:jc w:val="both"/>
        <w:rPr>
          <w:rFonts w:ascii="Times New Roman;serif" w:hAnsi="Times New Roman;serif"/>
          <w:b/>
          <w:i/>
          <w:color w:val="000000"/>
          <w:sz w:val="20"/>
        </w:rPr>
      </w:pPr>
      <w:bookmarkStart w:id="33" w:name="i10192f1421d5418c930c1b4eb703c9db"/>
      <w:bookmarkEnd w:id="33"/>
      <w:r>
        <w:rPr>
          <w:rFonts w:ascii="Times New Roman;serif" w:hAnsi="Times New Roman;serif"/>
          <w:b/>
          <w:i/>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completion of the Company Merger is subject to the satisfaction or waiver of a number of conditions. In addition, under circumstances specified in the Merger Agreement, MITT or CHMI may terminate the Merger Agreement. In particular, completion of the Company Merger is subject to MITT and CHMI common stockholder approvals. While it is currently anticipated that the Company Merger will be completed shortly after the MITT special meeting and the CHMI special meeting, there can be no assurance that the conditions to the Closing will be satisfied in a timely manner or at all, or that an effect, event, circumstance, occurrence, development or change will not transpire that could delay or prevent these conditions from being satisfied. Accordingly, MITT and CHMI cannot provide any assurances with respect to the timing of the Closing, whether the Company Merger will be completed at all or when the CHMI stockholders would receive the consideration for the Company Merger, if at all.</w:t>
      </w:r>
    </w:p>
    <w:p>
      <w:pPr>
        <w:pStyle w:val="TextBody"/>
        <w:bidi w:val="0"/>
        <w:spacing w:lineRule="auto" w:line="288" w:before="0" w:after="180"/>
        <w:jc w:val="both"/>
        <w:rPr>
          <w:rFonts w:ascii="Times New Roman;serif" w:hAnsi="Times New Roman;serif"/>
          <w:b/>
          <w:i/>
          <w:color w:val="000000"/>
          <w:sz w:val="20"/>
        </w:rPr>
      </w:pPr>
      <w:bookmarkStart w:id="34" w:name="i4e063944f89b4d4f8d70413737c2b737"/>
      <w:bookmarkEnd w:id="34"/>
      <w:r>
        <w:rPr>
          <w:rFonts w:ascii="Times New Roman;serif" w:hAnsi="Times New Roman;serif"/>
          <w:b/>
          <w:i/>
          <w:color w:val="000000"/>
          <w:sz w:val="20"/>
        </w:rPr>
        <w:t>Failure to consummate the Company Merger</w:t>
      </w:r>
      <w:bookmarkStart w:id="35" w:name="i27c8b8c3552d4e9890a5faf701f53ab6"/>
      <w:bookmarkEnd w:id="35"/>
      <w:r>
        <w:rPr>
          <w:rFonts w:ascii="Times New Roman;serif" w:hAnsi="Times New Roman;serif"/>
          <w:b/>
          <w:i/>
          <w:color w:val="000000"/>
          <w:sz w:val="20"/>
        </w:rPr>
        <w:t xml:space="preserve">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may be consummated on terms different than those contemplated by the Merger Agreement, or the Company Merger may not be consummated at all. If the Company Merger is not completed, or is completed on different terms than as contemplated by the Merger Agreement, MITT and CHMI could be adversely affected and subject to a variety of risks associated with the failure to consummate the Company Merger, or to consummate the Company Merger as contemplated by the Merger Agreement,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stockholders and the CHMI stockholders may be prevented from realizing the anticipated benefits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and/or CHMI Common Stock could decline significantly;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reputational harm due to the adverse perception of any failure to successfully consummate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 party being required, under certain circumstances, to pay to the other party a termination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incurrence of substantial costs relating to the Mergers, such as legal, accounting, financial advisor, filing, printing and mailing fees; and</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attention of MITT’s and CHMI’s respective management teams may be diverted from their day-to-day business and operational matters as a result of efforts relating to attempting to consummate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delay in the consummation of the Company Merger or any uncertainty about the consummation of the Company Merger on terms other than those contemplated by the Merger Agreement, or if the Company Merger is not completed, could materially adversely affect the business and financial results of MITT and CHMI, and/or the stock price of MITT and/or CHMI.</w:t>
      </w:r>
    </w:p>
    <w:p>
      <w:pPr>
        <w:pStyle w:val="TextBody"/>
        <w:bidi w:val="0"/>
        <w:spacing w:lineRule="auto" w:line="288" w:before="0" w:after="180"/>
        <w:jc w:val="both"/>
        <w:rPr>
          <w:rFonts w:ascii="Times New Roman;serif" w:hAnsi="Times New Roman;serif"/>
          <w:b/>
          <w:i/>
          <w:color w:val="000000"/>
          <w:sz w:val="20"/>
        </w:rPr>
      </w:pPr>
      <w:bookmarkStart w:id="36" w:name="i1eab5bb587c84ca09a1a58c66d900c67"/>
      <w:bookmarkEnd w:id="36"/>
      <w:r>
        <w:rPr>
          <w:rFonts w:ascii="Times New Roman;serif" w:hAnsi="Times New Roman;serif"/>
          <w:b/>
          <w:i/>
          <w:color w:val="000000"/>
          <w:sz w:val="20"/>
        </w:rPr>
        <w:t>The Merger Agreement contains provisions that could discourage a potential competing acquirer of CHMI or MITT, could result in any competing acquisition proposal being at a lower price than it might otherwise be and, in certain circumstances, could require CHMI or MITT to pay to the other a significant termination fee.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subject to limited exceptions, restrict the ability of CHMI and MITT to initiate, solicit or knowingly encourage any Competing Proposal. With respect to any written, bona fide Competing Proposal received by CHMI or MITT, as applicable, the other party generally has an opportunity to offer to modify the terms of the Merger Agreement in response to such Competing Proposal before the CHMI Board or the MITT Board, as the case may be, may withdraw or modify its recommendation to such party’s stockholders in response to such Competing Proposal or terminate the Merger Agreement in order to enter into a definitive agreement implementing a superior proposal. In the event that the CHMI Board or the MITT Board withdraws or modifies its recommendation to such party’s stockholders, the other party may terminate the Merger Agreement, in which case CHMI must pay a termination fee of $4,700,000 to MITT or MITT must pay a termination fee of $7,990,000 to CHMI,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could discourage a potential competing acquirer that might have an interest in acquiring all or a significant part of CHMI or MITT from considering or proposing a competing acquisition, even if the potential competing acquirer was prepared to pay consideration with a higher per share value than the value proposed to be received or realized in the Company Merger, or might result in a potential competing acquirer proposing to pay a lower price than it might otherwise have proposed to pay because of the added expense of the termination fee that may become payable in certain circumstances under the Merger Agreement. See “The Merger Agreement—No Solicitation; Change in Recommendation” beginning on page 140, “The Merger Agreement—Termination of the Merger Agreement” beginning on page 148 and “The Merger Agreement—Termination Fee and Expenses” beginning on page 149. </w:t>
      </w:r>
    </w:p>
    <w:p>
      <w:pPr>
        <w:pStyle w:val="TextBody"/>
        <w:bidi w:val="0"/>
        <w:spacing w:lineRule="auto" w:line="288" w:before="0" w:after="180"/>
        <w:jc w:val="both"/>
        <w:rPr>
          <w:rFonts w:ascii="Times New Roman;serif" w:hAnsi="Times New Roman;serif"/>
          <w:b/>
          <w:i/>
          <w:color w:val="000000"/>
          <w:sz w:val="20"/>
        </w:rPr>
      </w:pPr>
      <w:bookmarkStart w:id="37" w:name="i8643f135730c4fc99a75b65bf91225ff"/>
      <w:bookmarkEnd w:id="37"/>
      <w:r>
        <w:rPr>
          <w:rFonts w:ascii="Times New Roman;serif" w:hAnsi="Times New Roman;serif"/>
          <w:b/>
          <w:i/>
          <w:color w:val="000000"/>
          <w:sz w:val="20"/>
        </w:rPr>
        <w:t>The pendency of the Company Merger could adversely affect MITT’s and CHMI’s business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pending Company Merger, some of the parties with whom MITT or CHMI does business may delay or defer decisions, which could negatively impact MITT’s or CHMI’s revenues, earnings, cash flows and expenses, regardless of whether the Company Merger is completed. In addition, under the Merger Agreement, MITT and CHMI are each subject to certain restrictions on the conduct of its respective business prior to completing the Company Merger. These restrictions may prevent MITT or CHMI from: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pursuing certain strategic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acquiring and/or disposing of assets, undertaking certain capital projects;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undertaking certain financing transactions and otherwise pursuing other actions that are not in the ordinary course of business, even if such actions could prove beneficial.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restrictions may impede MITT’s or CHMI’s growth which could negatively impact its respective revenue, earnings and cash flows. Additionally, the pendency of the Company Merger may make it more difficult for MITT or CHMI to effectively retain and incentivize key personnel. Furthermore, the process of planning to integrate two businesses for the post-Merger period may divert management attention and resources and could ultimately have an adverse effect on MITT and/or CHMI.</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38" w:name="i18be8c714ee34ad589852774111eed66"/>
      <w:bookmarkEnd w:id="38"/>
      <w:r>
        <w:rPr>
          <w:rFonts w:ascii="Times New Roman;serif" w:hAnsi="Times New Roman;serif"/>
          <w:b/>
          <w:i/>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MITT Common Stock to be received by CHMI stockholders is based on the fixed Exchange Ratio of 0.3063. The market value of MITT Common Stock to be received by CHMI stockholders will fluctuate based on the trading price of MITT Common Stock. Therefore, CHMI stockholders cannot be sure of the final market value of the consideration they will receive upon completion of the Mergers. </w:t>
      </w:r>
    </w:p>
    <w:p>
      <w:pPr>
        <w:pStyle w:val="TextBody"/>
        <w:bidi w:val="0"/>
        <w:spacing w:lineRule="auto" w:line="288" w:before="0" w:after="180"/>
        <w:jc w:val="both"/>
        <w:rPr>
          <w:rFonts w:ascii="Times New Roman;serif" w:hAnsi="Times New Roman;serif"/>
          <w:b/>
          <w:i/>
          <w:color w:val="000000"/>
          <w:sz w:val="20"/>
        </w:rPr>
      </w:pPr>
      <w:bookmarkStart w:id="39" w:name="ia6da74784c114728bcafb554dbf269ef"/>
      <w:bookmarkEnd w:id="39"/>
      <w:r>
        <w:rPr>
          <w:rFonts w:ascii="Times New Roman;serif" w:hAnsi="Times New Roman;serif"/>
          <w:b/>
          <w:i/>
          <w:color w:val="000000"/>
          <w:sz w:val="20"/>
        </w:rPr>
        <w:t>The Company Merger is subject to MITT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MITT common stockholders approve the MITT Common Stock Issuance Proposal by the affirmative vote of a majority of the votes cast at the MITT special meeting in accordance with the MGCL and the governing documents of MITT, provided a quorum is present. If the required stockholder approval is not obtained from the MITT common stockholders, the Company Merger and related transactions cannot be completed.</w:t>
      </w:r>
    </w:p>
    <w:p>
      <w:pPr>
        <w:pStyle w:val="TextBody"/>
        <w:bidi w:val="0"/>
        <w:spacing w:lineRule="auto" w:line="288" w:before="0" w:after="180"/>
        <w:jc w:val="both"/>
        <w:rPr>
          <w:rFonts w:ascii="Times New Roman;serif" w:hAnsi="Times New Roman;serif"/>
          <w:b/>
          <w:i/>
          <w:color w:val="000000"/>
          <w:sz w:val="20"/>
        </w:rPr>
      </w:pPr>
      <w:bookmarkStart w:id="40" w:name="ie936fc2507ca4854803c8a742efd1f33"/>
      <w:bookmarkEnd w:id="40"/>
      <w:r>
        <w:rPr>
          <w:rFonts w:ascii="Times New Roman;serif" w:hAnsi="Times New Roman;serif"/>
          <w:b/>
          <w:i/>
          <w:color w:val="000000"/>
          <w:sz w:val="20"/>
        </w:rPr>
        <w:t>The Company Merger is subject to CHMI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CHMI common stockholders approve the CHMI Merger Proposal by the affirmative vote of a majority of the shares of CHMI Common Stock entitled to vote at the CHMI special meeting, provided a quorum is present. If the required stockholder approval is not obtained from the CHMI common stockholders, the Company Merger cannot be completed.</w:t>
      </w:r>
    </w:p>
    <w:p>
      <w:pPr>
        <w:pStyle w:val="TextBody"/>
        <w:bidi w:val="0"/>
        <w:spacing w:lineRule="auto" w:line="288" w:before="0" w:after="180"/>
        <w:jc w:val="both"/>
        <w:rPr>
          <w:rFonts w:ascii="Times New Roman;serif" w:hAnsi="Times New Roman;serif"/>
          <w:b/>
          <w:i/>
          <w:color w:val="000000"/>
          <w:sz w:val="20"/>
        </w:rPr>
      </w:pPr>
      <w:bookmarkStart w:id="41" w:name="id2eea721bf5a4a7190bbe3f54b035669"/>
      <w:bookmarkEnd w:id="41"/>
      <w:r>
        <w:rPr>
          <w:rFonts w:ascii="Times New Roman;serif" w:hAnsi="Times New Roman;serif"/>
          <w:b/>
          <w:i/>
          <w:color w:val="000000"/>
          <w:sz w:val="20"/>
        </w:rPr>
        <w:t>The voting power of MITT stockholders and CHMI stockholders will be diluted by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dilute the ownership position of MITT common stockholders and result in CHMI stockholders having an ownership stake in the Combined Company that is smaller than their current stake in CHMI. MITT and CHMI estimate that, based on the fixed Exchange Ratio of 0.3063, immediately following the completion of the Company Merger, CHMI common stockholders, including holders of CHMI Equity Awards that are vesting and settling in, or being converted into, CHMI Common Stock under the Merger Agreement prior to the Company Merger, as of immediately prior to the Company Merger Effective Time will own in the aggregate approximately 27% of the outstanding shares of common stock of the Combined Company, based on the number of issued and outstanding shares of MITT Common Stock and CHMI Common Stock (excluding Canceled Shares) and outstanding CHMI Equity Awards as of August 7, 2026. Consequently, MITT stockholders and CHMI stockholders, as a general matter, will have less influence over the Combined Company’s management and policies after the Company Merger Effective Time than they currently exercise over the management and policies of MITT and CHMI, respectively.</w:t>
      </w:r>
    </w:p>
    <w:p>
      <w:pPr>
        <w:pStyle w:val="TextBody"/>
        <w:bidi w:val="0"/>
        <w:spacing w:lineRule="auto" w:line="288" w:before="0" w:after="180"/>
        <w:jc w:val="both"/>
        <w:rPr>
          <w:rFonts w:ascii="Times New Roman;serif" w:hAnsi="Times New Roman;serif"/>
          <w:b/>
          <w:i/>
          <w:color w:val="000000"/>
          <w:sz w:val="20"/>
        </w:rPr>
      </w:pPr>
      <w:bookmarkStart w:id="42" w:name="ieafec4fe3b964878b1eb7f60d74d05ee"/>
      <w:bookmarkEnd w:id="42"/>
      <w:r>
        <w:rPr>
          <w:rFonts w:ascii="Times New Roman;serif" w:hAnsi="Times New Roman;serif"/>
          <w:b/>
          <w:i/>
          <w:color w:val="000000"/>
          <w:sz w:val="20"/>
        </w:rPr>
        <w:t>If the Mergers are not consummated by the Termination Date, MITT or CHMI may terminate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Either MITT or CHMI may terminate the Merger Agreement under certain circumstances, including if the Mergers have not been consummated by 11:59 p.m., Eastern Time, on the Termination Date, which is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jc w:val="both"/>
        <w:rPr>
          <w:rFonts w:ascii="Times New Roman;serif" w:hAnsi="Times New Roman;serif"/>
          <w:b/>
          <w:i/>
          <w:color w:val="000000"/>
          <w:sz w:val="20"/>
        </w:rPr>
      </w:pPr>
      <w:bookmarkStart w:id="43" w:name="i98c833575328461f9edc2829dae1afb5"/>
      <w:bookmarkEnd w:id="43"/>
      <w:r>
        <w:rPr>
          <w:rFonts w:ascii="Times New Roman;serif" w:hAnsi="Times New Roman;serif"/>
          <w:b/>
          <w:i/>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MITT Common Stock may decline as a result of the Company Merger if the Combined Company does not achieve the perceived benefits of the Company Merger or the effect of the Company Merger on the Combined Company’s financial results is not consistent with the expectations of financial or industry analysts.</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upon consummation of the Company Merger, MITT stockholders and CHMI stockholders will own interests in the Combined Company operating an expanded business with a different mix of assets, risks and liabilities. MITT’s current stockholders and CHMI’s current stockholders may not wish to continue to invest in the Combined Company, or for other reasons may wish to dispose of some or all of their shares of MITT Common Stock. If, following the Company Merger Effective Time, a large amount of MITT Common Stock is sold, the price of MITT Common Stock could decline.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Combined Company’s results of operations, as well as the market price of MITT Common Stock after the Company Merger, may be affected by factors in addition to those currently affecting MITT’s or CHMI’s results of operations and the market prices of MITT Common Stock and CHMI Common Stock, including differences in assets and capitalization. Accordingly, MITT’s and CHMI’s historical market prices and financial results may not be indicative of these matters for the Combined Company after the Company Merger.</w:t>
      </w:r>
    </w:p>
    <w:p>
      <w:pPr>
        <w:pStyle w:val="TextBody"/>
        <w:bidi w:val="0"/>
        <w:spacing w:lineRule="auto" w:line="288" w:before="0" w:after="180"/>
        <w:jc w:val="both"/>
        <w:rPr>
          <w:rFonts w:ascii="Times New Roman;serif" w:hAnsi="Times New Roman;serif"/>
          <w:b/>
          <w:i/>
          <w:color w:val="000000"/>
          <w:sz w:val="20"/>
        </w:rPr>
      </w:pPr>
      <w:bookmarkStart w:id="44" w:name="i649fe0f7124741c2a23c7704eb1fe76c"/>
      <w:bookmarkEnd w:id="44"/>
      <w:r>
        <w:rPr>
          <w:rFonts w:ascii="Times New Roman;serif" w:hAnsi="Times New Roman;serif"/>
          <w:b/>
          <w:i/>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completion of the Company Merger, CHMI stockholders will no longer be stockholders of CHMI and will become stockholders of MITT. There will be important differences between the current rights of CHMI stockholders and the rights to which such stockholders will be entitled as stockholders of MITT, including differences between the governing documents of MITT and CHMI. See the section entitled “Comparison of Rights of MITT Stockholders and CHMI Stockholders” beginning on page 199 for a discussion on the different rights associated with the shares of MITT Common Stock. </w:t>
      </w:r>
    </w:p>
    <w:p>
      <w:pPr>
        <w:pStyle w:val="TextBody"/>
        <w:bidi w:val="0"/>
        <w:spacing w:lineRule="auto" w:line="288" w:before="0" w:after="180"/>
        <w:jc w:val="both"/>
        <w:rPr>
          <w:rFonts w:ascii="Times New Roman;serif" w:hAnsi="Times New Roman;serif"/>
          <w:b/>
          <w:i/>
          <w:color w:val="000000"/>
          <w:sz w:val="20"/>
        </w:rPr>
      </w:pPr>
      <w:bookmarkStart w:id="45" w:name="ic54323ad671d4ce481e46eb73c16bcbd"/>
      <w:bookmarkEnd w:id="45"/>
      <w:r>
        <w:rPr>
          <w:rFonts w:ascii="Times New Roman;serif" w:hAnsi="Times New Roman;serif"/>
          <w:b/>
          <w:i/>
          <w:color w:val="000000"/>
          <w:sz w:val="20"/>
        </w:rPr>
        <w:t>Directors and executive officers of each of MITT and CHMI have interests in the Mergers that may be different from, or in addition to, the interests of MITT stockholders and CHMI stockholders,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Directors and executive officers of MITT and CHMI have interests in the Company Merger that may be different from, or in addition to, the interests of MITT stockholders and CHMI stockholders generally. Following the consummation of the Mergers, all six of the current directors of the MITT Board are expected to continue as directors of the board of directors of the Combined Company (in addition to the two CHMI Director Designees) and the executive officers of MITT are expected to continue as the executive officers of the Combined Company. The Combined Company will continue to be managed by MITT Manager under the terms of the MITT Management Agreement, as amended by the MITT Management Agreement Amendment, pursuant to which MITT Manager receives a management fee, which includes a “base” component and “incentive” component, and reimbursement for certain expenses incurred by it and its affiliates in rendering management services to MITT. Certain directors and executive officers of MITT are employees of MITT Manager or its affiliates. Directors and executive officers of CHMI will receive, among other benefits, continued indemnification and insurance coverage in accordance with the terms of the Merger Agreement. For more information, see the sections entitled “The Mergers—Interests of MITT’s Directors and Executive Officers in the Company Merger” beginning on page 115 and “The Mergers—Interests of CHMI’s Directors and Executive Officers in the Mergers” beginning on page 115.</w:t>
      </w:r>
    </w:p>
    <w:p>
      <w:pPr>
        <w:pStyle w:val="TextBody"/>
        <w:bidi w:val="0"/>
        <w:spacing w:lineRule="auto" w:line="288" w:before="0" w:after="180"/>
        <w:jc w:val="both"/>
        <w:rPr>
          <w:rFonts w:ascii="Times New Roman;serif" w:hAnsi="Times New Roman;serif"/>
          <w:b/>
          <w:i/>
          <w:color w:val="000000"/>
          <w:sz w:val="20"/>
        </w:rPr>
      </w:pPr>
      <w:bookmarkStart w:id="46" w:name="i97dff69758334bd29bd5038ddb75f788"/>
      <w:bookmarkEnd w:id="46"/>
      <w:r>
        <w:rPr>
          <w:rFonts w:ascii="Times New Roman;serif" w:hAnsi="Times New Roman;serif"/>
          <w:b/>
          <w:i/>
          <w:color w:val="000000"/>
          <w:sz w:val="20"/>
        </w:rPr>
        <w:t>Completion of the Mergers will trigger change in control or other provisions in certain agreements to which CHMI is a party.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completion of the Mergers will trigger change in control or other provisions in certain agreements to which CHMI is a party. If MITT or CHMI is unable to negotiate waivers of those provisions, the counterparties may exercise their rights and remedies under the agreements, potentially terminating the agreements or seeking monetary damages. Even if MITT and CHMI are able to negotiate waivers, the counterparties may require a fee for such waivers or seek to renegotiate the agreements on terms less favorable to the Combined Company. Furthermore, the consent of Freddie Mac under the Facility Documentation relating to the Freddie Mac Facility and the consent of Fannie Mae under the Facility Documentation relating to the Fannie Mae Facility is a Required Regulatory Approval under the Merger Agreement. The Mergers cannot be completed unless all Required Regulatory Approvals have been obtained.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47" w:name="i37255667c72b484fb41040e8e68ed34f"/>
      <w:bookmarkEnd w:id="47"/>
      <w:r>
        <w:rPr>
          <w:rFonts w:ascii="Times New Roman;serif" w:hAnsi="Times New Roman;serif"/>
          <w:b/>
          <w:i/>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MITT stockholders or CHMI stockholders may file lawsuits challenging the Mergers or the other transactions contemplated by the Merger Agreement, which may name MITT, CHMI, MITT Manager, the MITT Board and/or the CHMI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Mergers on the agreed-upon terms, such an injunction may delay the consummation of the Mergers in the expected timeframe, or may prevent the Mergers from being consummated altogether. Whether or not any plaintiff’s claim is successful, this type of litigation may result in significant costs and divert management’s attention and resources, which could adversely affect the operation of MITT’s business and/or CHMI’s business.</w:t>
      </w:r>
    </w:p>
    <w:p>
      <w:pPr>
        <w:pStyle w:val="TextBody"/>
        <w:bidi w:val="0"/>
        <w:spacing w:lineRule="auto" w:line="288" w:before="0" w:after="180"/>
        <w:jc w:val="both"/>
        <w:rPr>
          <w:rFonts w:ascii="Times New Roman;serif" w:hAnsi="Times New Roman;serif"/>
          <w:b/>
          <w:i/>
          <w:color w:val="000000"/>
          <w:sz w:val="20"/>
        </w:rPr>
      </w:pPr>
      <w:bookmarkStart w:id="48" w:name="i77e2241837094ab98611d0d6146d4c1d"/>
      <w:bookmarkEnd w:id="48"/>
      <w:r>
        <w:rPr>
          <w:rFonts w:ascii="Times New Roman;serif" w:hAnsi="Times New Roman;serif"/>
          <w:b/>
          <w:i/>
          <w:color w:val="000000"/>
          <w:sz w:val="20"/>
        </w:rPr>
        <w:t>If the Company Merger does not qualify as a reorganization, CHMI stockholders may recognize additional taxable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is intended to qualify as a reorganization within the meaning of Section 368(a) of the Code, and it is a condition to the completion of the Company Merger that MITT and CHMI each receive an opinion from its respective tax counsel to the effect that the Company Merger will constitute a reorganization within the meaning of Section 368(a) of the Code. Assuming that the Company Merger qualifies as a reorganization within the meaning of Section 368(a) of the Code,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A U.S. holder of CHMI Series A Preferred Stock or CHMI Series B Preferred Stock generally will not recognize any gain or loss for U.S. federal income tax purposes. If the Company Merger were to fail to qualify as a reorganization within the meaning of Section 368(a) of the Code, a U.S. holder would recognize gain or loss equal to the difference, if any, between (i) the sum of the fair market value of MITT Stock, Per Share MITT Cash Consideration, Per Share Additional Manager Consideration and cash in lieu of fractional shares of MITT Common Stock received by the CHMI stockholder in the Company Merger and (ii) the CHMI stockholder’s adjusted tax basis in its CHMI Stock.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i/>
          <w:color w:val="000000"/>
          <w:sz w:val="20"/>
        </w:rPr>
      </w:pPr>
      <w:bookmarkStart w:id="49" w:name="i468d6d80e6db429ebb79503723d9757d"/>
      <w:bookmarkEnd w:id="49"/>
      <w:r>
        <w:rPr>
          <w:rFonts w:ascii="Times New Roman;serif" w:hAnsi="Times New Roman;serif"/>
          <w:b/>
          <w:i/>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MITT, Merger Sub, MITT Manager, CHMI and the exchange agent intend to take the position that the Per Share Additional Manager Consideration received by a holder of CHMI Common Stock is treated as additional merger consideration. As described above, assuming that the Company Merger qualifies as a reorganization within the meaning of Section 368(a) of the Code, and this treatment of the Per Share Additional Manager Consideration is correct,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holder in exchange for its CHMI Common Stock (including such holder’s share of the aggregate Per Share MITT Cash Consideration and the aggregate Per Share Additional Manager Consideration) exceeds such holder’s adjusted basis in its shares of CHMI Common Stock. It is possible, however, that the IRS could assert a contrary position that the Per Share Additional Manager Consideration should be treated as taxable ordinary income and not as cash received in exchange for such holder’s CHMI Common Stock. If this position prevails, U.S. holders of CHMI Common Stock would not receive any offset against their basis in their shares of CHMI Common Stock with respect to the Per Share Additional Manager Consideration and non-corporate U.S. holders would be taxable at the higher U.S. federal income tax rates applicable to ordinary income. Additionally, because of this potential characterization, notwithstanding the parties’ position, MITT Manager and the exchange agent intend to withhold tax at a rate of 30% on the Per Share Additional Manager Consideration paid to non-U.S. holders (or a reduced rate under a tax treaty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50" w:name="i4fd2928b68c2444c9fec4ca3d34286fe"/>
      <w:bookmarkEnd w:id="50"/>
      <w:r>
        <w:rPr>
          <w:rFonts w:ascii="Times New Roman;serif" w:hAnsi="Times New Roman;serif"/>
          <w:b/>
          <w:color w:val="000000"/>
          <w:sz w:val="20"/>
        </w:rPr>
        <w:t>Risks Related to the Combined Company Following the Company Merger</w:t>
      </w:r>
    </w:p>
    <w:p>
      <w:pPr>
        <w:pStyle w:val="TextBody"/>
        <w:bidi w:val="0"/>
        <w:spacing w:lineRule="auto" w:line="288" w:before="0" w:after="180"/>
        <w:jc w:val="both"/>
        <w:rPr>
          <w:rFonts w:ascii="Times New Roman;serif" w:hAnsi="Times New Roman;serif"/>
          <w:b/>
          <w:i/>
          <w:color w:val="000000"/>
          <w:sz w:val="20"/>
        </w:rPr>
      </w:pPr>
      <w:bookmarkStart w:id="51" w:name="i2c8e0dd4b6e54564b25c5b25a32271a7"/>
      <w:bookmarkEnd w:id="51"/>
      <w:r>
        <w:rPr>
          <w:rFonts w:ascii="Times New Roman;serif" w:hAnsi="Times New Roman;serif"/>
          <w:b/>
          <w:i/>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involves the combination of two companies that currently operate as independent public companies. The Combined Company expects to benefit from certain operating expense efficiencies relating to the elimination of duplicative costs associated with supporting a public company platform and operating the businesses of MITT and CHMI and the spread of fixed costs across a larger equity base. The Combined Company will be required to devote significant management attention and resources to the integration of MITT’s and CHMI’s businesses. The potential difficulties the Combined Company may encounter in combining the companies include, but are not limited to,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to successfully combine MITT’s and CHMI’s businesses in a manner that permits the Combined Company to achieve the expense efficiencies expected to result from the Company Merger, which would result in the anticipated benefits of the Company Merger not being realized in the timeframe currently anticipated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of the Combined Company to successfully redeploy any capital acquired in connection with the Company Merger into MITT’s targeted asset classes at investment returns MITT expects or in the expected timetable;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complexities of combining two companies with different histories and portfolio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unknown liabilities and unforeseen increased expenses, delays or conditions associated with the Company Merger;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shortfalls as a result of the diversion of management’s attention caused by completing the Company Merger and integrating the companies’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these reasons, it is possible that the combination process could result in the distraction of the Combined Company’s management, the disruption of the Combined Company’s ongoing business or inconsistencies in its operations, services, standards, controls, policies and procedures, any of which could adversely affect the Combined Company’s ability to deliver investment returns to stockholders, to maintain relationships with its key stakeholders or to achieve the anticipated benefits of the Company Merger, or could otherwise materially and adversely affect the Combined Company’s business and financial results.</w:t>
      </w:r>
    </w:p>
    <w:p>
      <w:pPr>
        <w:pStyle w:val="TextBody"/>
        <w:bidi w:val="0"/>
        <w:spacing w:lineRule="auto" w:line="288" w:before="0" w:after="180"/>
        <w:jc w:val="both"/>
        <w:rPr>
          <w:rFonts w:ascii="Times New Roman;serif" w:hAnsi="Times New Roman;serif"/>
          <w:b/>
          <w:i/>
          <w:color w:val="000000"/>
          <w:sz w:val="20"/>
        </w:rPr>
      </w:pPr>
      <w:bookmarkStart w:id="52" w:name="ib80f7e22f54a454988d052507ac0c442"/>
      <w:bookmarkEnd w:id="52"/>
      <w:r>
        <w:rPr>
          <w:rFonts w:ascii="Times New Roman;serif" w:hAnsi="Times New Roman;serif"/>
          <w:b/>
          <w:i/>
          <w:color w:val="000000"/>
          <w:sz w:val="20"/>
        </w:rPr>
        <w:t xml:space="preserve">Following the Company Merger, the Combined Company may not pay dividends at or above the rate currently paid by MITT, or at all.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Company Merger, the Combined Company’s stockholders may not receive any dividends (or may not receive them at the same rate that MITT stockholders received dividends prior to the Company Merger) for various reasons, including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Combined Company may not have enough cash to pay such dividends due to changes in its cash requirements, capital spending plans, cash flow or financial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decisions on whether, when and in what amounts to make any future dividends will remain at all times entirely at the discretion of the Combined Company’s board of directors, which reserves the right to change its dividend practices at any time and for any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the Combined Company to declare and pay dividends on its common stock will be subject to the preferential rights of the MITT Preferred Stock and the preferential rights, if any, of holders of any other class or series of the Combined Company’s capital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of dividends that the Combined Company’s subsidiaries may distribute to the Combined Company may be subject to restrictions imposed by state law and restrictions imposed by the terms of any current or future indebtedness that these subsidiaries may incur.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common stockholders will have no contractual or other legal right to dividends that have not been authorized by its board of directors and declared by the Combined Company.</w:t>
      </w:r>
    </w:p>
    <w:p>
      <w:pPr>
        <w:pStyle w:val="TextBody"/>
        <w:bidi w:val="0"/>
        <w:spacing w:lineRule="auto" w:line="288" w:before="0" w:after="180"/>
        <w:jc w:val="both"/>
        <w:rPr>
          <w:rFonts w:ascii="Times New Roman;serif" w:hAnsi="Times New Roman;serif"/>
          <w:b/>
          <w:i/>
          <w:color w:val="000000"/>
          <w:sz w:val="20"/>
        </w:rPr>
      </w:pPr>
      <w:bookmarkStart w:id="53" w:name="ief98527092544354a32ad2b19320b1e3"/>
      <w:bookmarkEnd w:id="53"/>
      <w:r>
        <w:rPr>
          <w:rFonts w:ascii="Times New Roman;serif" w:hAnsi="Times New Roman;serif"/>
          <w:b/>
          <w:i/>
          <w:color w:val="000000"/>
          <w:sz w:val="20"/>
        </w:rPr>
        <w:t>The Combined Company will have a significant amount of indebtedness and may need to incur more in the future.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have substantial indebtedness following completion of the Company Merger. In addition, in connection with executing its business strategies following the Company Merger, the Combined Company expects to evaluate the possibility of investing in additional target assets and may consider making other strategic investments, and it may elect to finance these endeavors by incurring additional indebtedness. The amount of such indebtedness could have material adverse consequences for the Combined Company,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hindering its ability to adjust to changing market, industry or economic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access the capital markets to raise additional equity or refinance maturing debt on favorable terms or to fund acquisitions or emerging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the amount of cash flow available for future operations, acquisitions, dividends, stock repurchases or other 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deduct interest under Section 163(j)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it more vulnerable to economic or industry downturns, including interest rate increases;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placing it at a competitive disadvantage compared to less leveraged competitors.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Combined Company may be required to raise substantial additional capital to execute its business strategy. The Combined Company’s ability to arrange additional financing will depend on, among other factors, its financial position and performance, as well as prevailing market conditions and other factors beyond its control. If the Combined Company is unable to obtain additional financing, its credit ratings could be adversely affected, which could raise its borrowing costs and limit its future access to capital and its ability to satisfy its obligations under its indebtedness.</w:t>
      </w:r>
    </w:p>
    <w:p>
      <w:pPr>
        <w:pStyle w:val="TextBody"/>
        <w:bidi w:val="0"/>
        <w:spacing w:lineRule="auto" w:line="288" w:before="0" w:after="180"/>
        <w:jc w:val="both"/>
        <w:rPr>
          <w:rFonts w:ascii="Times New Roman;serif" w:hAnsi="Times New Roman;serif"/>
          <w:b/>
          <w:i/>
          <w:color w:val="000000"/>
          <w:sz w:val="20"/>
        </w:rPr>
      </w:pPr>
      <w:bookmarkStart w:id="54" w:name="i232debf5359e44048383a19f70883c9a"/>
      <w:bookmarkEnd w:id="54"/>
      <w:r>
        <w:rPr>
          <w:rFonts w:ascii="Times New Roman;serif" w:hAnsi="Times New Roman;serif"/>
          <w:b/>
          <w:i/>
          <w:color w:val="000000"/>
          <w:sz w:val="20"/>
        </w:rPr>
        <w:t>The Combined Company is expected to incur substantial expenses related to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have incurred substantial legal, accounting, financial advisory and other costs, and the management teams of MITT and CHMI have devoted considerable time and effort in connection with the Company Merger. MITT and CHMI may incur significant additional costs in connection with the completion of the Company Merger or in connection with any delay in completing the Company Merger or termination of the Merger Agreement, in addition to the other costs already incurred. If the Company Merger is not completed, MITT and CHMI will separately bear certain fees and expenses associated with the Company Merger without realizing the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benefits of the Company Merger. If the Company Merger is completed, the fees and expenses may be significant and could have an adverse impact on the Combined Company’s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and CHMI have assumed that a certain level of transaction and integration expenses would be incurred, there are a number of factors beyond the control of either MITT or CHMI that could affect the total amount or the timing of the transaction and integration expenses. Many of the expenses that will be incurred, by their nature, are difficult to estimate accurately at the present time. As a result, the transaction and integration expenses associated with the Company Merger could, particularly in the near term, exceed the savings that the Combined Company expects to achieve from the elimination of duplicative expenses and the realization of economies of scale and cost savings related to the integration of the businesses following the completion of the Company Merger.</w:t>
      </w:r>
    </w:p>
    <w:p>
      <w:pPr>
        <w:pStyle w:val="TextBody"/>
        <w:bidi w:val="0"/>
        <w:spacing w:lineRule="auto" w:line="288" w:before="0" w:after="180"/>
        <w:jc w:val="both"/>
        <w:rPr>
          <w:rFonts w:ascii="Times New Roman;serif" w:hAnsi="Times New Roman;serif"/>
          <w:b/>
          <w:i/>
          <w:color w:val="000000"/>
          <w:sz w:val="20"/>
        </w:rPr>
      </w:pPr>
      <w:bookmarkStart w:id="55" w:name="i1ccbec43d6d446ce82a87ca5a676c8eb"/>
      <w:bookmarkEnd w:id="55"/>
      <w:r>
        <w:rPr>
          <w:rFonts w:ascii="Times New Roman;serif" w:hAnsi="Times New Roman;serif"/>
          <w:b/>
          <w:i/>
          <w:color w:val="000000"/>
          <w:sz w:val="20"/>
        </w:rPr>
        <w:t>The unaudited pro forma condensed combined financial information included elsewhere in this joint proxy statement/prospectus may not be representative of the Combined Company’s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included elsewhere in this joint proxy statement/prospectus has been presented for informational purposes only and is not necessarily indicative of the financial position or results of operations that actually would have occurred had the Company Merger been completed as of the date indicated, nor is it indicative of the future operating results or financial position of the Combined Company following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does not reflect future events that may occur after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condensed combined financial information presented elsewhere in this joint proxy statement/prospectus is based in part on certain assumptions regarding the Company Merger that MITT believes are reasonable under the circumstances. MITT and CHMI cannot assure you that the assumptions will prove to be accurate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Times New Roman;serif" w:hAnsi="Times New Roman;serif"/>
          <w:b/>
          <w:color w:val="000000"/>
          <w:sz w:val="20"/>
        </w:rPr>
      </w:pPr>
      <w:bookmarkStart w:id="56" w:name="ic2089400549b40e4a46c86fb658ed4d9"/>
      <w:bookmarkEnd w:id="56"/>
      <w:r>
        <w:rPr>
          <w:rFonts w:ascii="Times New Roman;serif" w:hAnsi="Times New Roman;serif"/>
          <w:b/>
          <w:color w:val="000000"/>
          <w:sz w:val="20"/>
        </w:rPr>
        <w:t>Risks Related to MITT’s REIT Status</w:t>
      </w:r>
    </w:p>
    <w:p>
      <w:pPr>
        <w:pStyle w:val="TextBody"/>
        <w:bidi w:val="0"/>
        <w:spacing w:lineRule="auto" w:line="288" w:before="0" w:after="180"/>
        <w:jc w:val="both"/>
        <w:rPr>
          <w:rFonts w:ascii="Times New Roman;serif" w:hAnsi="Times New Roman;serif"/>
          <w:b/>
          <w:i/>
          <w:color w:val="000000"/>
          <w:sz w:val="20"/>
        </w:rPr>
      </w:pPr>
      <w:bookmarkStart w:id="57" w:name="i0035a8a387e34ff4814a64fdfda03b6f"/>
      <w:bookmarkEnd w:id="57"/>
      <w:r>
        <w:rPr>
          <w:rFonts w:ascii="Times New Roman;serif" w:hAnsi="Times New Roman;serif"/>
          <w:b/>
          <w:i/>
          <w:color w:val="000000"/>
          <w:sz w:val="20"/>
        </w:rPr>
        <w:t>MITT’s failure to qualify as a REIT would result in higher taxes and reduced cash available for distribution to MITT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operates in a manner that is intended to qualify it as a REIT for U.S. federal income tax purposes. However, the U.S. federal income tax laws governing REITs are complex, and interpretations of such laws are limited. Maintaining its qualification as a REIT requires MITT to meet various tests regarding the nature of its assets and its income, the ownership of its outstanding stock, and the amount of its distributions on an ongoing basis.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ability to satisfy the asset tests depends upon the characterization and fair values of its assets, some of which are not susceptible to a precise determination and for which MITT will not obtain independent appraisals. MITT’s compliance with the annual REIT income and quarterly asset requirements also depends upon its ability to successfully manage the composition of its income and assets on an ongoing basis. Although MITT intends to operate so that it will maintain its qualification as a REIT, no assurance can be given that MITT will so qualify for any particular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owns an interest in one or more entities that have elected to be taxed as REITs under the U.S. federal income tax laws, each a “Subsidiary REIT.” Each Subsidiary REIT is subject to the same REIT requirements that are applicable to MITT. If a Subsidiary REIT were to fail to qualify as a REIT, then (i) that Subsidiary REIT would become subject to regular U.S. federal, state and local corporate income tax, (ii) MITT’s interest in such Subsidiary REIT would cease to be a qualifying asset for purposes of the REIT asset tests, and (iii) it is possible that MITT would fail certain of the REIT asset and/or income tests, in which event MITT also would fail to qualify as a REIT unless it could avail itself of certain relief provisions. While MITT believes that each Subsidiary REIT has qualified as a REIT under the Code, MITT has joined each Subsidiary REIT in filing a “protective” TRS election under Section 856(l) of the Code. MITT cannot assure you that such “protective” TRS election would be effective to avoid adverse consequences to MITT. Moreover, even if the “protective” election were to be effective, MITT cannot assure you that it would not fail to satisfy the requirement that not more than 25% of the value of its total assets may be represented by the securities of one or more taxable REIT subsidiaries, which we refer to as “TRSs.”</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calendar year, MITT would be required to pay U.S. federal income tax on its taxable income at regular corporate rates, and dividends paid to its stockholders would not be deductible by MITT in computing its taxable income. Further, if MITT fails to qualify as a REIT, it may need to borrow money or sell assets in order to pay any resulting tax. MITT’s payment of income tax would decrease the amount of its income available for distribution to its stockholders. Furthermore, if MITT fails to maintain its qualification as a REIT, it no longer would be required to distribute substantially all of its REIT taxable income to its stockholders. Unless MITT’s failure to qualify as a REIT was subject to relief under U.S. federal income tax laws, MITT could not re-elect to qualify as a REIT for four taxable years following the year in which it failed to qualify.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Dividends payable by </w:t>
      </w:r>
      <w:bookmarkStart w:id="58" w:name="ic8c70136cf554806b5424622d06b5cc2"/>
      <w:bookmarkEnd w:id="58"/>
      <w:r>
        <w:rPr>
          <w:rFonts w:ascii="Times New Roman;serif" w:hAnsi="Times New Roman;serif"/>
          <w:b/>
          <w:i/>
          <w:color w:val="000000"/>
          <w:sz w:val="20"/>
        </w:rPr>
        <w:t>REITs do not qualify for the reduced tax rates available for some 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tax rate applicable to income from “qualified dividends” payable to U.S. stockholders that are individuals, trusts and estates, is currently 20%, exclusive of the 3.8% investment tax surcharge. Dividends payable by REITs, however, generally are not eligible for the qualified dividend reduced rates. Stockholders that are individuals, trusts or estates generally may deduct 20% of the aggregate amount of ordinary dividends distributed by MITT. While the qualified dividend rules do not adversely affect the taxation of REITs or dividends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MITT Stock.</w:t>
      </w:r>
    </w:p>
    <w:p>
      <w:pPr>
        <w:pStyle w:val="TextBody"/>
        <w:bidi w:val="0"/>
        <w:spacing w:lineRule="auto" w:line="288" w:before="0" w:after="180"/>
        <w:jc w:val="both"/>
        <w:rPr>
          <w:rFonts w:ascii="Times New Roman;serif" w:hAnsi="Times New Roman;serif"/>
          <w:b/>
          <w:i/>
          <w:color w:val="000000"/>
          <w:sz w:val="20"/>
        </w:rPr>
      </w:pPr>
      <w:bookmarkStart w:id="59" w:name="i3891fd56728f47bba110213bd0a690d9"/>
      <w:bookmarkEnd w:id="59"/>
      <w:r>
        <w:rPr>
          <w:rFonts w:ascii="Times New Roman;serif" w:hAnsi="Times New Roman;serif"/>
          <w:b/>
          <w:i/>
          <w:color w:val="000000"/>
          <w:sz w:val="20"/>
        </w:rPr>
        <w:t>Complying with the REIT requirements can be difficult and may cause MITT to be forced to liquidate assets or to forego otherwise attractive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qualify as a REIT for U.S. federal income tax purposes, MITT must continually satisfy tests concerning, among other things, the sources of its income, the nature and diversification of its assets, the amounts it distributes to its stockholders and the ownership of its shares. If MITT is compelled to liquidate its investments to repay obligations to its lenders, MITT may be unable to comply with these requirements, ultimately jeopardizing its qualification as a REIT, or MITT may be subject to a 100% tax on any resultant gain if it sells assets that are treated as dealer property or inventory. MITT may be required to make distributions to its stockholders at disadvantageous times or when MITT does not have funds readily available for distribution, and may be unable to pursue otherwise attractive investments in order to satisfy the source-of-income or asset-diversification requirements for qualifying as a REIT. Thus, compliance with the REIT requirements may hinder MITT’s ability to operate solely on the basis of maximizing profits.</w:t>
      </w:r>
    </w:p>
    <w:p>
      <w:pPr>
        <w:pStyle w:val="TextBody"/>
        <w:bidi w:val="0"/>
        <w:spacing w:lineRule="auto" w:line="288" w:before="0" w:after="180"/>
        <w:jc w:val="both"/>
        <w:rPr>
          <w:rFonts w:ascii="Times New Roman;serif" w:hAnsi="Times New Roman;serif"/>
          <w:b/>
          <w:i/>
          <w:color w:val="000000"/>
          <w:sz w:val="20"/>
        </w:rPr>
      </w:pPr>
      <w:bookmarkStart w:id="60" w:name="ic623b9885b7a4274a578d59a269e721e"/>
      <w:bookmarkEnd w:id="60"/>
      <w:r>
        <w:rPr>
          <w:rFonts w:ascii="Times New Roman;serif" w:hAnsi="Times New Roman;serif"/>
          <w:b/>
          <w:i/>
          <w:color w:val="000000"/>
          <w:sz w:val="20"/>
        </w:rPr>
        <w:t>The REIT distribution requirements could adversely affect MITT’s ability to execute its business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must distribute to its stockholders each calendar year at least 90% of its REIT taxable income, determined excluding any net capital gains and without regard to the deduction for dividends paid. To the extent that MITT satisfies this distribution requirement, but distributes less than 100% of its taxable income, it will be subject to U.S. federal corporate income tax, and may be subject to state and local income tax on its undistributed taxable income. In addition, MITT will be subject to a 4% nondeductible excise tax if the actual amount that it pays out to its stockholders in a calendar year is less than a minimum amount specified under U.S. federal income tax laws. MITT intends to make distributions to its stockholders to comply with the requirements of the Code and to avoid paying corporate income tax. However, differences in timing between the recognition of taxable income and the actual receipt of cash could require MITT to sell assets or borrow funds on a short-term or long-term basis to meet the distribution requirements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find it difficult or impossible to meet distribution requirements in certain circumstances. Due to the nature of the assets in which MITT invests, MITT may be required to recognize taxable income from those assets in advance of MITT’s receipt of cash flow on or proceeds from disposition of such assets. For example, MITT may be required to accrue interest and discount income on mortgage loans, mortgage-backed securities, and other types of debt securities or interests in debt securities before MITT receives any payment of interest or principal on such assets. To the extent that MITT buys back its debt at prices lower than par, MITT may recognize taxable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without a corresponding receipt of cash. MITT may also acquire distressed debt investments that may be subsequently modified by agreement with the borrower. If the amendments to the outstanding debt are “significant modifications” under the applicable Treasury Regulations, the modified debt may be considered to have been reissued to MITT at a gain in a debt-for-debt exchange with the borrower, with gain recognized by MITT to the extent that the principal amount of the modified debt exceeds MITT’s cost of purchasing it prior to modification. Finally, MITT may be required under the terms of indebtedness that MITT incurs to use cash received from interest payments to make principal payments on that indebtedness, with the effect of recognizing income but not having a corresponding amount of cash available for distribution to MITT’s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to the extent such income is not recognized within a domestic TRS, the requirement to distribute a substantial portion of MITT’s net taxable income could cause MITT to: (i) sell assets in adverse market conditions, (ii) borrow on unfavorable terms, (iii) distribute amounts that would otherwise be invested in future acquisitions, capital expenditures or repayment of debt or (iv) make a taxable distribution of its shares as part of a distribution in which stockholders may elect to receive shares or (subject to a limit measured as a percentage of the total distribution) cash, in order to comply with REIT requirements. Moreover, if MITT’s only feasible alternative were to make a taxable distribution of its shares to comply with the REIT distribution requirements for any taxable year and the value of its shares was not sufficient at such time to make a distribution to its stockholders in an amount at least equal to the minimum amount required to comply with such REIT distribution requirements, MITT would generally fail to qualify as a REIT for such taxable year and would be precluded from being taxed as a REIT for the four taxable years following the year during which it ceased to qualify as a REIT.</w:t>
      </w:r>
    </w:p>
    <w:p>
      <w:pPr>
        <w:pStyle w:val="TextBody"/>
        <w:bidi w:val="0"/>
        <w:spacing w:lineRule="auto" w:line="288" w:before="0" w:after="180"/>
        <w:jc w:val="both"/>
        <w:rPr>
          <w:rFonts w:ascii="Times New Roman;serif" w:hAnsi="Times New Roman;serif"/>
          <w:b/>
          <w:i/>
          <w:color w:val="000000"/>
          <w:sz w:val="20"/>
        </w:rPr>
      </w:pPr>
      <w:bookmarkStart w:id="61" w:name="iea17da30347041c5ab5f2ae8143884f4"/>
      <w:bookmarkEnd w:id="61"/>
      <w:r>
        <w:rPr>
          <w:rFonts w:ascii="Times New Roman;serif" w:hAnsi="Times New Roman;serif"/>
          <w:b/>
          <w:i/>
          <w:color w:val="000000"/>
          <w:sz w:val="20"/>
        </w:rPr>
        <w:t>Even if MITT qualifies as a REIT, it may face tax liabilities that reduce its cash flow.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MITT qualifies for taxation as a REIT, it may be subject to certain U.S. federal, state and local taxes on its income and assets, including taxes on any undistributed income, tax on income from certain activities conducted as a result of a foreclosure, and state or local income, property and transfer taxes, such as mortgage recording taxes. In addition, in order to meet the REIT qualification requirements, or to avert the imposition of a 100% tax that applies to certain gains derived by a REIT from dealer property or inventory, MITT may hold certain assets through, and derive a significant portion of its taxable income and gains in, TRSs. Such subsidiaries are subject to corporate level income tax at regular rates. Any of these taxes would decrease cash available for distribution to its stockholders.</w:t>
      </w:r>
    </w:p>
    <w:p>
      <w:pPr>
        <w:pStyle w:val="TextBody"/>
        <w:bidi w:val="0"/>
        <w:spacing w:lineRule="auto" w:line="288" w:before="0" w:after="180"/>
        <w:jc w:val="both"/>
        <w:rPr>
          <w:rFonts w:ascii="Times New Roman;serif" w:hAnsi="Times New Roman;serif"/>
          <w:b/>
          <w:i/>
          <w:color w:val="000000"/>
          <w:sz w:val="20"/>
        </w:rPr>
      </w:pPr>
      <w:bookmarkStart w:id="62" w:name="i003479f3f25d4da1b85fb296c927650f"/>
      <w:bookmarkEnd w:id="62"/>
      <w:r>
        <w:rPr>
          <w:rFonts w:ascii="Times New Roman;serif" w:hAnsi="Times New Roman;serif"/>
          <w:b/>
          <w:i/>
          <w:color w:val="000000"/>
          <w:sz w:val="20"/>
        </w:rPr>
        <w:t>The failure of assets subject to repurchase agreements to be treated as owned by MITT for U.S. federal income tax purposes could adversely affect its ability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and may in the future enter into repurchase agreements that are structured as sale and repurchase agreements pursuant to which it nominally sells certain of its assets to a counterparty and simultaneously enter into an agreement to repurchase these assets at a later date in exchange for a purchase price. Economically, these agreements are financings which are secured by the assets sold pursuant thereto. MITT believes that it is treated for REIT asset and income test purposes as the owner of the assets that are the subject of any such sale and repurchase agreement notwithstanding that such agreements may transfer record ownership of the assets to the counterparty during the term of the agreement. It is possible, however, that the IRS could assert that MITT did not own the assets during the term of the sale and repurchase agreement, in which case MITT could fail to qualify as a REIT.</w:t>
      </w:r>
    </w:p>
    <w:p>
      <w:pPr>
        <w:pStyle w:val="TextBody"/>
        <w:bidi w:val="0"/>
        <w:spacing w:lineRule="auto" w:line="288" w:before="0" w:after="180"/>
        <w:jc w:val="both"/>
        <w:rPr>
          <w:rFonts w:ascii="Times New Roman;serif" w:hAnsi="Times New Roman;serif"/>
          <w:b/>
          <w:i/>
          <w:color w:val="000000"/>
          <w:sz w:val="20"/>
        </w:rPr>
      </w:pPr>
      <w:bookmarkStart w:id="63" w:name="ib7138cbddc4d4703836ffce24a7f2e06"/>
      <w:bookmarkEnd w:id="63"/>
      <w:r>
        <w:rPr>
          <w:rFonts w:ascii="Times New Roman;serif" w:hAnsi="Times New Roman;serif"/>
          <w:b/>
          <w:i/>
          <w:color w:val="000000"/>
          <w:sz w:val="20"/>
        </w:rPr>
        <w:t>MITT’s ownership of and relationship with its TRSs will be limited, and a failure to comply with the limits would jeopardize its REIT status and may result in the application of a 100% excise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(20% for taxable years beginning before January 1, 2026) of the value of a REIT’s total assets may consist of stock or securities of one or more TRSs. A domestic TRS will pay U.S. federal, state and local income tax at regular corporate rates on any income that it earns. In addition, the TRS rules limit the deductibility of interest paid or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by a TRS to its parent REIT to assure that the TRS is subject to an appropriate level of corporate taxation, and in certain circumstances, the ability of MITT’s TRSs to deduct net business interest expenses generally may be limited. The rules also impose a 100% excise tax on certain transactions between a TRS and its parent REIT that are not conducted on an arm’s-length basis.</w:t>
      </w:r>
    </w:p>
    <w:p>
      <w:pPr>
        <w:pStyle w:val="TextBody"/>
        <w:bidi w:val="0"/>
        <w:spacing w:lineRule="auto" w:line="288" w:before="0" w:after="180"/>
        <w:jc w:val="both"/>
        <w:rPr>
          <w:rFonts w:ascii="Times New Roman;serif" w:hAnsi="Times New Roman;serif"/>
          <w:b/>
          <w:i/>
          <w:color w:val="000000"/>
          <w:sz w:val="20"/>
        </w:rPr>
      </w:pPr>
      <w:bookmarkStart w:id="64" w:name="i9ebac54bc141411db84dd49964170531"/>
      <w:bookmarkEnd w:id="64"/>
      <w:r>
        <w:rPr>
          <w:rFonts w:ascii="Times New Roman;serif" w:hAnsi="Times New Roman;serif"/>
          <w:b/>
          <w:i/>
          <w:color w:val="000000"/>
          <w:sz w:val="20"/>
        </w:rPr>
        <w:t>Uncertainty exists with respect to the treatment of TBAs for purposes of the REIT asset and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in the future purchase and sell Agency RMBS through TBAs and has recognized and may in the future recognize income or gains from the disposition of those TBAs, through dollar roll transactions or otherwise. While there is no direct authority with respect to the qualification of TBAs as real estate assets or U.S. Government securities for purposes of the REIT 75% asset test or the qualification of income or gains from dispositions of TBAs as gains from the sale of real property or other qualifying income for purposes of the REIT 75% gross income test, MITT treats its TBAs under which it contracts to purchase a to-be-announced Agency RMBS, “long TBAs,” as qualifying assets for purposes of the REIT 75% asset test, and it treats income and gains from its long TBAs as qualifying income for purposes of the REIT 75% gross income test, based on a legal opinion of counsel substantially to the effect that (i) for purposes of the REIT asset tests, MITT’s ownership of a long TBA should be treated as ownership of real estate assets, and (ii) for purposes of the REIT 75% gross income test, any gain recognized by MITT in connection with the settlement of its long TBAs should be treated as gain from the sale or disposition of an interest in mortgages on real property. Opinions of counsel are not binding on the IRS, and no assurance can be given that the IRS will not successfully challenge the conclusions set forth in such opinions. In addition, it must be emphasized that the opinion of counsel is based on various assumptions relating to MITT’s TBAs and is conditioned upon fact-based representations and covenants made by MITT Manager regarding its TBAs. No assurance can be given that the IRS would not assert that such assets or income are not qualifying assets or income. If the IRS were to successfully challenge the opinion of counsel, MITT could be subject to a penalty tax or it could fail to remain qualified as a REIT if a sufficient portion of its assets consists of TBAs or a sufficient portion of its income consists of income or gains from the disposition of TBAs.</w:t>
      </w:r>
    </w:p>
    <w:p>
      <w:pPr>
        <w:pStyle w:val="TextBody"/>
        <w:bidi w:val="0"/>
        <w:spacing w:lineRule="auto" w:line="288" w:before="0" w:after="180"/>
        <w:jc w:val="both"/>
        <w:rPr>
          <w:rFonts w:ascii="Times New Roman;serif" w:hAnsi="Times New Roman;serif"/>
          <w:b/>
          <w:i/>
          <w:color w:val="000000"/>
          <w:sz w:val="20"/>
        </w:rPr>
      </w:pPr>
      <w:bookmarkStart w:id="65" w:name="ib301128890444e72970e74a38e81edd0"/>
      <w:bookmarkEnd w:id="65"/>
      <w:r>
        <w:rPr>
          <w:rFonts w:ascii="Times New Roman;serif" w:hAnsi="Times New Roman;serif"/>
          <w:b/>
          <w:i/>
          <w:color w:val="000000"/>
          <w:sz w:val="20"/>
        </w:rPr>
        <w:t>New legislation or administrative or judicial action, in each instance potentially with retroactive effect, could make it more difficult or impossible for MITT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U.S. federal income tax treatment of REITs may be modified, possibly with retroactive effect, by legislative, judicial or administrative action at any time, which could affect the U.S. federal income tax treatment of an investment in MITT’s stock. The U.S. federal tax rules that affect REITs are under review constantly by persons involved in the legislative process, the IRS and the U.S. Treasury Department, which results in statutory changes as well as frequent revisions to Treasury Regulations and interpretations. Revisions in U.S. federal tax laws and interpretations thereof could cause MITT to change its investments, commitments and strategies, which could also affect the tax considerations of an investment in its stock.</w:t>
      </w:r>
    </w:p>
    <w:p>
      <w:pPr>
        <w:pStyle w:val="TextBody"/>
        <w:bidi w:val="0"/>
        <w:spacing w:lineRule="auto" w:line="288" w:before="0" w:after="180"/>
        <w:jc w:val="both"/>
        <w:rPr>
          <w:rFonts w:ascii="Times New Roman;serif" w:hAnsi="Times New Roman;serif"/>
          <w:b/>
          <w:i/>
          <w:color w:val="000000"/>
          <w:sz w:val="20"/>
        </w:rPr>
      </w:pPr>
      <w:bookmarkStart w:id="66" w:name="i7597590f24e84daf98d2d141e5049992"/>
      <w:bookmarkEnd w:id="66"/>
      <w:r>
        <w:rPr>
          <w:rFonts w:ascii="Times New Roman;serif" w:hAnsi="Times New Roman;serif"/>
          <w:b/>
          <w:i/>
          <w:color w:val="000000"/>
          <w:sz w:val="20"/>
        </w:rPr>
        <w:t>Complying with the REIT requirements may limit MITT’s ability to hedge effectively.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REIT provisions of the Code may limit MITT’s ability to hedge its assets and operations. Under current law, any income that MITT generates from transactions intended to hedge its interest rate, inflation or currency risks will be excluded from gross income for purposes of the REIT 75% and 95% gross income tests if (i) the instrument hedges risk of interest rate or currency fluctuations on indebtedness incurred or to be incurred to carry or acquire real estate assets, (ii) the instrument hedges risk of currency fluctuations with respect to any item of income or gain that would be qualifying income under the REIT 75% or 95% gross income tests, or (iii) the instrument was entered into to “offset” certain instruments described in clauses (i) or (ii) of this sentence and certain other requirements are satisfied and such instrument is properly identified under applicable Treasury Regulations. Income from hedging transactions that do not meet these requirements may constitute nonqualifying income for purposes of both the REIT 75% and 95% gross income tests. As a result of these rules, MITT may have to limit its use of hedging techniques that might otherwise be advantageous to MITT and could result in greater risks associated with interest rate fluctuations or other changes than it would otherwise be able to mitigate.</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67" w:name="ica95696d0b4643749b93fe7423687259"/>
      <w:bookmarkEnd w:id="67"/>
      <w:r>
        <w:rPr>
          <w:rFonts w:ascii="Times New Roman;serif" w:hAnsi="Times New Roman;serif"/>
          <w:b/>
          <w:i/>
          <w:color w:val="000000"/>
          <w:sz w:val="20"/>
        </w:rPr>
        <w:t>The tax on prohibited transactions will limit MITT’s ability to engage in transactions, including certain methods of securitizing mortgage loans, that would be treated as sales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REIT’s net income from prohibited transactions is subject to a 100% tax with no offset for losses. In general, prohibited transactions are sales or other dispositions of property, other than foreclosure property, but including mortgage loans, held primarily for sale to customers in the ordinary course of business. MITT may be subject to this tax if it disposes of or securitize loans in a manner that was treated as a sale of the loans, if it frequently buys and sells securities or open and close TBA contracts in a manner that is treated as dealer activity with respect to such securities or contracts for U.S. federal income tax purposes. Therefore, in order to avoid the prohibited transactions tax, MITT may choose to engage in certain sales of loans through a TRS and not at the REIT level, and may limit the structures MITT utilize for MITT’s securitization transactions, even though the sales or structures may otherwise be beneficial to MITT.</w:t>
      </w:r>
    </w:p>
    <w:p>
      <w:pPr>
        <w:pStyle w:val="TextBody"/>
        <w:bidi w:val="0"/>
        <w:spacing w:lineRule="auto" w:line="288" w:before="0" w:after="180"/>
        <w:jc w:val="both"/>
        <w:rPr>
          <w:rFonts w:ascii="Times New Roman;serif" w:hAnsi="Times New Roman;serif"/>
          <w:b/>
          <w:i/>
          <w:color w:val="000000"/>
          <w:sz w:val="20"/>
        </w:rPr>
      </w:pPr>
      <w:bookmarkStart w:id="68" w:name="iad9a45e89362414e8762169f1263d5e9"/>
      <w:bookmarkEnd w:id="68"/>
      <w:r>
        <w:rPr>
          <w:rFonts w:ascii="Times New Roman;serif" w:hAnsi="Times New Roman;serif"/>
          <w:b/>
          <w:i/>
          <w:color w:val="000000"/>
          <w:sz w:val="20"/>
        </w:rPr>
        <w:t>The share ownership limits applicable to MITT that are imposed by the Code for REITs, and MITT’s charter may restrict MITT’s business combination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maintain its qualification as a REIT under the Code, not more than 50% in value of its outstanding shares may be owned, directly or indirectly, by five or fewer individuals (as defined in the Code to include certain entities) at any time during the last half of each taxable year after its first taxable year. MITT’s charter, with certain exceptions, authorizes the MITT Board to take the actions that are necessary or appropriate to preserve MITT’s qualification as a REIT. Under MITT’s charter, no person may own, directly or indirectly, (i) more than 9.8% in value or in number of shares, whichever is more restrictive, of its outstanding common stock or (ii) more than 9.8% in value or in number of shares, whichever is more restrictive, of its outstanding capital stock. However, the MITT Board may, in its sole discretion, grant an exemption to the share ownership limits (prospectively or retrospectively), subject to certain conditions and the receipt by its board of certain representations and undertakings. The share ownership limit is based upon direct or indirect ownership by “persons,” which is defined to include individuals, certain entities and certain groups of stockholders. MITT’s share ownership limits may delay or prevent a transaction or a change in its control that could involve a premium price for its common stock or otherwise be in the best interests of its stockholders.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constructive ownership rules contained in MITT’s charter are complex and may cause the outstanding shares owned by a group of related individuals or entities to be deemed to be constructively owned by one individual or entity. As a result, the acquisition of less than these aforementioned percentages of the outstanding shares by an individual or entity could cause that individual or entity to own constructively in excess of these percentages of the outstanding shares and thus violate the share ownership limits. Any attempt to own or transfer shares of MITT capital stock in excess of the share ownership limits without the consent of the MITT Board or in a manner that would cause MITT to be “closely held” under Section 856(h) of the Code (without regard to whether the shares are held during the last half of a taxable year) will result in the shares being deemed to be transferred to a director for a charitable trust or, if the transfer to the charitable trust is not automatically effective to prevent a violation of the share ownership limits or the restrictions on ownership and transfer of its shares, any such transfer of its shares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 and the intended transferee will acquire no rights in such shares. Further, any transfer of its shares that would result in its shares being held by fewer than 100 persons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 the intended transferee will acquire no rights in such shares.</w:t>
      </w:r>
    </w:p>
    <w:p>
      <w:pPr>
        <w:pStyle w:val="TextBody"/>
        <w:bidi w:val="0"/>
        <w:spacing w:lineRule="auto" w:line="288" w:before="0" w:after="180"/>
        <w:jc w:val="both"/>
        <w:rPr>
          <w:rFonts w:ascii="Times New Roman;serif" w:hAnsi="Times New Roman;serif"/>
          <w:b/>
          <w:i/>
          <w:color w:val="000000"/>
          <w:sz w:val="20"/>
        </w:rPr>
      </w:pPr>
      <w:bookmarkStart w:id="69" w:name="i21ee952024374802aa6c3b3e9106e5f8"/>
      <w:bookmarkEnd w:id="69"/>
      <w:r>
        <w:rPr>
          <w:rFonts w:ascii="Times New Roman;serif" w:hAnsi="Times New Roman;serif"/>
          <w:b/>
          <w:i/>
          <w:color w:val="000000"/>
          <w:sz w:val="20"/>
        </w:rPr>
        <w:t xml:space="preserve">MITT could face adverse tax consequences if either Western Asset Mortgage Capital Corporation, which we refer to as “WMC,” or CHMI failed to qualify as a REIT prior to MITT’s acquisition of WMC or CHMI,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MITT’s acquisition of WMC in 2023, MITT received an opinion of counsel to the effect that WMC qualified as a REIT for U.S. federal income tax purposes through the time of the acquisition. Additionally, in connection with the Company Merger, MITT will receive an opinion of counsel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However, MITT did not and does not expect to request a ruling from the IRS that WMC or CHMI qualified as a REIT. Notwithstanding the opinion of counsel, if the IRS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successfully challenged WMC’s or CHMI’s REIT status prior to the acquisition, MITT could face adverse tax consequences, including: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liability for U.S. federal income taxes at regular corporate rates for the periods in which either of them failed to qualify as a REIT (without regard to the deduction for dividends paid for such periods);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any built-in gain on WMC’s or CHMI’s assets, for which MITT could be liable for U.S. federal income tax at regular corporate rates, if MITT were to recognize such gain in the five-year period following the merger with either WMC or CHMI;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earnings and profits accumulated during the periods in which either of them failed to qualify as a REIT, which MITT would be required to distribute to its stockholders in order to satisfy the REIT 90% distribution requirements and avoid the imposition of any excise tax, and as a result, MITT would have less cash available for operations and distributions to its stockholders, which could require us to raise capital on unfavorable terms or pay deficiency dividends.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or its TRSs may not be able to fully utilize their respective net operating loss or net capital loss carryforwards.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or its TRSs may not be able to fully utilize MITT’s respective net operating loss or net capital loss carryforwards. MITT has and its TRS have certain net operating loss, which we refer to as a “NOL,” and net capital loss, which we refer to as a “NCL,” carryforwards. NOL carryforwards can be used to offset future taxable income, and NCL carryforwards can be used to reduce net capital gain income. MITT and/or its TRSs may not generate sufficient income of the appropriate tax character to fully utilize the respective NOL or NCL carryforwards before their expiration. In addition, NOL and NCL carryforwards and certain recognized built-in losses may be limited by Sections 382 and 383 of the Code if MITT or its TRSs, respectively, experiences an “ownership change.” In general, an “ownership change” occurs if 5% stockholders increase their collective ownership of the aggregate amount of the outstanding shares of MITT by more than 50 percentage points looking back over the relevant testing period. MITT’s ability to use WMC’s or CHMI’s NOL carryforwards is limited by a Section 382 ownership change that occurred with respect to WMC at the time of the merger with WMC and may occur with respect to CHMI at the time of the Company Merger. No assurance can be provided as to whether MITT or its TRSs may experience an ownership change that could limit MITT’s ability or its TRSs’ ability to utilize the respective NOL or NCL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0" w:name="i5232110d4aa0464796ca24ec67cedba1"/>
      <w:bookmarkEnd w:id="70"/>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and the annexes to this joint proxy statement/prospectus contain certain forward-looking statements within the meaning of the Private Securities Litigation Reform Act of 1995, Section 27A of the Securities Act and Section 21E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predictions and generally can be identified by use of statements that include phrases such as “may,” “believe,” “expect,” “anticipate,” “intend,” “estimate,” “project,” “target,” “goal,” “plan,” “should,” “will,” “predict,” “potential,” “likely,” or other words, phrases or expressions of similar import, or the negative or other words or expressions of similar meaning, and statements regarding the benefits of the Mergers or the other transactions contemplated by the Merger Agreement or the future financial condition, results of operations and business of MITT, CHMI or the Combined Company. Without limiting the generality of the preceding sentence, certain information contained in the sections “The Mergers—Background of the Mergers,” “The Mergers—Recommendation of the MITT Board and Its Reasons for the Company Merger,” “The Mergers—Recommendation of the CHMI Board and Its Reasons for the Mergers,” “The Mergers—Certain MITT Unaudited Prospective Financial Information” and “The Mergers—Certain CHMI Unaudited Prospective Financial Information” constitute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base these forward-looking statements on particular assumptions that they have made in light of their industry experience, as well as their perception of historical trends, current conditions, expected future developments and other factors that they believe are appropriate under the circumstances. The forward-looking statements are necessarily estimates reflecting the judgment of MITT’s and CHMI’s respective management and involve a number of known and unknown risks, uncertainties and other factors which may cause actual results, performance or achievements of MITT, CHMI or the Combined Company to be materially different from those expressed or implied by the forward-looking statements. In addition to other factors and matters contained in this joint proxy statement/prospectus, including those disclosed under “Risk Factors” beginning on page 41, these forward-looking statements are subject to risks, uncertainties and other factors, including, among others: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and CHMI to obtain the required stockholder approvals to consummate the Company Merger;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MITT and CHMI may not be able to satisfy the other conditions to the Company Merger set forth in the Merger Agreement in a timely manner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the Company Merger or the other transactions contemplated by the Merger Agreement may not be completed in the time frame expected by the parties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occurrence of any event, change or other circumstances that could give rise to the termination of the Merger Agreement and that a termination under certain circumstances could require MITT to pay CHMI, or CHMI to pay MITT, a termination fee, as described under “The Merger Agreement—Termination Fees and Expenses” beginning on page 149;</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risks related to the disruption of MITT’s and CHMI’s respective management’s attention from ongoing business operations due to the proposed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to successfully integrate CHMI or any other acquisition and implement its operating strategy;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transaction costs incurred in connection with the Mergers and/or unknown or inestimable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adverse changes in the real estate and real estate capital markets;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market volatility;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interest rates and the yield curve;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financing risks;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inflationary pressures on the capital markets and the general economy;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outcome of litigation, including any legal proceedings that may be instituted against MITT, CHMI or others related to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regulatory proceedings or inquiries;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MITT and CHMI (through the Company Merger Effective Time) to maintain their qualifications as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laws or regulations or interpretations of current laws and regulations that impact MITT’s or CHMI’s businesses, assets or classification as REITs;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detailed in filings made by each of MITT and CHMI with the SEC, including the Annual Report on Form 10-K for the year ended December 31, 2025, the Quarterly Report on Form 10-Q for the quarter ended June 30, 2026, and other reports filed by MITT with the SEC and incorporated by reference in this joint proxy statement/prospectus and CHMI’s Annual Report on Form 10-K for the year ended December 31, 2025, and CHMI’s Quarterly Report on Form 10-Q for the quarter ended June 30, 2026, which are incorporated by reference into this joint proxy statement/prospectus. See also “Where You Can Find More Information and Incorporation by Reference” on page 215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MITT and CHMI believe that the assumptions underlying the forward-looking statements contained in this joint proxy statement/prospectus are reasonable, any of the assumptions could be inaccurate and, therefore, there can be no assurance that such statements included in this joint proxy statement/prospectus will prove to be accurate. As you read and consider the information in this joint proxy statement/prospectus, you are cautioned to not place undue reliance on these forward-looking statements. These statements are not guarantees of performance or results and speak only as of the date of this joint proxy statement/prospectus, in the case of forward-looking statements contained in this joint proxy statement/prospectus, or the dates of the documents incorporated by reference or attached as annexes to this joint proxy statement/prospectus, in the case of forward-looking statements made in those documents. Neither MITT nor CHMI undertakes any obligation to update or revise any forward-looking statements, whether written or oral, that may be made from time to time, whether as a result of new information or developments, future events or otherwise, and each expressly disclaims any obligation to do so, except as required by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light of the significant uncertainties inherent in the forward-looking statements included in this joint proxy statement/prospectus, the inclusion of such information should not be regarded as a representation by MITT, CHMI or any other person that the results or conditions described in such statements or the objectives and plans of MITT or CHMI will be achieved. In addition, MITT’s and CHMI’s qualification as REITs involves the application of highly technical and complex provisions of the Code.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expressed or implied, included in this joint proxy statement/prospectus are expressly qualified in their entirety by this cautionary statement and the factors discussed under the heading “Risk Factors” in this joint proxy statement/prospectus. This cautionary statement should also be considered in connection with any subsequent written or oral forward-looking statements that MITT, CHMI or persons acting on their behalf may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1" w:name="i70b0fbfa6b5c42cc8f402a6100be93d7"/>
      <w:bookmarkEnd w:id="71"/>
      <w:r>
        <w:rPr>
          <w:rFonts w:ascii="Times New Roman;serif" w:hAnsi="Times New Roman;serif"/>
          <w:b/>
          <w:color w:val="000000"/>
          <w:sz w:val="20"/>
        </w:rPr>
        <w:t>THE COMPANIES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TPG Mortgage Investment Trust, Inc.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245 Park Avenue, 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GSE. Non-Agency Loans consist of QM Loans and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Home Equity Loans: 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RMBS: Non-Agency RMBS represent fixed- and floating-rate RMBS issued by entities other than GSEs or agencies of the U.S. government. Non-Agency RMBS are primarily secured by Non-QM, Agency-Eligible, Home Equity, and Prime Jumbo Loans.</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Agency RMBS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investment portfolio includes commercial loans and commercial-mortgage backed securities, which we refer to as “CMBS,” and all of which collectively, we refer to as the “Legacy WMC Commercial Investments” that were acquired in MITT’s acquisition of WMC in 2023. The commercial loans in the Legacy WMC Commercial Investments primarily include first lien commercial mortgage loan participations. The CMBS in the Legacy WMC Commercial Investments primarily include fixed-rate and floating-rate CMBS, secured by, or evidencing an ownership interest in, a single commercial mortgage loan or a pool of commercial mortgage loans. MITT expects to either hold the Legacy WMC Commercial Investments until maturity or opportunistically exit these investments.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primary sources of income are net interest income from its investment portfolio, changes in the fair value of its investments or hedge portfolio, and income from its investment in Arc Home. Net interest income consists of the interest income MITT earns on investments less the interest expense it incurs on borrowed funds, inclusive of its cost or benefit of hedging. Income from MITT’s investment in Arc Home is generated through its mortgage banking activities, which represent the origination and subsequent sale of residential mortgage loans and servicing income sourced from its mortgage servicing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externally managed by MITT Manager, an affiliate of TPG (NASDAQ: TPG), a leading global alternative asset management firm.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TRSs, to engage in such activities, and MITT may form additional TRSs in the future. MITT also operates its business in a manner that will permit it to maintain its exemption from registration under the Investment Company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principal executive offices are located at 245 Park Avenue, 26th Floor, New York, New York 10167 and its telephone number is (212) 692-2000. MITT’s website is www.mitt.tpg.com.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MIT Merger Sub II, LLC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 Merger Sub II, LLC is a Delaware limited liability company and wholly owned subsidiary of MITT that was formed on August 6, 2026, solely for the purpose of effecting the Company Merger. Upon Closing, immediately following the Partnership Merger, CHMI will be merged with and into Merger Sub, with Merger Sub continuing as the surviving entity, which we refer to as the Company Merger. Merger Sub has not conducted any activities to date, except for activities incidental to its formation and activities undertaken in connection with the transactions contemplated by the Merger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Merger Sub’s principal executive offices are located at c/o TPG Mortgage Investment Trust, Inc., 245 Park Avenue, 26th Floor, New York, New York 10167, and its telephone number is (212) 692-2000.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Mortgage Investment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through its operating partnership, CHOP, and its subsidiaries, including CHMI Sub-REIT, CHMI Solutions, which is CHMI’s taxable REIT subsidiary and a wholly owned subsidiary of CHMI Sub-REIT, and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MSR, with the basic servicing fee being the amount of compensation for the performance of servicing duties;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Operating Partnership, 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Operating Partnership, LP,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4000 Route 66, Suite 310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Tinton Falls, New Jersey 07753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and CHMI is the sole general partner of CHOP. CHOP, in turn, owns all of the outstanding common stock of CHMI Sub-REIT. CHMI Sub-REIT elected to be taxed as a REIT under the Code commencing with the taxable year ended December 31, 2020.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the Company Merger, MITT will remain a publicly traded corporation focused on investing in a diversified risk-adjusted portfolio of residential mortgage-related assets in the U.S. mortgage market.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Company is expected to have a pro forma total stockholders’ equity capitalization of approximately $740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pro forma common equity market capitalization of approximately $259 million based on the $5.97 per share closing price of MITT Common Stock on September 29,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business will continue to be operated through MITT and its subsidiaries, which will include Merger Sub, as the surviving entity in the Company Merger, and subsidiaries of Merger Sub, which were previously subsidiaries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principal executive offices will remain at MITT’s location at 245 Park Avenue, 26th Floor, New York, New York 10167, and its telephone number will remain (212) 692-2000. The Combined Company’s website will remain www.mitt.tpg.com.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2" w:name="ic14e0cd91f3445beb8e9c2052cbde379"/>
      <w:bookmarkEnd w:id="72"/>
      <w:r>
        <w:rPr>
          <w:rFonts w:ascii="Times New Roman;serif" w:hAnsi="Times New Roman;serif"/>
          <w:b/>
          <w:color w:val="000000"/>
          <w:sz w:val="20"/>
        </w:rPr>
        <w:t>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MITT common stockholders for exercise at the MITT special meeting. This joint proxy statement/prospectus and accompanying form of proxy are first being mailed to MITT common stockholders on or about October 9,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December 2, 2026, at 10:00 a.m.,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the MITT Common Stock Issuance Proposal;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Maryland law and the MITT Bylaws, only business within the purposes described in the Notice of Special Meeting of Stockholders for MITT may be conducted at the MITT special meeting. Any action may be taken on the items of business described above at the MITT special meeting on the date specified above, or on any date or dates to which the MITT special meeting may be postponed or adjourned.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CHMI special meeting, including the items of business for the CHMI special meeting. At the CHMI special meeting, MITT stockholders will not be voting on the proposals to be considered and voted on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fixed the close of business on October 2, 2026, as the MITT Record Date for determining holders of MITT Common Stock entitled to the notice of, and to vote at, the MITT special meeting. MITT common stockholders at the close of business on the MITT Record Date will be entitled to the notice of the MITT special meeting. As of the MITT Record Date, there were 31,803,475 issued and outstanding shares of MITT Common Stock. Each holder of record of MITT Common Stock on the MITT Record Date is entitled to one vote per share of MITT Common Stock with respect to each proposal. Holders of MITT Preferred Stock are not entitled to notice of, or to vote their shares at, the MITT special meeting.</w:t>
      </w:r>
    </w:p>
    <w:p>
      <w:pPr>
        <w:pStyle w:val="TextBody"/>
        <w:bidi w:val="0"/>
        <w:spacing w:lineRule="auto" w:line="288" w:before="0" w:after="180"/>
        <w:jc w:val="both"/>
        <w:rPr>
          <w:rFonts w:ascii="Times New Roman;serif" w:hAnsi="Times New Roman;serif"/>
          <w:b/>
          <w:i/>
          <w:color w:val="000000"/>
          <w:sz w:val="20"/>
        </w:rPr>
      </w:pPr>
      <w:bookmarkStart w:id="73" w:name="i9b1afa258d614ca7859647bc7040d074"/>
      <w:bookmarkEnd w:id="73"/>
      <w:r>
        <w:rPr>
          <w:rFonts w:ascii="Times New Roman;serif" w:hAnsi="Times New Roman;serif"/>
          <w:b/>
          <w:i/>
          <w:color w:val="000000"/>
          <w:sz w:val="20"/>
        </w:rPr>
        <w:t>Stockholders of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holder of record of MITT Common Stock, you may have your shares of MITT Common Stock voted on the matters to be presented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through the Internet, visit the website set forth on the proxy card you received. You will be asked to provide the control number from the enclosed proxy card. Proxies authorized through the Internet must be received by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telephone, dial the toll-free telephone number set forth on the proxy card you received using a touch tone phone and follow the recorded instructions. You will be asked to provide the control number from the enclosed proxy card. Proxies authorized by telephone or through the Internet must be received by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mail, complete, date and sign each proxy card you receive and return it as promptly as practicable in the enclosed prepaid envelope.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intend to attend and vote your shares during the MITT special meeting, you must pre-register by emailing mittir@tpg.com not later than 5:00 p.m., Eastern Time, on November 27, 2026. </w:t>
      </w:r>
    </w:p>
    <w:p>
      <w:pPr>
        <w:pStyle w:val="TextBody"/>
        <w:bidi w:val="0"/>
        <w:spacing w:lineRule="auto" w:line="288" w:before="0" w:after="180"/>
        <w:jc w:val="both"/>
        <w:rPr>
          <w:rFonts w:ascii="Times New Roman;serif" w:hAnsi="Times New Roman;serif"/>
          <w:b/>
          <w:i/>
          <w:color w:val="000000"/>
          <w:sz w:val="20"/>
        </w:rPr>
      </w:pPr>
      <w:bookmarkStart w:id="74" w:name="i569be1bbf383482bbecec1e84bce311e"/>
      <w:bookmarkEnd w:id="74"/>
      <w:r>
        <w:rPr>
          <w:rFonts w:ascii="Times New Roman;serif" w:hAnsi="Times New Roman;serif"/>
          <w:b/>
          <w:i/>
          <w:color w:val="000000"/>
          <w:sz w:val="20"/>
        </w:rPr>
        <w:t>Beneficial 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of MITT Common Stock are held in “street name,” please refer to the instructions provided by your broker, bank or other nominee to vote your shares of MITT Common Stock. Please note that if you are a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 in “street name” and wish to attend and vote at the MITT special meeting, you must obtain a legal proxy from your broker, bank or other nominee and provide a copy of such legal proxy at the MITT special meeting. Obtaining a legal proxy may take several days.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i/>
          <w:color w:val="000000"/>
          <w:sz w:val="20"/>
        </w:rPr>
      </w:pPr>
      <w:bookmarkStart w:id="75" w:name="iee14f61739294ebe901dd7c53e8b6c46"/>
      <w:bookmarkEnd w:id="75"/>
      <w:r>
        <w:rPr>
          <w:rFonts w:ascii="Times New Roman;serif" w:hAnsi="Times New Roman;serif"/>
          <w:b/>
          <w:i/>
          <w:color w:val="000000"/>
          <w:sz w:val="20"/>
        </w:rPr>
        <w:t>Voting;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shares of MITT Common Stock that are entitled to vote and are represented at the MITT special meeting by properly authorized proxies received before or at the MITT special meeting and not revoked will be voted at the MITT special meeting in accordance with the instructions indicated on the proxies. If no instructions are given on a timely and properly executed proxy card, your shares of MITT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Votes cast by proxy or in person at the MITT special meeting will be tabulated by one or more inspectors appointed by the MITT Board for the MITT special meeting who will also determine whether or not 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proxy given by a MITT stockholder of record pursuant to this solicitation may be revoked at any time before the vote is taken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MITT, before the taking of the vote at the MITT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MITT Common Stock and delivering it to the Secretary of MITT before the taking of the vote at the MITT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in person at the MITT special meeting, although attendance at the MITT special meeting alone will not by itself constitute a revocation of a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TPG Mortgage Investment Trust, Inc., 245 Park Avenue, 26th Floor, New York, New York 10167, Attention: Secretary.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your shares of MITT Common Stock are held in “street name,” please refer to the instructions provided by your broker, bank or other nominee to revoke your proxy or change your vote before the vote is taken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is soliciting proxies on behalf of the MITT Board. MITT will bear the costs of soliciting proxies. Brokerage houses, fiduciaries, nominees and others will be reimbursed for their out-of-pocket expenses in forwarding proxy materials to owners of MITT Common Stock held in their names. In addition to the solicitation of proxies by use of the mail, proxies may be solicited from MITT stockholders by directors, officers and employees of MITT in person, by telephone, on the Internet or using any other appropriate means of communications. No additional compensation, except for reimbursement of reasonable out-of-pocket expenses, will be paid to MITT’s directors and officers and employees of MITT Manager or its affiliates in connection with this solicitation.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MITT has engaged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connection with the proxy solicitation and to indemnify D.F. King against certain losses, costs and expenses. No portion of the amount that MITT has agreed to pay to D.F. King is contingent upon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and Voting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date of the MITT special meeting, MITT stockholders may attend the MITT special meeting in person. However, you are only entitled to vote and/or ask questions at the MITT special meeting if you were a MITT common stockholder of record or beneficial owner as of the MITT Record Date and you pre-registered to attend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December 2, 2026, at 10:00 a.m., Eastern Time. If you hold your shares of MITT Common Stock in “street name” (i.e., you hold your shares of MITT Common Stock beneficially through a broker, bank or other nominee) and you would like to vote shares in person at the MITT special meeting, you will need to obtain a legal proxy from your broker, bank or other nominee. Obtaining a legal proxy may take several days. Please note that if you do not provide a copy of the legal proxy, you may still attend the MITT special meeting if you register in advance but you will not be able to vote your shares at the MITT special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Even if you plan to attend the MITT special meeting, MITT encourages you to vote in advance by phone, Internet or mail so that your vote will be counted even if you later decide not to attend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Required Vote; Abstentions and Broker Non-Votes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in person or by proxy, of the holders of shares of MITT Common Stock entitled to cast a majority of all the votes entitled to be cast at the MITT special meeting will constitute a quorum at the MITT special meeting. MITT will include abstentions in the calculation of the number of shares considered to be present at the MITT special meeting for purposes of determining the presence of a quorum at the MITT special meeting.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and the MITT Adjournment Proposal requires the affirmative vote of holders of a majority of the votes cast at the MITT special meeting, provided a quorum is present. Abstentions will not be counted as “votes cast” for these proposals and will therefore have no effect on the outcome of the vote on the MITT Common Stock Issuance Proposal or the MITT Adjournment Proposal. Any failure to return your proxy card or other failure to vote will have no effect on the outcome of the vote on the MITT Common Stock Issuance Proposal or the MITT Adjournment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Brokers, banks and other nominees that hold their customers’ shares in street name may not vote their customers’ shares on “non-routine” matters without instructions from their customers. Because each of the proposals to be voted upon at the MITT special meeting is considered “non-routine,” such organizations do not have discretion to vote on any of the proposals. As a result, if you do not provide your broker, bank or other nominee with instructions regarding how to vote your shares of MITT Common Stock, your shares of MITT Common Stock will not be considered present at the MITT special meeting and will not be voted on any of the proposals. Broker non-votes, if any, will have no effect on the MITT Common Stock Issuance Proposal or the MITT Adjournment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Regardless of the number of shares of MITT Common Stock you own, your vote is important. Please complete, sign, date and promptly return the enclosed proxy card today or authorize a proxy to vote your shares by phone or Internet.</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MITT special meeting, please contact D.F. King, MITT’s proxy solicitor for the MITT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6" w:name="i83fa352d46734275b61d24e814c76085"/>
      <w:bookmarkEnd w:id="76"/>
      <w:r>
        <w:rPr>
          <w:rFonts w:ascii="Times New Roman;serif" w:hAnsi="Times New Roman;serif"/>
          <w:b/>
          <w:color w:val="000000"/>
          <w:sz w:val="20"/>
        </w:rPr>
        <w:t>PROPOSALS SUBMITTED TO THE MITT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1: MITT Common Stock Issuance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stockholders are being asked to approve the issuance of shares of MITT Common Stock to the holders of CHMI Common Stock and the holders of vested and settled CHMI Equity Awards pursuant to the Merger Agreement. For a summary and detailed information regarding this proposal, see the information about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approval of the MITT Common Stock Issuance is a condition to the consummation of the Company Merger. If the MITT Common Stock Issuance Proposal is not approved, the Company Merger will not be completed.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requires the affirmative vote of the holders of a majority of the votes cast at the MITT special meeting. Abstentions and other shares not voted (whether by broker non-votes, if any, or otherwise) will not have an effect on the MITT Common Stock Issuance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Common Stock Issuance Proposal to issue shares of MITT Common Stock to holders of CHMI Common Stock and the holders of vested and settled CHMI Equity Awards pursuant to the Merger Agreement.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2: MITT Adjournment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special meeting may be adjourned to another time or place, if necessary or appropriate in the judgment of the MITT Board, to permit, among other things, further solicitation of proxies, if necessary or appropriate in the view of the MITT Board,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asking MITT common stockholders to approve the adjournment of the MITT special meeting, if necessary or appropriate, to solicit additional proxies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Adjournment Proposal requires the affirmative vote of the holders of a majority of the votes cast,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does not intend to call for a vote on the MITT Adjournment Proposal if the MITT Common Stock Issuance Proposal considered at the MITT special meeting has been approved at the MITT special meeting. </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Adjournment Proposal to adjourn the MITT special meeting, if necessary or appropriate, including to solicit additional proxies if there are not sufficient votes to approve the MITT Common Stock Issuance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Other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Maryland law and the MITT Bylaws, only matters described in the Notice of Special Meeting for MITT may be brought before the MITT special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7" w:name="i408121d1db3948918dd16cebaf36198f"/>
      <w:bookmarkEnd w:id="77"/>
      <w:r>
        <w:rPr>
          <w:rFonts w:ascii="Times New Roman;serif" w:hAnsi="Times New Roman;serif"/>
          <w:b/>
          <w:color w:val="000000"/>
          <w:sz w:val="20"/>
        </w:rPr>
        <w:t>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CHMI common stockholders for use at the CHMI special meeting. This joint proxy statement/prospectus and accompanying form of proxy are first being mailed to CHMI common stockholders on or about October 9,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special meeting of CHMI stockholders will be held virtually on December 2, 2026, at 9:00 a.m.,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the notice of the CHMI special meeting will be considered and voted upon at the CHMI special meeting. Any action may be taken on the items of business described above at the CHMI special meeting on the date specified above, or on any date or dates to which the CHMI special meeting may be postponed or adjourned.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MITT special meeting, including the items of business for that special meeting. At the CHMI special meeting, CHMI stockholders will not be voting on the proposals to be considered and voted 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the CHMI Record Date, there were 36,947,394 issued and outstanding shares of CHMI Common Stock. Each holder of record of CHMI Common Stock on the CHMI Record Date is entitled to one vote per share. Votes may be cast either virtually or by properly authorized proxy at the CHMI special meeting. As of the CHMI Record Date, the issued and outstanding shares of CHMI Common Stock were held by 9 registered holders and approximately 15,681 beneficial owners.</w:t>
      </w:r>
    </w:p>
    <w:p>
      <w:pPr>
        <w:pStyle w:val="TextBody"/>
        <w:bidi w:val="0"/>
        <w:spacing w:lineRule="auto" w:line="288" w:before="0" w:after="180"/>
        <w:jc w:val="both"/>
        <w:rPr/>
      </w:pPr>
      <w:r>
        <w:rPr>
          <w:rFonts w:ascii="Times New Roman;serif" w:hAnsi="Times New Roman;serif"/>
          <w:b/>
          <w:i/>
          <w:color w:val="000000"/>
          <w:sz w:val="20"/>
        </w:rPr>
        <w:t>Stockholders of Record</w:t>
      </w:r>
      <w:r>
        <w:rPr>
          <w:rFonts w:ascii="Times New Roman;serif" w:hAnsi="Times New Roman;serif"/>
          <w:b w:val="false"/>
          <w:i/>
          <w:color w:val="000000"/>
          <w:sz w:val="20"/>
        </w:rPr>
        <w:t xml:space="preserve">. </w:t>
      </w:r>
      <w:r>
        <w:rPr>
          <w:rFonts w:ascii="Times New Roman;serif" w:hAnsi="Times New Roman;serif"/>
          <w:b w:val="false"/>
          <w:color w:val="000000"/>
          <w:sz w:val="20"/>
        </w:rPr>
        <w:t>If you are a CHMI stockholder of record as of the CHMI Record Date, you may have your shares of CHMI Common Stock voted on the matters presented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t>
      </w:r>
      <w:r>
        <w:rPr>
          <w:rFonts w:ascii="Times New Roman;serif" w:hAnsi="Times New Roman;serif"/>
          <w:b w:val="false"/>
          <w:i/>
          <w:color w:val="000000"/>
          <w:sz w:val="20"/>
        </w:rPr>
        <w:t>www.envisionreports.com/CHMI</w:t>
      </w:r>
      <w:r>
        <w:rPr>
          <w:color w:val="000000"/>
        </w:rPr>
        <w:t xml:space="preserve"> </w:t>
      </w:r>
      <w:r>
        <w:rPr>
          <w:rFonts w:ascii="Times New Roman;serif" w:hAnsi="Times New Roman;serif"/>
          <w:b w:val="false"/>
          <w:color w:val="000000"/>
          <w:sz w:val="20"/>
        </w:rPr>
        <w:t xml:space="preserve">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December 1, 2026.</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If you vote by proxy, the individuals named on the proxy card will vote your shares of CHMI Common Stock in the manner you indicate. You may specify whether your shares of CHMI Common Stock should be voted for or against a proposal. You may also specify you would like to abstain from voting for or against a proposal. If you do not indicate on your proxy card how your votes should be cast, your shares of CHMI Common Stock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of the CHMI Merger Proposal, the CHMI Compensation Proposal and the CHMI Adjournment Proposal.</w:t>
      </w:r>
    </w:p>
    <w:p>
      <w:pPr>
        <w:pStyle w:val="TextBody"/>
        <w:bidi w:val="0"/>
        <w:spacing w:lineRule="auto" w:line="288" w:before="0" w:after="180"/>
        <w:jc w:val="both"/>
        <w:rPr/>
      </w:pPr>
      <w:r>
        <w:rPr>
          <w:rFonts w:ascii="Times New Roman;serif" w:hAnsi="Times New Roman;serif"/>
          <w:b/>
          <w:i/>
          <w:color w:val="000000"/>
          <w:sz w:val="20"/>
        </w:rPr>
        <w:t>Beneficial Owners</w:t>
      </w:r>
      <w:r>
        <w:rPr>
          <w:rFonts w:ascii="Times New Roman;serif" w:hAnsi="Times New Roman;serif"/>
          <w:b w:val="false"/>
          <w:color w:val="000000"/>
          <w:sz w:val="20"/>
        </w:rPr>
        <w:t>. If your shares of CHMI Common Stock are held in “street name” by a broker, bank or other nominee, please refer to the instructions provided by your broker, bank or other nominee. Please note that if you are a holder in “street name” and wish to vote virtually at the CHMI special meeting, you must obtain a legal proxy from your broker, bank or other nominee. For more information on obtaining a legal proxy from your broker, bank or other nominee, see “The CHMI Special Meeting—Attendance at the Virtual CHMI Special Meeting” beginning on page 68.</w:t>
      </w:r>
    </w:p>
    <w:p>
      <w:pPr>
        <w:pStyle w:val="TextBody"/>
        <w:bidi w:val="0"/>
        <w:spacing w:lineRule="auto" w:line="288" w:before="0" w:after="180"/>
        <w:jc w:val="both"/>
        <w:rPr/>
      </w:pPr>
      <w:r>
        <w:rPr>
          <w:rFonts w:ascii="Times New Roman;serif" w:hAnsi="Times New Roman;serif"/>
          <w:b/>
          <w:i/>
          <w:color w:val="000000"/>
          <w:sz w:val="20"/>
        </w:rPr>
        <w:t>Voting; Proxies</w:t>
      </w:r>
      <w:r>
        <w:rPr>
          <w:rFonts w:ascii="Times New Roman;serif" w:hAnsi="Times New Roman;serif"/>
          <w:b w:val="false"/>
          <w:color w:val="000000"/>
          <w:sz w:val="20"/>
        </w:rPr>
        <w:t>. All shares of CHMI Common Stock that are entitled to vote and are represented at the CHMI special meeting by properly authorized proxies received before or at the CHMI special meeting and not revoked, will be voted at the CHMI special meeting in accordance with the instructions indicated on the proxies. If no instructions are given on a timely and properly executed proxy card, your shares of CHMI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Votes cast by proxy or virtually at the CHMI special meeting will be tabulated by the inspector of elections appointed for the CHMI special meeting. The chairman of the CHMI special meeting will determine whether or not a quorum is present.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proxy given by a CHMI stockholder of record pursuant to this solicitation may be revoked at any time before the vote is taken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engaged Georgeson as proxy solicitor to assist in the solicitation of proxies for the CHMI special meeting. CHMI estimates it will pay Georgeson a fee of approximately $55,000 plus disbursements for these services. No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portion of the amount that CHMI has agreed to pay to Georgeson is contingent upon the Closing of the Company Merger.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 Any questions or requests for assistance regarding this joint proxy statement/prospectus and related proxy materials may be directed to Georgeson LLC by telephone toll-free at (877) 739-9301 or to CHMI Investor Relations by telephone at (877) 870-7005 or by email at InvestorRelations@chmireit.com.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at the Virtual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be able to virtually attend the CHMI special meeting, as well as vote and submit questions during the CHMI special meeting, by visiting www.meetnow.global/MS2Z2F5 on December 2, 2026 at 9:00 a.m., Eastern Time. If you wish to virtually attend the CHMI special meeting, you must (i) be a CHMI stockholder of record as of the CHMI Record Date, (ii) hold your shares of CHMI Common Stock beneficially in the name of a broker, bank or other nominee as of the CHMI Record Date or (iii) hold a valid proxy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registered CHMI stockholder, you will need the control number included with your proxy materials. You do not need to pre-register with Computershare to attend and vote at the CHMI special meeting. We encourage you to access the meeting prior to the starting time.</w:t>
      </w:r>
    </w:p>
    <w:p>
      <w:pPr>
        <w:pStyle w:val="TextBody"/>
        <w:bidi w:val="0"/>
        <w:spacing w:lineRule="auto" w:line="288" w:before="0" w:after="180"/>
        <w:jc w:val="both"/>
        <w:rPr/>
      </w:pPr>
      <w:r>
        <w:rPr>
          <w:rFonts w:ascii="Times New Roman;serif" w:hAnsi="Times New Roman;serif"/>
          <w:b w:val="false"/>
          <w:color w:val="000000"/>
          <w:sz w:val="20"/>
        </w:rPr>
        <w:t>If you are a “street name” CHMI stockholder (</w:t>
      </w:r>
      <w:r>
        <w:rPr>
          <w:rFonts w:ascii="Times New Roman;serif" w:hAnsi="Times New Roman;serif"/>
          <w:b w:val="false"/>
          <w:i/>
          <w:color w:val="000000"/>
          <w:sz w:val="20"/>
        </w:rPr>
        <w:t>i.e.</w:t>
      </w:r>
      <w:r>
        <w:rPr>
          <w:rFonts w:ascii="Times New Roman;serif" w:hAnsi="Times New Roman;serif"/>
          <w:b w:val="false"/>
          <w:color w:val="000000"/>
          <w:sz w:val="20"/>
        </w:rPr>
        <w:t>, you hold your shares of CHMI Common Stock beneficially through a broker, bank or other nominee), you must register in advance of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legalproxy@computershare.com;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Abstentions and Broker Non-Votes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the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“AGAINST”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each of the CHMI Compensation Proposal and the CHMI Adjournment Proposal requires the affirmative vote of a majority of the votes cast on such proposal at the CHMI special meeting.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Regardless of the number of shares of CHMI Common Stock you own, your vote is important. Please complete, sign, date and promptly return the enclosed proxy card today or authorize a proxy to vote your shares by phone or Internet. If you hold shares of CHMI Common Stock in “street name” through a broker, bank or other nominee, please provide your broker, bank or other nominee with instructions regarding how to vote your shares of CHMI Common Stock at the CHMI special meeting so that your shares of CHMI Common Stock will be considered present at the CHMI special meeting and will be voted on the proposals.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before="0" w:after="18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CHMI special meeting, please contact Georgeson, CHMI’s proxy solicitor for the CHMI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Georgeson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8" w:name="i5cb70363276c44fab188f9806ab8e15d"/>
      <w:bookmarkEnd w:id="78"/>
      <w:r>
        <w:rPr>
          <w:rFonts w:ascii="Times New Roman;serif" w:hAnsi="Times New Roman;serif"/>
          <w:b/>
          <w:color w:val="000000"/>
          <w:sz w:val="20"/>
        </w:rPr>
        <w:t>PROPOSALS SUBMITTED TO THE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1: CHMI Merger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the Merger Agreement and the Company Merger. For a summary and detailed information regarding this proposal, see the information about the Mergers, including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MGCL and pursuant to the Merger Agreement, approval of the CHMI Merger Proposal is a condition to the consummation of the Mergers. If the CHMI Merger Proposal is not approved, the Mergers will not be completed.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pPr>
      <w:r>
        <w:rPr>
          <w:rFonts w:ascii="Times New Roman;serif" w:hAnsi="Times New Roman;serif"/>
          <w:b w:val="false"/>
          <w:color w:val="000000"/>
          <w:sz w:val="20"/>
        </w:rPr>
        <w:t>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Abstentions from voting, the failure to give voting instructions to your broker, bank or other nominee (if you hold your shares of CHMI 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2: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14A of the Exchange Act, which was enacted as part of the Dodd-Frank Wall Street Reform and Consumer Protection Act of 2010, CHMI is required to provide its stockholders the opportunity to vote to approve, on a non-binding, advisory basis, certain compensation that may be paid or become payable to CHMI’s named executive officers in connection with the completion of the Mergers as discussed in the section entitled “The Mergers—Interests of CHMI’s Directors and Executive Officers in the Mergers,” beginning on page 115, including the table entitled “Golden Parachute Compensation” and accompanying footnotes. Accordingly, CHMI stockholders are being provided with the opportunity to cast an advisory vote on such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advisory vote, this proposal is not binding upon CHMI or the CHMI Board, and approval of this proposal is not a condition to completion of the Mergers, including the Company Merger. Because the executive compensation to be paid in connection with the Mergers is based on the terms of the Merger Agreement as well as the contractual arrangements with certain of CHMI’s named executive officers, such compensation will be payable in accordance with the terms and conditions applicable to such compensation, regardless of the outcome of this advisory vote, if the CHMI Merger Proposal is approved by the CHMI common stockholders and the Mergers are completed. However, CHMI seeks your support and believes that your support is appropriate because CHMI has a comprehensive executive compensation program designed to link the compensation of its executives with CHMI’s performance and the interests of CHMI’s stockholders. Accordingly, holders of shares of CHMI Common Stock are being asked to vote on the following resolution:</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 xml:space="preserve">RESOLVED, that the stockholders of Cherry Hill Mortgage Investment Corporation approve, on an advisory, non-binding basis, the compensation that may be paid or become payable to the named executive officers of Cherry Hill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Investment Corporation that is based on or otherwise relates to the Mergers, as disclosed pursuant to Item 402(t) of Regulation S-K under the heading “The Mergers — Interests of CHMI’s Directors and Executive Officers in the Mergers,” beginning on page 115 of the joint proxy statement/prospectus (which disclosure includes the “Golden Parachute Compensation” table required pursuant to Item 402(t) of Regulation 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stockholder approval of the CHMI Compensation Proposal is not a condition to consummation of the Mergers.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Compensation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3: CHMI Adjournment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a proposal that will give CHMI the authority to adjourn the CHMI special meeting to another place, time or date, if necessary or appropriate, for the purpose of soliciting additional proxies if there are insufficient shares of CHMI Common Stock represented (either virtually or by proxy) and voting to approve the CHMI Merger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at the CHMI special meeting, the number of shares of CHMI Common Stock present or represented by proxy and voting for the approval of the CHMI Merger Proposal is insufficient to approve such proposal, CHMI intends to move to adjourn the CHMI special meeting to another place, date or time in order to enable the CHMI Board to solicit additional proxies for approval of the CHMI Merger Proposal. CHMI does not intend to call a vote on the CHMI Adjournment Proposal if the CHMI Merger Proposal is considered and approved at the CHMI special meeting. If the CHMI special meeting is adjourned for the purpose of soliciting additional proxies, CHMI common stockholders who have already submitted their proxies will be able to revoke them at any time prior to their exercise.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Adjournment Proposal.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business may be brought before the CHMI special meeting except as set forth in the Notice of Special Meeting for CHMI.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79" w:name="i28e815705fd046d4b16585dbd174603e"/>
      <w:bookmarkEnd w:id="79"/>
      <w:r>
        <w:rPr>
          <w:rFonts w:ascii="Times New Roman;serif" w:hAnsi="Times New Roman;serif"/>
          <w:b/>
          <w:color w:val="000000"/>
          <w:sz w:val="20"/>
        </w:rPr>
        <w:t>THE MERGERS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Mergers. This summary does not purport to be complete and may not contain all of the information about the Mergers or the Merger Agreement that is important to you. The summary of the material terms of the Mergers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this joint proxy statement/prospectus, including the Merger Agreement, carefully and in its entirety for a more complete understanding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0" w:name="if56677c350c24187831fbd7883ead394"/>
      <w:bookmarkEnd w:id="8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has determined that the Merger Agreement and the Transactions, including the Company Merger and the MITT Common Stock Issuance are advisable, fair to and in the best interests of MITT, and the MITT Board has unanimously approved the Merger Agreement and the Transactions, including the Company Merger and the MITT Common Stock Issuance, and directed that the MITT Common Stock Issuance be submitted for consideration at the MITT special meeting, and resolved, subject to the terms and conditions of the Merger Agreement, to recommend that MITT’s stockholders approve the MITT Common Stock Issuance. Subject to the terms and conditions of the Merger Agreement, including the approval of the holders of CHMI Common Stock of the CHMI Merger Proposal, CHOP will merge with and into CHMI, with CHMI continuing as the surviving entity of the Partnership Merger, immediately after which CHMI will merge with and into Merger Sub, with Merger Sub continuing as the surviving entity of the Company Merger. CHMI stockholders will receive the Merger Consideration described below under “The Merger Agreement—Consideration for the Mergers” beginning on page 128.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1" w:name="i7bacf12d01464c0e820cd3c3ee376ba4"/>
      <w:bookmarkEnd w:id="81"/>
      <w:r>
        <w:rPr>
          <w:rFonts w:ascii="Times New Roman;serif" w:hAnsi="Times New Roman;serif"/>
          <w:b/>
          <w:color w:val="000000"/>
          <w:sz w:val="20"/>
        </w:rPr>
        <w:t xml:space="preserve">Background of the Mergers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chronology summarizes the key meetings and events that led to the signing of the Merger Agreement. This chronology does not purport to summarize every such meeting or event, or every conversation among the CHMI Board, the MITT Board, members of CHMI’s management, members of MITT’s management, representatives of CHMI or MITT or other parties.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and management team regularly review and evaluate MITT’s performance, future growth prospects and overall strategic direction and consider ways to strengthen the business and enhance the long-term value of MITT to its stockholders. In recent years, these reviews have included, among other things, a range of capital raising alternatives, including equity offerings, potential business combinations and the potential benefits and risks of those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CHMI Board regularly evaluates CHMI’s strategic direction and ongoing business plans and reviews possible ways of increasing long-term stockholder value. In the course of these reviews, the CHMI Board considers various investments, diversification into new assets, purchases and sales of assets, potential strategic business combinations, pursuing growth strategies as an independent company and other transactions with third parties, with the goal of furthering CHMI’s strategic objectives and enhancing value for CHMI stockholders.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various occasions in the past, CHMI has received overtures from, and/or engaged in discussions with, various third parties related to a possible strategic transaction involving CHMI. As the CHMI Board evaluated these potential strategic transactions, it considered and discussed various factors, including, but not limited to, the trading price of CHMI Common Stock relative to CHMI’s book value per share of CHMI Common Stock, CHMI’s ability to raise capital through the sale of its equity or debt securities, the competitive landscape for residential mortgage REITs and for acquisitions of MSRs from third parties, CHMI’s underlying business performance and CHMI’s ability to pay cash dividends on CHMI Common Stock at then-existing levels. None of these discussions regarding potential strategic transactions with third parties resulted in CHMI entering into a definitive agreement with respect to, or otherwise consummating, a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22, 2024, CHMI announced that the CHMI Board had formed a special committee to explore potential strategic alternatives available to CHMI, which included potential business combination transactions with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including MITT. Following the special committee’s evaluation process, on July 8, 2024, the CHMI Board, acting on the recommendation of the special committee of the CHMI Board, determined (which was subsequently announced by CHMI on July 9, 2024) that it was advisable and in the best interests of CHMI and its stockholders to internalize management of CHMI, terminate the management agreement between CHMI and Cherry Hill Mortgage Management, LLC, CHMI’s then-external manager, and take all steps necessary to begin operating CHMI as a fully integrated, internally managed mortgage REIT. Thereafter, CHMI successfully completed the internalization and formally terminated its external management agreement with Cherry Hill Mortgage Management, LLC effective as of November 14,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and after CHMI’s internalization as of November 14, 2024, CHMI management and the CHMI Board maintained relationships with, and engaged in discussions from time to time with, certain financial advisors, including BTIG, to observe trends and changes in the market and supplement CHMI’s understanding of the strategic alternatives that might be available to CHMI in the market generally. At various times in the second, third and fourth quarters of 2025, representatives of BTIG discussed with members of CHMI management potential strategic alternatives available to CHMI, including potentially changing CHMI’s investment strategy from being a residential mortgage REIT with a focus on investing in servicing-related assets and Agency RMBS to becoming a digital asset company with a focus on investing in cryptocurrencies and other digital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 from August 2025 through September 2025, BTIG and CHMI management engaged in preliminary discussions with three digital asset companies. One party was a privately-held company operating a digital asset management and lending business, which we refer to as “Party A,” and conversations with the other two digital asset companies did not progress beyond early stage introductory discussions.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2025, the CHMI Board held a meeting at which representatives of BTIG were present. Representatives of BTIG provided the CHMI Board with an overview of trends and opportunities in the digital asset space and potential alternatives that CHMI could explore to transition to a digital asset strategy. After such discussion, the CHMI Board indicated it was willing to consider potential digital asset strategies and instructed CHMI management to explore such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25, 2025, CHMI and BTIG executed a customary financial advisor non-disclosure agreement in order for CHMI to share confidential information with BTIG to facilitate CHMI exploring digital asset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2025, Jay Lown, President and Chief Executive Officer of CHMI, together with representatives of BTIG, had a conference call with a representative of Party A in which the participants discussed Party A’s platform and the potential for a strategic business combination between Party A and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2025, Mr. Lown and other members of the CHMI management team participated in a conference call with a representative of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CHMI and Party A executed a confidentiality agreement to facilitate the exchange of confidential information in connection with the parties’ exploration of a potential strategic business combination. The confidentiality agreement contained customary provisions, including a standstill provision that, among other things, for a period of 12 months after the date of the confidentiality agreement, prohibits Party A from making or otherwise participating in any public proposal to acquire CHMI or any capital stock or material assets of CHMI without the prior written consent of the CHMI Board, but permits Party A to make a nonpublic proposal for a strategic transaction at any time. The standstill provisions of the confidentiality agreement fall away and no longer apply in the event CHMI executes a definitive agreement (such as the Merger Agreement) with respect to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from October 2025 through December 2025, CHMI management and representatives of Party A engaged in multiple due diligence discussions regarding their respective businesses, including CHMI management’s due diligence of Party A’s business, its client base, its client pipeline and its anticipated capital raising.</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4, 2025, Thomas J. Durkin, President and Chief Executive Officer of MITT and a member of the MITT Board, following a November 3, 2025, MITT Board meeting that discussed outreach to Mr. Lown, had a telephonic conversation with Mr. Lown, in which Mr. Durkin informed Mr. Lown that MITT was interested in exploring a potential strategic transaction with CHMI. Mr. Durkin did not propose any terms for such a transaction other than to indicate that a transaction could involve a combination of MITT stock and cash payable to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9, 2025, Party A submitted a non-binding letter of intent, which we refer to as the “Initial Party A LOI,” to CHMI setting forth Party A’s proposed terms for a potential strategic business combination with CHMI. The Initial Party A LOI proposed a stock-for-stock reverse merger transaction in which Party A would merge with and into a subsidiary of CHMI and become a wholly owned subsidiary of CHMI and CHMI would remain a public company and issue shares of CHMI Common Stock to the stockholders of Party A as consideration for such merger. Following such merger, the combined company would “de-REIT” and reorient its business strategy to focus on digital asset management and originating loans secured by digital assets. The Initial Party A LOI proposed an aggregate valuation of Party A of $200 million to $225 million and valued CHMI at $113 million to $126 million in the aggregate, or $3.02 to $3.35 per share of CHMI Common Stock, based on a 0.90x to 1.00x multiple of CHMI’s fully diluted book value per share. Under the proposed terms of the Initial Party A LOI, after the merger, Party A stockholders would own between 61% and 67% of the combined company and existing CHMI stockholders would own between 33% and 39%, in each case excluding any additional capital raises. No consideration would be paid to CHMI stockholders in the proposed transaction. The Initial Party A LOI also contemplated that Party A would contribute between $100 million and $200 million of equity capital from its existing investors, stockholders and clients to anchor a post-closing capital raise, and that the combined company would pursue a concurrent private investment in public equity (“PIPE”) capital raise of $300 million to $400 million to fund continued growth of the combined company after consummation of the proposed transaction. The Initial Party A LOI also contemplated a nine-member post-closing board of CHMI, with three directors designated by CHMI and six directors designated by Party A. The draft of the Initial Party A LOI also reflected a binding exclusivity provision in favor of Party A. In the Initial Party A LOI, Party A indicated it was interested in a reverse merger to allow the post-closing combined company to access public markets using CHMI’s Form S-3 eligibility.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2025, the CHMI Board held a meeting at which representatives of BTIG were present. Representatives of BTIG provided the CHMI Board with an overview of a potential strategic transaction with Party A. After discussion and deliberation, the CHMI Board instructed CHMI management to continue to explore a potential strategic transaction with Party A without granting exclusivity or executing the Initial Party A LOI. CHMI management and representatives of BTIG then discussed with the CHMI Board the inbound expression of interest from MITT to explore a potential strategic transaction and the likelihood that MITT would be interested in actually pursuing such a transaction. After discussion and deliberation, the CHMI Board determined that it would not explore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2025, and December 17, 2025, Mr. Durkin contacted Mr. Lown to express MITT’s continued interest in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MITT Board held a meeting during which the December 4, 2025 discussions between Mr. Durkin and M. Lown were discussed with the MITT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2025, the CHMI Board approved the engagement of BTIG as CHMI’s financial advisor in connection with CHMI’s exploration of potential strategic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Mr. Lown notified Mr. Durkin by email that the CHMI Board was not interested in exploring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20, 2025, Mr. Durkin communicated to Mr. Lown that MITT would remain interested in discussing a potential strategic transaction if the CHMI Board were to be open to such a discussion at a later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BTIG and CHMI executed an engagement letter pursuant to which BTIG would serve as CHMI’s financial advisor in connection with CHMI’s exploration of potential strategic transactions.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and January 2026, Party A and CHMI management continued to engage in due diligence of their respective businesses, which was facilitated by BTIG. In the course of such due diligence review and the evaluation of a possible transaction, digital asset markets experienced a downturn in the first quarter of 2026, which negatively impacted digital asset valuations. During that time, Party A, which was in the process of raising capital for its business, experienced difficulty in finding additional funding at values that Party A’s management determined to be attractive. In light of these developments, BTIG and CHMI management began to prepare a revised valuation of Party A, which reflected a significant reduction from Party A’s valuation proposed by Party A in the Initial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13, 2026, the MITT Board held a meeting at which representatives of MITT management were present. Representatives of MITT’s management discussed with the MITT Board Mr. Durkin’s communication with Mr. Lown and discussed generally the strategic rationale for a transaction with CHMI. MITT management also discussed acquiring shares of CHMI Common Stock, which purchases were authorized by the MITT Board.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March 9, 2026 and April 13, 2026, AG MIT purchased 734,800 shares of CHMI Common Stock at a weighted average purchase price of $2.64 through open-market purchases.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12, 2026, the CHMI Board held a meeting at which representatives of BTIG were present. Representatives of BTIG provided an overview of a potential strategic transaction with Party A, including the diligence completed to date and BTIG’s and CHMI management’s analysis and view that, based on developments in the digital assets market, the valuation of Party A should be reduced by approximately half (i.e., $100 million to $125 million in the aggregate) in any strategic combination with Party A. After discussion and deliberation, the CHMI Board authorized and instructed CHMI management and BTIG to propose the revised valuation terms to Party A. The CHMI Board also instructed CHMI management to work with CHMI’s outside counsel, Mayer Brown LLP, which we refer to as “Mayer Brown,” to prepare a markup of the Initial Party A LOI to be shared with Party A at the appropriate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MITT Board held a meeting at which representatives of MITT management were present. MITT management updated the MITT Board on AG MIT’s purchase of shares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and April 2026, BTIG and CHMI management continued to conduct due diligence on Party A and assess the viability of a potential strategic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March 2026 and April 2026, representatives on behalf of two parties, which we refer to as “Party B” and “Party C,” respectively, separately contacted members of CHMI management to indicate they were interested in exploring a potential strategic transaction with CHMI. Neither Party B nor Party C proposed any terms for such a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April 2026, CHMI management and Mayer Brown prepared a markup of the Initial Party A LOI, which we refer to as the “Revised Party A LOI,” reflecting CHMI’s proposed revisions, including changes to the proposed valuation and changing the number of board members for the post-closing CHMI board to six, with three directors being designated by CHMI and three directors being designated by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the CHMI Board held a meeting at which representatives of Mayer Brown were present. At the meeting, the CHMI Board and CHMI management discussed the valuation of Party A in connection with CHMI management’s due diligence review of a potential strategic transaction with Party A and discussed engaging in a market check as part of CHMI’s exploration of strategic transactions, in light of the uncertainty of whether a potential strategic transaction with Party A would be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CHMI Board held a meeting at which representatives of BTIG and Mayer Brown were present. Representatives of BTIG discussed with the CHMI Board a possible market check process to determine whether there were other potential strategic transactions available to CHMI and, if the CHMI Board determined to pursue such a process, the proposed strategy for outreach to potential bidders. Representatives of BTIG also reviewed CHMI’s proposed revisions to the terms of the Initial Party A LOI, as reflected in the Revised Party A LOI. After discussion and deliberation, the CHMI Board determined to initiate a market check process and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pursue a potential transaction with Party A in parallel and instructed BTIG to propose five to seven companies for targeted market check outreach, subject to the approval of the CHMI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24, 2026, BTIG provided the CHMI Board with a list of seven proposed parties for the targeted market check, which did not initially include MITT or Party B but included Party 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the CHMI Board approved the list of potential bidders proposed by BTIG and instructed BTIG to commence outreach to such parties. The CHMI Board also instructed BTIG to deliver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on April 27, 2026, the MITT Board held a meeting at which representatives of MITT management were present. During the meeting, representatives of MITT management indicated that they had not had any further communication from CHMI but continued to believe there was a strategic rationale for pursuing a potential transaction with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BTIG, at the CHMI Board’s direction, initiated the market check process. On April 30, 2026, BTIG contacted all seven parties identified in its April 24, 2026 list, six of which indicated a willingness to participate in the process.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BTIG, on behalf of CHMI, delivered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6, 2026, Piper Sandler, financial advisor to MITT, contacted BTIG at MITT’s direction to indicate that MITT was interested in exploring a potential strategic transaction with CHMI. Later that month, Party B similarly independently contacted members of CHMI management to indicate the same. At the CHMI Board’s direction, BTIG added them to the process. A total of eight parties, including MITT, Party B and Party C, participated in the process (the remaining participants other than MITT, Party B and Party C, we refer to as “Party D”, “Party E”, “Party F”, “Party G” and “Party H”, respectively). All such parties executed a confidentiality agreement with CHMI, each of which was substantively and substantially similar to the confidentiality agreement signed by Party A and contained customary provisions, including a standstill provision that, among other things, for a period of eighteen months after the date of the confidentiality agreement, prohibits such party from making or otherwise participating in any public proposal to acquire CHMI or any capital stock or material assets of CHMI without the prior written consent of the CHMI Board, but permits such party to make a nonpublic proposal for a strategic transaction at any time. The standstill provisions of each confidentiality agreement fall away and no longer apply in the event CHMI executes a definitive agreement (such as the Merger Agreement) with respect to a potential strategic transaction. BTIG indicated to all participants (other than Party B, which was added to the process on May 28, 2026) that they would need to submit their preliminary proposals for a strategic transaction by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on May 8, 2026, BTIG, on behalf of CHMI, provided each of MITT and Parties C through H access to limited due diligence materials regarding CHMI and its businesses via an online virtual data room. Party B was provided such access on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May 8, 2026 and May 28, 2026, each of Party E, Party F and Party G notified BTIG that it was no longer interested in participating in the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2026, the MITT Board held a meeting at which the status of the potential strategic transaction with CHMI was discussed. MITT management noted that MITT had acquired approximately 2% of the outstanding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May 27, 2026 and June 1, 2026, BTIG, on behalf of CHMI, received preliminary proposals from each of MITT and Party B, Party C, Party D and Party H. In its proposal, Party B proposed an all-cash acquisition of CHMI at an aggregate price of approximately $133 million, or approximately $3.52 per share of CHMI Common Stock, with its proposal being contingent on, among other requirements, CHMI liquidating its RMBS portfolio prior to closing and prohibiting the payment of dividends after the execution of definitive transaction documents. MITT proposed a merger at an aggregate value of approximately $126 million, or approximately $3.35 per share of CHMI Common Stock, with consideration consisting of approximately 72% MITT Common Stock and 28% cash, with the stock consideration to be based on a fixed exchange ratio and the approximately $35 million cash component being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funded by a contribution of $15 million from MITT and $20 million from MITT Manager. MITT’s proposal also contemplated one CHMI Board designee being appointed to the post-closing MITT Board. MITT’s proposal indicated that the approval of the holders of MITT Common Stock would be required for its proposed transaction. Party C proposed a strategic transaction with an aggregate value of approximately $103 million to $119 million, or approximately $2.75 to $3.15 per share of CHMI Common Stock. Party C’s proposal contemplated the contribution of senior housing assets by Party C and its affiliates to CHOP in exchange for newly issued operating partnership units of CHOP, with CHMI transitioning from a residential mortgage REIT to a senior housing REIT externally managed by Party C, no consideration paid to CHMI stockholders and CHMI retaining two seats on a nine-member board of the post-closing senior housing REIT. Party D proposed a transaction in the form of an asset sale by CHMI followed by a full liquidation of CHMI at an aggregate value of approximately $115 million, or approximately $3.05 per share of CHMI Common Stock, consisting of approximately 83% of Party D common stock (based on a floating exchange ratio) and 17% cash consideration. Party H proposed a 100% stock merger at an aggregate value of approximately $104 million, or approximately $2.76 per share of CHMI Common Stock, based on a floating exchange ratio, and its proposal did not contemplate any CHMI Board representation on the post-closing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2026, BTIG electronically provided Party C with a list of questions to clarify certain financial and structural terms of its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 2026, Party A delivered to BTIG, on behalf of CHMI, a markup of the Revised Party A LOI, which we refer to as the “Final Party A LOI.” The Final Party A LOI contemplated a stock-for-stock reverse merger at an implied aggregate CHMI equity value of approximately $109 million to $121 million, or approximately $2.88 to $3.20 per share of CHMI Common Stock, and accepted the revised valuation of Party A of $100 million to $125 million proposed in the Revised Party A LOI. The proposal in the Final Party A LOI also contemplated a capital raise of $50 million to $100 million from certain of Party A’s affiliates concurrent with a PIPE capital raise of $300 million to $400 million and a six-member post-closing board with three CHMI designated directors and three Party A designated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1, 2026 and June 2, 2026, BTIG engaged in discussions with MITT, Party B, Party D and Party H and certain of their respective advisors to clarify certain financial and structural terms of their proposals.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 2026, representatives of BTIG and representatives of Party A had a discussion in which they discussed Party A’s continued evaluation of the availability of and likelihood of securing indications of interest from third parties regarding the PIPE financing contemplated by the Final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2026, the CHMI Board held a meeting at which representatives of BTIG and representatives of Mayer Brown were present. Representatives of BTIG updated the CHMI Board on the market check process, including that Party E, Party F and Party G had declined to submit a preliminary proposal. Representatives of BTIG also updated the CHMI Board on the status of discussions with Party A, reviewed the terms of the Final Party A LOI and the effect of current digital asset market conditions on Party A’s capital-raising efforts. Representatives of BTIG then provided an overview of the proposals received from each of MITT and Party B, Party C, Party D and Party H. After discussion and deliberation, the CHMI Board decided not to pursue the proposals submitted by Party C and Party H and instructed BTIG to engage in continued discussions with MITT and Party A, Party B and Party D to clarify certain terms proposed by each of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4, 2026, Party C electronically provided previously requested information to BTIG to clarify the terms of its proposal as well as supplemental detail on its historical track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7, 2026, the CHMI Board held a meeting at which representatives of BTIG and representatives of Mayer Brown were present. Representatives of BTIG updated the CHMI Board on their discussions with MITT, Party A, Party B and Party D, as well as an overview of the new information provided by Party C with respect to its proposal, and their responses to the clarification questions BTIG had asked of them. After discussion and deliberation and consideration of the relative merits of each of the proposals, the CHMI Board determined to continue to engage and explore a potential transaction with each of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BTIG, at the direction of the CHMI Board, notified each of MITT, Party A, Party B and Party D that they had progressed to the next round of the process and requested that they provide their updated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proposals by no later than July 8, 2026 and that such updated proposals should include a markup of a merger agreement to be provided by Mayer Brown.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8, 2026 and July 8, 2026, MITT, Party B and Party D conducted additional diligence regarding CHMI and its business, including through access to CHMI management, the online virtual data room and CHMI’s advisors. During this period, CHMI management and BTIG responded to diligence requests and participated in diligence discussions regarding, among other matters, legal matters, tax matters, accounting matters, regulatory matters, CHMI’s financial model and portfolio marks, servicing income and general business matters. In parallel, during such period, Party A continued to evaluate its ability to obtain indications of interest from third parties regarding the PIPE financing contemplated by the Final Party A LOI, and representatives of BTIG engaged in discussions with representatives of Party A regarding the same.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the CHMI Board held a meeting. At the meeting, CHMI management discussed with the CHMI Board the proposed financial projections of CHMI for the years ending December 31, 2026, 2027, 2028 and 2029, with the projections for the year ending December 31, 2026 reflecting CHMI’s historical results through the end of the first quarter of fiscal 2026, which we refer to as the “Initial CHMI Projections,” which projections are described in more detail under “—Certain CHMI Unaudited Prospective Financial Information” beginning on page 111 and would be provided to BTIG for use in its financial analyses and fairness opinion and disclosure to bidders in connection with their evaluation of a potential strategic transaction with CHMI. The CHMI Board reviewed and asked questions regarding the Initial 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2026, following review and consideration, the CHMI Board approved the Initial CHMI Projections and authorized (i) CHMI management to provide the Initial CHMI Projections to BTIG, (ii) BTIG to use the Initial CHMI Projections in connection with BTIG’s financial analysis relating to the rendering of their fairness opinion to the CHMI Board and (iii) BTIG to provide the Initial CHMI Projections to the bidders in connection with their evaluation of a potential strategic transaction with CHMI. Later that day, BTIG, on behalf of CHMI, delivered the Initial CHMI Projections to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June 16, 2026, the MITT Board held a meeting at which representatives of MITT’s management and Piper Sandler were present. Representatives of MITT management and Piper Sandler provided an update on MITT’s review of the potential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19, 2026, June 22, 2026 and July 1, 2026, CHMI management provided management presentations to, and engaged in due diligence question-and-answer sessions with, representatives of Party B.</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25, 2026, BTIG, on behalf of CHMI, made CHMI’s proposed draft of the merger agreement available to MITT, Party B and Party D through the online virtual data room. The draft merger agreement was available in a form to be used for a stock-for-stock transaction and a form to be used for an all cash transaction. Other than differences to account for the two different transaction structures, the terms of the forms were the same in all substantive respects. Also on June 25, 2026, BTIG made the second round process letter available to MITT and Party A, Party B and Party D, which specified a deadline for final proposal submissions of July 8, 2026. Party A was not provided a draft of the merger agreement because the proposed transaction between Party A and CHMI contemplated a reverse merger of Party A with and into CHMI, with CHMI surviving. As a result, Mayer Brown would be required to draft a third form of merger agreement for use solely by Party A. Due to concerns over Party A’s valuation resulting from the downturn in the digital asset market, the CHMI Board instructed CHMI management to continue negotiating the terms of a transaction with Party A, including Party A’s valuation, and to instruct Mayer Brown to prepare a draft merger agreement between Party A and CHMI if a transaction with Party A became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the MITT Board held a meeting at which representatives of MITT’s management and Piper Sandler were present. Representatives of MITT management and Piper Sandler provided an update on MITT’s review of the potential transaction with CHMI, including MITT’s review of the draft merger agreement that was provided by CHMI. At the meeting, representatives of MITT’s management presented to the MITT Board potential changes the MITT Manager was requesting be made to its incentive fee structure under the MITT Management Agreement in exchange for the MITT Manager funding a portion of the cash consideration payable in the proposed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transaction. Following this presentation, MITT’s independent directors met with a representative of Fried, Frank, Harris, Shriver &amp; Jacobson LLP, which we refer to as “Fried Frank”, counsel to MITT’s independent directors. The representative of Fried Frank discussed with the independent directors their fiduciary duties relating to their consideration of a potential change to the MITT Manager’s incentive fee structure.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and July 2, 2026, CHMI management provided management presentations to, and engaged in due diligence question-and-answer sessions with, representatives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2026, the MITT Board held a meeting at which representatives of MITT’s management, Piper Sandler and Fried Frank were present. Representatives of MITT management and Piper Sandler provided an update on MITT’s review of the potential transaction with CHMI and certain financial considerations relating to the proposed transaction. Representatives of MITT’s management and Fried Frank discussed with the MITT Board the proposed changes to the MITT Manager’s incentive fee structure under the MITT Management Agreement in exchange for the MITT Manager funding a portion of the cash consideration, including how the incentive fee structure, as proposed to be changed, compared to incentive fee terms at peer externally managed REITs. Following discussion, the MITT Board authorized MITT’s representatives to submit an updated proposal to CHMI, which proposal was sent to BTIG, on CHMI’s behalf, on July 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8, 2026, BTIG, on behalf of CHMI, received updated proposals from each of MITT, Party B and Party D. MITT’s updated proposal contemplated a merger in which holders of CHMI Common Stock would receive 0.307 shares of MITT Common Stock per share pursuant to a fixed exchange ratio (assuming a 1.10x multiple on CHMI adjusted book value, as calculated by MITT) plus $35.0 million of aggregate cash consideration, consisting of approximately $15.0 million from MITT and approximately $20.0 million from MITT Manager, or approximately $0.93 per share in cash, implying an aggregate transaction value of approximately $125.6 million, or approximately $3.31 per share of CHMI Common Stock. MITT’s proposal contemplated that holders of CHMI Common Stock would own approximately 26% of MITT following closing and one independent member of the CHMI Board would be added to the MITT Board at closing. MITT’s proposal also included a markup of the draft merger agreement. Party B’s updated proposal contemplated an all-cash merger at $2.89 per share of CHMI Common Stock, implying an aggregate transaction value of approximately $109.7 million and reflecting Party B’s estimated changes to CHMI’s book value between signing and closing. Party B’s proposal contemplated that approximately $16.0 million of the $109.7 million of proposed merger consideration would be paid as a special dividend by CHMI before or at closing, with the remainder paid by Party B in cash at closing and prohibited the payment of dividends, other than the special dividend, after the execution of definitive transaction documents. Party B’s proposal (i) indicated that it would be a condition to closing that CHMI maintain a cash balance of $53 million and, if CHMI had a cash balance below such number, the aggregate merger consideration would be reduced by such difference, and (ii) required CHMI to liquidate and monetize its RMBS net assets and derivative securities before closing and invest the proceeds, net of the special dividend, in treasuries on a repo basis to maintain REIT status through closing and (iii) close the proposed transaction on or after December 31, 2026 (we refer to the foregoing clauses (i) and (ii) as the “Party B Conditions”). The CHMI Board viewed the Party B Conditions unfavorably because they created closing uncertainty as well as significant uncertainty with respect to the value that would ultimately be realized by the CHMI stockholders in such transaction. Party B’s proposal did not include a markup of the merger agreement. Party D’s updated proposal contemplated an asset sale to Party D followed by a full liquidation of CHMI in which holders of CHMI Common Stock would receive Party D common stock pursuant to a floating exchange ratio plus $15.0 million, or approximately $0.40 per share of CHMI Common Stock, in cash, implying an aggregate transaction value of approximately $122.2 million, or approximately $3.22 per share of CHMI Common Stock. Party D’s proposal contemplated that holders of CHMI Common Stock would own approximately 13% of Party D following closing and did not contemplate that any members of the CHMI Board would be appointed to Party D’s board of directors. Party D’s proposal did not include a markup of the merger agreement. Each of MITT, Party B and Party D requested exclusivity as a condition for continuing to explore and negotiate a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2026, the CHMI Board held a meeting at which representatives of BTIG and representatives of Mayer Brown were present. Representatives of BTIG reported that MITT, Party B and Party D had submitted updated proposals and described the terms of such updated proposals. Representatives of BTIG also provided an overview of the business and financial performance of MITT and Party D and the historic stock prices of each. Representatives of BTIG also reported that Party A had not submitted an updated proposal by the July 8 deadline,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no formal indications or commitments had been submitted by Party A’s affiliates for the proposed concurrent capital raise and that Party A had not found any credible sources for the PIPE financing contemplated in the Final Party A LOI. The CHMI Board continued to express concerns about whether a transaction with Party A would be actionable in light of the uncertainty over Party A’s valuation and the combined company’s ability to engage in a PIPE financing. The CHMI Board and the representatives of BTIG and Mayer Brown also discussed the specific terms of the second-round proposals and the relative merits of the alternatives, including differences in pricing, consideration mix and value certainty and the potential tax implications of each proposal. Representatives of BTIG also presented an analysis of precedent mortgage REIT M&amp;A transactions. After discussion and deliberation, the CHMI Board determined to continue to consider the updated proposals and convene a meeting the following day to determine next steps.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13, 2026, the CHMI Board held a meeting at which representatives of Mayer Brown were present and representatives of BTIG were present for part of the meeting. A representative of Mayer Brown discussed with the members of the CHMI Board the contents of the memorandum from BTIG disclosing BTIG’s relationships with MITT, Party A, Party B and Party D. After discussion and deliberation, the CHMI Board determined that BTIG did not have a conflict of interest with any such parties that would impair BTIG’s ability to provide independent financial advice to the CHMI Board regarding a potential strategic transaction with any of such parties. In addition, a representative of Mayer Brown reviewed with the members of the CHMI Board their fiduciary duties under Maryland law in connection with the CHMI Board’s consideration of potential strategic transactions. The CHMI Board discussed the second-round proposals from MITT, Party B and Party D, including the significant downward revision in Party B’s proposal, the relative pricing and transaction terms, tax structure, potential long-term value for CHMI stockholders and risks associated with the respective business models. After discussion and deliberation, the CHMI Board determined that none of the potential transactions with any of Party A, Party B or Party D were in the best interests of the holders of CHMI Common Stock and that the proposed strategic transaction with MITT had the greatest potential benefit to such holders compared to the other strategic alternatives reasonably available to CHMI. The CHMI Board directed BTIG to offer exclusivity of no more than 30 days to MITT on the condition that MITT’s proposal be revised to reflect (i) a collar on the exchange ratio to reduce risk associated with movements in the price of MITT Common Stock, (ii) an increase to the merger consideration and (iii) an increase in the number of CHMI directors appointed to the MITT Board at closing from one to two, which we refer to, collectively, as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Later on July 13, 2026, a representative of BTIG relayed to Mr. Durkin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14, 2026, Mr. Durkin relayed to a representative of BTIG that (i) MITT would not accept putting a collar on the exchange ratio, (ii) MITT would agree to an exchange ratio of MITT Common Stock based on a 1.12x multiple (rather than a 1.10x multiple) on CHMI adjusted book value, as calculated by MITT, and (iii) MITT would accept increasing the number of CHMI directors being appointed to the MITT Board at closing to two directors, in each case, subject to CHMI granting MITT exclusivity for 30 days.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15, 2026, the CHMI Board held a meeting at which representatives of Mayer Brown and representatives of BTIG were present. Representatives of BTIG reported on MITT’s response to the CHMI Counterproposal. After discussion and deliberation, the CHMI Board determined to grant exclusivity to MITT on the basis of the terms discussed by BTIG and Mr. Durkin on July 14, 2026 and instructed Mayer Brown to prepare a draft exclusivity agreement and to commence preparing a markup of the merger agreement and related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2026, MITT and CHMI executed an exclusivity agreement contemplating a 30 day exclusivity period for MITT. The exclusivity agreement did not require CHMI to disclose to MITT any unsolicited proposals that CHMI received during the exclusivity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July 16, 2026, Party B delivered a further updated proposal which contemplated an all-cash merger at $3.33 per share of CHMI Common Stock, implying an aggregate transaction value of approximately $126.4 million, and remained subject to pre-closing adjustments based on changes in CHMI’s book value prior to closing. Party B’s proposal contemplated that approximately $16.0 million of the $126.4 million of proposed merger consideration would be paid as a special dividend by CHMI before or at closing, with the remainder paid by Party B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cash at closing. Party B’s updated proposal did not include a markup of the merger agreement and remained qualified by the Party B Conditions.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July 16, 2026 and August 6, 2026, (i) Mayer Brown, BTIG and CHMI management conducted customary confirmatory due diligence on MITT in connection with the potential transaction, and (ii) Hunton Andrews Kurth LLP, counsel to MITT, which we refer to as “Hunton,” Piper Sandler and MITT’s external advisors conducted customary confirmatory due diligence on CHMI in connection with the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17, 2026, the directors of CHMI, after consultation with Mayer Brown and BTIG, determined that, notwithstanding the fact that CHMI was under exclusivity with MITT, it was still not interested in pursuing a potential transaction with Party B on the basis of its updated proposal delivered on July 16, 2026 due to the Party B Conditions reflected in such proposal and that CHMI should continue to pursue a potential transaction with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CHMI management delivered to the CHMI Board an updated version of the Initial CHMI Projections, which took into account, with respect to the projections for the year ending December 31, 2026, CHMI’s historical performance for the first six months of 2026 and, with respect to the projections for the years ending December 31, 2026, 2027, 2028 and 2029, changes in the one-month SOFR forward interest rate curve. We refer to the updated projections as the “Updated CHMI Projections.” The Updated CHMI Projections are described in more detail under “—Certain CHMI Unaudited Prospective Financial Information” beginning on page 111. CHMI management explained to the CHMI Board that the Updated CHMI Projections would be provided to BTIG for use in its financial analyses and fairness opinion and to MITT in connection with its evaluation of a potential strategic transaction with CHMI. The CHMI Board reviewed and asked questions regarding the Updated CHMI Projections.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July 28, 2026, Hunton delivered to Mayer Brown a further revised draft of the merger agreement, and Mayer Brown delivered to Hunton an initial draft of the voting and support agreement pursuant to which AG MIT, would vote its shares of CHMI Common Stock in favor of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29, 2026, following review and consideration, the CHMI Board approved the Updated CHMI Projections and authorized (i) CHMI management to provide the Updated CHMI Projections to BTIG, (ii) BTIG to use the Updated CHMI Projections in connection with BTIG’s financial analysis relating to the rendering of their fairness opinion to the CHMI Board and (iii) BTIG to provide the Updated CHMI Projections to MITT and its advisors in connection with their evaluation of a potential strategic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MITT Board held a meeting at which representatives of MITT management, Piper Sandler and Fried Frank were present. Representatives of MITT management and Piper Sandler provided an update on the status of the proposed transaction and MITT’s due diligence review of CHMI. In addition, the independent directors, together with a representative of Fried Frank, met in executive session without members of MITT management to review the proposed terms of the amendment to the MITT Management Agreement pursuant to which MITT Manager proposed, among other things, to make certain revisions with respect to the incentive fee and termination fee payable thereunder in exchange for agreeing to pay the Per Share Additional Manager Consideration, as further described under “—MITT Management Agreement Amendment” beginning on page 123.</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BTIG, on behalf of CHMI, delivered the Updated CHMI Projections to MITT and Piper Sandler.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Mayer Brown delivered to Hunton a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MITT provided CHMI and its representatives with certain projections of MITT, which projections are described in more detail under “—Certain MITT Unaudited Prospective Financial Information” beginning on page 108.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representatives of Mayer Brown and Hunton participated in discussions concerning several remaining open points in the merger agreement, including the amount of the termination fees, the treatment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of CHMI Equity Awards in the transaction, proposed exceptions to interim operating covenants regarding employee and compensation matters and the regulatory clearances that would be conditions to closing for the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Hunton circulated a further revised draft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Hunton delivered to Mayer Brown a revised draft of the voting and support agreement, which was in substantially final form.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the MITT Board held a meeting at which representatives of MITT management, Piper Sandler, Hunton and Fried Frank were present. Representatives of Hunton reviewed the directors’ fiduciary duties under Maryland law. Representatives of Hunton also provided the MITT Board with both a written and an oral summary of the key terms of the draft merger agreement and the voting and support agreement. Representatives of Piper Sandler reviewed with the MITT Board Piper Sandler’s preliminary financial analyses with respect to CHMI and MITT and the proposed merger. Following discussion and consideration of the proposed transaction with CHMI, the MITT Board determined to proceed with the transaction, assuming the satisfactory finalization of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August 7, 2026, the CHMI Board held a meeting at which representatives of BTIG and Mayer Brown were present. Representatives of Mayer Brown reviewed the directors’ fiduciary duties under Maryland law. At the request of the CHMI Board, representatives of BTIG reviewed with the CHMI Board BTIG’s preliminary financial analyses with respect to CHMI and MITT and the proposed merger. Mayer Brown provided the CHMI Board with both a written and an oral summary of the key terms of the merger agreement and the voting and support agreement, noting any items that remained to be resolved. A representative of Mayer Brown also described for the CHMI Board the resolutions that the CHMI Board would consider adopting at its next meeting. Following discussion and consideration of the proposed transaction with MITT, the CHMI Board determined to proceed with the transaction, assuming the satisfactory finalization of transaction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2026, Hunton and Mayer Brown exchanged revisions to the merger agreement. Following such exchanges, all material open points in the transaction documents were settled and resolved.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8, 2026, representatives of Piper Sandler and BTIG, on behalf of MITT and CHMI, respectively, held discussions with respect to finalizing the calculation of the merger consideration, which as a result of those discussions, were determined to be as follows: (i) based on CHMI’s adjusted book value as calculated by MITT as of June 30, 2026 and calculating the exchange ratio based on the previously settled 1.12x multiple on such CHMI adjusted book value, the stock portion of the merger consideration would equal 0.3063 shares of MITT Common Stock per share for each share of CHMI Common Stock, and (ii) the cash portion of the merger consideration would equal $0.93 in cash per share of CHMI Common Stock, consisting of $0.41 payable by MITT and $0.52 payable by MITT Manager, which we refer to as, collectively, the “Final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the MITT Board held a meeting at which representatives of Piper Sandler, Hunton and Fried Frank were present. A representative of Hunton reviewed with the MITT Board the resolution of the issues in the merger agreement that had been unresolved as of the time of the meeting of the MITT Board on August 6, 2026. Representatives of Piper Sandler reviewed with the MITT Board Piper Sandler’s financial analyses with respect to CHMI and MITT and the proposed merger. Thereafter, at the request of the MITT Board, a representative of Piper Sandler provided an oral summary of Piper Sandler’s fairness opinion, subsequently confirmed by delivery of its written opinion to the MITT Board, stating that as of August 9, 2026 and based upon and subject to the various assumptions, qualifications, limitations and other matters set forth therein, the aggregate Per Share MITT Consideration payable pursuant to the Merger Agreement was fair, from a financial point of view, to MITT, as described in more detail under “—Opinion of MITT’s Financial Advisor” beginning on page 92. Following further discussion, the MITT Board then unanimously determined that (i) the Merger Agreement and the transactions contemplated thereby were advisable, fair to and in the best interests of MITT and its stockholders, (ii) approved the execution and performance of the Merger Agreement and the transactions contemplated thereby, including the Company Merger, the MITT Common Stock Issuance, the MITT Management Agreement Amendment and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Voting Agreement, and (iii) resolved to recommend that the holders of MITT Common Stock approve the MITT Common Stock Issuance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9, 2026, the CHMI Board held a meeting at which representatives of Mayer Brown and representatives of BTIG were present. A representative of Mayer Brown reviewed with the CHMI Board the resolution of the issues in the merger agreement that had been unresolved as of the time of the meeting of the CHMI Board on August 7, 2026, which we refer to as the “August 7 Meeting.” Representatives of BTIG explained to the CHMI Board that, following the August 7 Meeting, MITT had agreed to the Final Merger Consideration, which resulted in implied merger consideration of approximately $3.10 per share, based on MITT’s closing stock price on August 7, 2026. At the request of the CHMI Board, representatives of BTIG reviewed with the CHMI Board BTIG’s financial analyses with respect to CHMI and MITT and the proposed merger. Thereafter, at the request of the CHMI Board, a representative of BTIG rendered BTIG’s oral opinion to the CHMI Board (which was subsequently confirmed in writing by delivery of a written fairness opinion letter signed by BTIG and dated as of August 9, 2026) to the effect that, based on and subject to the assumptions made, procedures followed, factors considered, limitations of the review undertaken and qualifications contained in the opinion, as of the date of the opinion, the Common Stock Merger Consideration to be received by holders of CHMI Common Stock (other than holders of Canceled Shares) pursuant to the merger agreement was fair, from a financial point of view, to the holders of CHMI Common Stock (other than holders of Canceled Shares), as described in more detail under “—Opinion of CHMI’s Financial Advisor” beginning on page 102. The CHMI Board then unanimously determined that (i) the Merger Agreement and the transactions contemplated thereby were advisable, fair to and in the best interests of CHMI and its stockholders, (ii) approved the execution and performance of the Merger Agreement and the transactions contemplated thereby, including the Mergers and the Voting Agreement, (iii) approved the calling of the CHMI special meeting, and (iv) resolved to recommend that the holders of CHMI Common Stock approve the CHMI Merger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evening of August 9, 2026, MITT, CHMI, CHOP, Merger Sub and MITT Manager executed the Merger Agreement, CHMI and AG MIT executed the Voting Agreement and MITT and MITT Manager executed the MITT Management Agreement Amendment.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opening of trading on the NYSE on August 10, 2026, CHMI and MITT issued a joint press release announcing the entry into the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2" w:name="idd0598c47cef4e6e969192e4d878849d"/>
      <w:bookmarkEnd w:id="82"/>
      <w:r>
        <w:rPr>
          <w:rFonts w:ascii="Times New Roman;serif" w:hAnsi="Times New Roman;serif"/>
          <w:b/>
          <w:color w:val="000000"/>
          <w:sz w:val="20"/>
        </w:rPr>
        <w:t>Recommendation of the MITT Board and Its Reasons for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its meeting on August 9, 2026, the MITT Board unanimously (i) determined that the Merger Agreement and the Transactions, including the Company Merger and the MITT Common Stock Issuance, are advisable, fair to and in the best interests of MITT, (ii) approved the Merger Agreement and the Transactions, including the Company Merger and the MITT Common Stock Issuance, and (iii) directed that the MITT Common Stock Issuance be submitted for consideration at the MITT special meeting, and (iv) resolved, subject to the terms and conditions of the Merger Agreement, to recommend that MITT’s stockholders approve the MITT Common Stock Issuance.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the Merger Agreement, the Mergers and the issuance of the MITT Common Stock Issuance and the Per Share MITT Cash Consideration and MITT Manager’s issuance of the Per Share Additional Manager Consideration, the MITT Board consulted with senior management of MITT and MITT Manager and MITT’s outside legal and financial advisors and considered numerous factors that the MITT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considered that the Company Merger is expected to provide a number of significant benefits to MITT and its stockholders, including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is expected to result in enhanced scale that would benefit its stockholders through increased operating leverage and could better position the combined company to raise capital, which should support continued growth across MITT’s target assets and position MITT to take advantage of opportunities as they arise in the diversified markets in which MITT operates;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oMITT’s strategy as a pure play residential mortgage REIT and programmatic issuer of Non-Agency securitizations complements CHMI’s Agency RMBS and mortgage servicing rights strategy;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Company Merger is expected to be accretive to the combined company’s earnings in 2027;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increased market capitalization resulting from the Company Merger is expected to enhance the trading volume and liquidity for MITT’s stockholders, generate a greater level of interest in MITT’s business from institutional investors, and provide more efficient access to the capital markets;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larger size MITT will achieve as a result of the Company Merger may benefit MITT as larger mortgage REITs have historically tended to trade at better market-price-to-book-value multiples compared to smaller mortgage REITs;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combination of MITT and CHMI are expected to create cost savings and efficiencies over time resulting from the allocation of fixed operating expenses over a larger common equity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business, operations, financial condition, earnings and prospects of MITT and CHMI, after taking into account the results of MITT’s due diligence review of CHMI, the current and prospective business environments in which MITT and CHMI operate, and current and prospective general economic and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commitment on the part of MITT, MITT Manager and CHMI to consummate the Company Merger as reflected in their respective obligations under the terms of the Merger Agreement, including that CHMI may be required to pay MITT a termination fee under certain circumstances and MITT Manager’s commitment to pay the Per Share Additional Manager Consideration and amend the terms of the Management Agreement with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also considered a variety of risks and other potentially negative factors in considering the Merger Agreement, the Company Merger and the other transactions contemplated by the Merger Agreement, including, but not limited to, the following material factors: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Company Merger may not ultimately be accretive to MITT’s earnings;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diverting management focus and resources from operational matters and other strategic opportunities while working to implement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Merger Agreement includes a fixed exchange ratio and the risk that CHMI’s book value per share may decline, including as a result of net losses, following execution of the Merger Agreement and MITT’s potential inability to terminate the Merger Agreement due to such changes;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notwithstanding the likelihood of the Company Merger being completed, the Company Merger may not be completed, or that completion may be unduly delayed, including the effect of the pendency of the Company Merger and the effect such failure to be completed may have on the trading price of MITT’s common stock and MITT’s operating results, particularly in light of the costs incurred in connection with the transaction;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risk that all Required Regulatory Approvals for the Company Merger may not be obtained on a timely basis or at all;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cost savings, operational efficiencies and other benefits to MITT stockholders expected to result from the Company Merger might not be fully realized or realized at all;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other potential difficulties in integrating the two companies and their respective operations;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substantial costs to be incurred in connection with the transaction, including the transaction expenses arising from the Company Merger and the costs of integrating the businesses of MITT and CHMI, including additional regulatory costs;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may negatively affect CHMI’s operations and its relationships with current and future business partners, customers, management and employees during the pendency of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restrictions on the conduct of MITT’s business during the period between the execution of the Merger Agreement and the consummation of the Company Merger, including, without limitation, restrictions on MITT’s ability to consider other potential transactions (including acquisition proposals to acquire MITT) and the fact that MITT may be required to pay a termination fee to the CHMI under certain circumstances;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matters described in the sections entitled “Risk Factors” and “Cautionary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discussion of the factors considered by the MITT Board is not intended to be exhaustive and is not provided in any specific order or ranking, but rather includes material factors considered by the MITT Board. In view of the wide variety of factors considered in connection with its evaluation of the Merger Agreement, the Company Merger and the other transactions contemplated by the Merger Agreement, and the complexity of these matters, the MITT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MITT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Company Merger and the other transactions contemplated by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MITT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For the reasons set forth above, the MITT Board has unanimously (i) determined that the Merger Agreement and the Transactions, including the Company Merger and the MITT Common Stock Issuance are advisable, fair to and in the best interests of MITT, and (ii) approved the Merger Agreement and the Transactions, including the Company Merger and the MITT Common Stock Issuance, and (iii) directed that the MITT Common Stock Issuance be submitted for consideration at the MITT special meeting, and (iv) resolved, subject to the Merger Agreement, to recommend that MITT’s stockholders approve the MITT Common Stock Issuance on the terms and subject to the conditions of the Merger Agreement. The MITT Board unanimously recommends that the MITT common stockholders vote “FOR” the MITT Common Stock Issuance Proposal and “FOR” the MITT Adjournment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83" w:name="i28c949f31d6d47bea1ea3ed9eea6a40a"/>
      <w:bookmarkEnd w:id="83"/>
      <w:r>
        <w:rPr>
          <w:rFonts w:ascii="Times New Roman;serif" w:hAnsi="Times New Roman;serif"/>
          <w:b/>
          <w:color w:val="000000"/>
          <w:sz w:val="20"/>
        </w:rPr>
        <w:t>Recommendation of the CHMI Board and Its Reasons for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CHMI Board unanimously recommends that the CHMI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CHMI Merger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reaching its determination and recommending that the holders of CHMI Common Stock approve the CHMI Merger Proposal, the CHMI Board evaluated the Merger Agreement and the transactions contemplated therein in consultation with CHMI’s management team and outside legal and financial advisors and carefully considered numerous factors that the CHMI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Scale</w:t>
      </w:r>
      <w:r>
        <w:rPr>
          <w:rFonts w:ascii="Times New Roman;serif" w:hAnsi="Times New Roman;serif"/>
          <w:b w:val="false"/>
          <w:color w:val="000000"/>
          <w:sz w:val="20"/>
        </w:rPr>
        <w:t>. The CHMI Board considered the enhanced scale of the Combined Company as a mortgage REIT and the expectation that the Combined Company would benefit from greater scale, operational leverage and a broader capital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Best Available Alternative</w:t>
      </w:r>
      <w:r>
        <w:rPr>
          <w:rFonts w:ascii="Times New Roman;serif" w:hAnsi="Times New Roman;serif"/>
          <w:b w:val="false"/>
          <w:color w:val="000000"/>
          <w:sz w:val="20"/>
        </w:rPr>
        <w:t>. The CHMI Board considered its view, following discussions with CHMI’s management team and financial advisor, that the Mergers represented the most attractive alternative reasonably available to CHMI, including relative to remaining an independent public company, add-on acquisitions and other potential alternatives. In evaluating such alternatives, the CHMI Board considered, among other things, the CHMI Projections, the possible stockholder value that might result from such alternatives, as well as the feasibility of such alternatives and the risks and uncertainties associated with pursuing them. The CHMI Board also considered its view, following discussions with CHMI’s management team and financial advisor, that MITT was the most attractive merger partner for CHMI and its stockholders. The CHMI Board further considered its views, following discussions with CHMI’s management team and financial advisor, with respect to the industry, business, financial condition, current business strategy and short- and long-term prospects of CHMI, including the current challenges facing the industry and CHMI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Expected Management Team and Board of Directors</w:t>
      </w:r>
      <w:r>
        <w:rPr>
          <w:rFonts w:ascii="Times New Roman;serif" w:hAnsi="Times New Roman;serif"/>
          <w:b w:val="false"/>
          <w:color w:val="000000"/>
          <w:sz w:val="20"/>
        </w:rPr>
        <w:t>. The CHMI Board considered the management team of the Combined Company, including the management team’s operating expertise, and the expected business model of the Combined Company. The CHMI Board considered that MITT and the MITT Manager have a history of successfully integrating and scaling a similar acquisition completed by MITT and increasing the amount of the guaranteed cash dividend payable to MITT’s stockholders. The CHMI Board further considered that the interests of the CHMI stockholders would be protected by the fact that two of the existing members of the CHMI Board would be appointed to the MITT Board at the Closing of the Mergers, which would provide for continued representation on the board of directors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Terms and Course of Negotiations</w:t>
      </w:r>
      <w:r>
        <w:rPr>
          <w:rFonts w:ascii="Times New Roman;serif" w:hAnsi="Times New Roman;serif"/>
          <w:b w:val="false"/>
          <w:color w:val="000000"/>
          <w:sz w:val="20"/>
        </w:rPr>
        <w:t xml:space="preserve">. The CHMI Board considered the negotiations on the Merger Consideration, including the Exchange Ratio and the cash components of the Merger Consideration. The CHMI Board considered that, in addition to the Per Share Stock Consideration of 0.3063 shares of MITT Common Stock, holders of CHMI Common Stock would receive $0.41 per share in cash from MITT and the Per Share Additional Manager Consideration of $0.52 per share in cash from the MITT Manager. The CHMI Board considered the fact that, because of the fixed Exchange Ratio, CHMI stockholders would have certainty as to the number of shares of MITT Common Stock to be issued in connection with the Company Merger and would also have the opportunity to benefit from any increase in the trading price of MITT Common Stock between the announcement and the Closing of the Mergers, while at the same time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recognizing the risk of any decrease in the trading price of MITT Common Stock during the same time period. The CHMI Board also took note of the course of negotiations between CHMI and MITT in arriving at the Merger Consideration and the historic and current market prices of CHMI Common Stock and MITT Common Stock. Further, the CHMI Board took note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Merger Consideration, based on the Exchange Ratio, the cash components of the Merger Consideration and the trading prices of CHMI Common Stock and MITT Common Stock, would represent an approximately 29% premium to the closing price of CHMI Common Stock on August 7, 2026 (the last full trading day prior to the announcement of the execution of the Merger Agreement) and a 32% premium to the 30-day volume weighted average price of CHMI Common Stock as of August 7, 2026;</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respective dividend policies and dividend yields of CHMI and MITT;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expected financial impact of the Mergers on CHMI’s stockholders and the potential accretion/dilution of the future results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Cash Portion of the Merger Consideration</w:t>
      </w:r>
      <w:r>
        <w:rPr>
          <w:rFonts w:ascii="Times New Roman;serif" w:hAnsi="Times New Roman;serif"/>
          <w:b w:val="false"/>
          <w:color w:val="000000"/>
          <w:sz w:val="20"/>
        </w:rPr>
        <w:t>. The CHMI Board considered that, in addition to the Per Share Stock Consideration, holders of CHMI Common Stock would receive cash consideration consisting of (i) the Per Share MITT Cash Consideration of $0.41 per share from MITT and (ii) the Per Share Additional Manager Consideration of $0.52 per share from the MITT Manager, which cash consideration provides CHMI stockholders with immediate value that is not subject to fluctuations in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Stock Portion of the Merger Consideration</w:t>
      </w:r>
      <w:r>
        <w:rPr>
          <w:rFonts w:ascii="Times New Roman;serif" w:hAnsi="Times New Roman;serif"/>
          <w:b w:val="false"/>
          <w:color w:val="000000"/>
          <w:sz w:val="20"/>
        </w:rPr>
        <w:t>. The CHMI Board considered the fact that, in addition to the cash components of the Merger Consideration, the stock component of the Merger Consideration would allow holders of CHMI Common Stock to participate in the potential long-term upside of the Combined Company through their ownership of MITT Common Stock. The CHMI Board also considered the fact that holders of CHMI Preferred Stock would receive MITT Preferred Stock with substantially similar rights, preferences, privileges and powers as the CHMI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Pro Forma Ownership</w:t>
      </w:r>
      <w:r>
        <w:rPr>
          <w:rFonts w:ascii="Times New Roman;serif" w:hAnsi="Times New Roman;serif"/>
          <w:b w:val="false"/>
          <w:color w:val="000000"/>
          <w:sz w:val="20"/>
        </w:rPr>
        <w:t>. The CHMI Board took note of the fact that, immediately following the Company Merger Effective Time, the shares of MITT Common Stock held by the MITT common stockholders as of immediately prior to the Company Merger Effective Time are expected to represent in the aggregate approximately 73% of the Combined Company’s outstanding shares of common stock, and holders of CHMI Common Stock, including holders of CHMI Equity Awards that are vesting and settling in, or being converted into, CHMI Common Stock under the Merger Agreement prior to the Company Merger are expected to own in the aggregate the remaining approximately 27% of the Combined Company’s outstanding shares of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Fairness Opinion</w:t>
      </w:r>
      <w:r>
        <w:rPr>
          <w:rFonts w:ascii="Times New Roman;serif" w:hAnsi="Times New Roman;serif"/>
          <w:b w:val="false"/>
          <w:color w:val="000000"/>
          <w:sz w:val="20"/>
        </w:rPr>
        <w:t>. The CHMI Board considered the oral opinion of BTIG rendered to the CHMI Board on August 9, 2026, which was subsequently confirmed by delivery of a written opinion, dated August 9, 2026, to the CHMI Board, to the effect that, as of the date of such opinion and based on and subject to the assumptions made, procedures followed, factors considered, limitations of the review undertaken and qualifications contained in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as more fully described in the section entitled “The Mergers – Opinion of CHMI’s Financial Advisor” beginning on page 102.</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Enhanced Access to Capital Markets</w:t>
      </w:r>
      <w:r>
        <w:rPr>
          <w:rFonts w:ascii="Times New Roman;serif" w:hAnsi="Times New Roman;serif"/>
          <w:b w:val="false"/>
          <w:color w:val="000000"/>
          <w:sz w:val="20"/>
        </w:rPr>
        <w:t>. The CHMI Board considered the expectation that the Combined Company would have enhanced access to capital markets across secured and unsecured solutions.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Stock Liquidity</w:t>
      </w:r>
      <w:r>
        <w:rPr>
          <w:rFonts w:ascii="Times New Roman;serif" w:hAnsi="Times New Roman;serif"/>
          <w:b w:val="false"/>
          <w:color w:val="000000"/>
          <w:sz w:val="20"/>
        </w:rPr>
        <w:t>. The CHMI Board considered the expected increase in the liquidity of the publicly traded common stock of the Combined Company that would result from the Mergers, and the anticipated greater level of interest in the Combined Company’s business from a broader investor base.</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Potential for Improved Price to Book Value Ratio</w:t>
      </w:r>
      <w:r>
        <w:rPr>
          <w:rFonts w:ascii="Times New Roman;serif" w:hAnsi="Times New Roman;serif"/>
          <w:b w:val="false"/>
          <w:color w:val="000000"/>
          <w:sz w:val="20"/>
        </w:rPr>
        <w:t>. The CHMI Board considered the fact that, while there are no guarantees as to future results, the economic and operational leverage associated with the business of the Combined Company and the expected increase in the liquidity of the publicly traded common stock of the Combined Company may provide the opportunity for the publicly traded common stock of the Combined Company to trade at a market price closer to the tangible book value per share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Substantive Results of Due Diligence Investigations</w:t>
      </w:r>
      <w:r>
        <w:rPr>
          <w:rFonts w:ascii="Times New Roman;serif" w:hAnsi="Times New Roman;serif"/>
          <w:b w:val="false"/>
          <w:color w:val="000000"/>
          <w:sz w:val="20"/>
        </w:rPr>
        <w:t>. The CHMI Board considered the scope of the due diligence investigation of MITT conducted by CHMI’s management team and its outside advisors and the substantive results thereof, as reported to the CHMI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Terms of the Merger Agreement and Related Documentation</w:t>
      </w:r>
      <w:r>
        <w:rPr>
          <w:rFonts w:ascii="Times New Roman;serif" w:hAnsi="Times New Roman;serif"/>
          <w:b w:val="false"/>
          <w:color w:val="000000"/>
          <w:sz w:val="20"/>
        </w:rPr>
        <w:t>. The CHMI Board considered the terms and conditions of the Merger Agreement and related documentation, including: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likelihood that the Mergers and the other transactions contemplated by the Merger Agreement would be completed on a timely basis, acknowledging the limited closing conditions in the Merger Agreement, which include the need to obtain the approval of the holders of CHMI Common Stock and the holders of MITT Common Stock of the CHMI Merger Proposal and the MITT Common Stock Issuance Proposal, respectively;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representation of MITT and the MITT Manager that they will have access to sufficient funds to pay the cash portion of the Merger Consideration and that the Company Merger is not subject to any financing condition;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the CHMI Board and the MITT Board, under certain circumstances, is permitted to change its recommendation to its stockholders with respect to the CHMI Merger Proposal and the MITT Common Stock Issuance Proposal, respectively, and that the other party is thereafter entitled to terminate the Merger Agreement and collect a termination fee of, in the case of payment by MITT, $7,990,000 and, in the case of payment by CHMI,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CHMI Board is also permitted to terminate the Merger Agreement, prior to approval by CHMI’s stockholders, to accept and enter into an agreement providing for the implementation of a superior proposal, subject to the “matching rights” granted to MITT under the Merger Agreement and subject to the payment to MITT of a termination fee of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view of the CHMI Board that the termination fee payable by CHMI described above would not prevent a potentially interested third party from making a proposal to acquire CHMI following the announcement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obligation of MITT to cause the appointment of two of the existing members of the CHMI Board to the board of directors of the Combined Company;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CHMI and MITT will be permitted to continue to pay its respective dividends leading up to the closing of the Mergers, subject to certain conditions specified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also considered a variety of risks and other potentially negative factors in considering the Merger Agreement, the Mergers and the other transactions contemplated by the Merger Agreement,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Cost and Disruption of the Pending Transaction</w:t>
      </w:r>
      <w:r>
        <w:rPr>
          <w:rFonts w:ascii="Times New Roman;serif" w:hAnsi="Times New Roman;serif"/>
          <w:b w:val="false"/>
          <w:color w:val="000000"/>
          <w:sz w:val="20"/>
        </w:rPr>
        <w:t xml:space="preserve">. The CHMI Board noted the significant costs involved in connection with entering into the Merger Agreement and completing the Mergers and the substantial time and effort of CHMI’s management team required to complete the transactions contemplated by the Merger Agreement, which may disrupt CHMI’s business operations. In addition, the CHMI Board noted the risks and contingencies related to the announcement and pendency of the transactions contemplated by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 Agreement, including the impact on CHMI’s employees and its prospective and existing business relationships.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Risks to and Attributes of MITT’s Business</w:t>
      </w:r>
      <w:r>
        <w:rPr>
          <w:rFonts w:ascii="Times New Roman;serif" w:hAnsi="Times New Roman;serif"/>
          <w:b w:val="false"/>
          <w:color w:val="000000"/>
          <w:sz w:val="20"/>
        </w:rPr>
        <w:t xml:space="preserve">. The CHMI Board considered the risks related to MITT’s business, including as described in the risk factors set forth in MITT’s filings with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Interest of CHMI’s Directors and Officers.</w:t>
      </w:r>
      <w:r>
        <w:rPr>
          <w:color w:val="000000"/>
        </w:rPr>
        <w:t xml:space="preserve"> </w:t>
      </w:r>
      <w:r>
        <w:rPr>
          <w:rFonts w:ascii="Times New Roman;serif" w:hAnsi="Times New Roman;serif"/>
          <w:b w:val="false"/>
          <w:color w:val="000000"/>
          <w:sz w:val="20"/>
        </w:rPr>
        <w:t xml:space="preserve">The CHMI Board considered the fact that CHMI’s directors and executive officers have interests in the Mergers that may be different from, or in addition to, those of CHMI’s stockholders generally, including certain interests arising from the employment and compensation arrangements of CHMI’s executive officers, and the manner in which they would be affected by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Interim Operations.</w:t>
      </w:r>
      <w:r>
        <w:rPr>
          <w:color w:val="000000"/>
        </w:rPr>
        <w:t xml:space="preserve"> </w:t>
      </w:r>
      <w:r>
        <w:rPr>
          <w:rFonts w:ascii="Times New Roman;serif" w:hAnsi="Times New Roman;serif"/>
          <w:b w:val="false"/>
          <w:color w:val="000000"/>
          <w:sz w:val="20"/>
        </w:rPr>
        <w:t xml:space="preserve">The CHMI Board considered the provisions of the Merger Agreement placing restrictions on the conduct of CHMI’s business prior to the consummation of the Mergers, which may delay or prevent CHMI from undertaking business opportunities that may arise or other actions that it might otherwise take with respect to the operations of CHMI.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Competing Proposals.</w:t>
      </w:r>
      <w:r>
        <w:rPr>
          <w:color w:val="000000"/>
        </w:rPr>
        <w:t xml:space="preserve"> </w:t>
      </w:r>
      <w:r>
        <w:rPr>
          <w:rFonts w:ascii="Times New Roman;serif" w:hAnsi="Times New Roman;serif"/>
          <w:b w:val="false"/>
          <w:color w:val="000000"/>
          <w:sz w:val="20"/>
        </w:rPr>
        <w:t>The CHMI Board took into account that, prior to entering into the Merger Agreement, CHMI participated in a limited auction process and that the Merger Agreement precludes CHMI from actively soliciting proposals with respect to alternative transactions and that a fee of $4,700,000 would be payable to MITT under the Merger Agreement if, among other things, CHMI terminates the Merger Agreement in order to enter into an agreement with respect to a superior proposal. However, the CHMI Board considered those issues mitigated by the fact that the “no solicitation” provisions in the Merger Agreement provide (i) the flexibility for any interested party to provide an unsolicited competing proposal and the ability, under certain circumstances, for CHMI to engage in negotiations with the party making such competing proposal and (ii) the ability for CHMI to terminate the Merger Agreement to accept and enter into an agreement with respect to a competing proposal that constitutes a superior proposal, subject to the “matching rights” granted to MITT under the Merger Agreement (as described elsewhere in this joint proxy statement/prospectus) and the payment of the $4,700,000 termination fee (which the CHMI Board viewed as not likely to deter any interested parties from making a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Impact of MITT Management Agreement.</w:t>
      </w:r>
      <w:r>
        <w:rPr>
          <w:color w:val="000000"/>
        </w:rPr>
        <w:t xml:space="preserve"> </w:t>
      </w:r>
      <w:r>
        <w:rPr>
          <w:rFonts w:ascii="Times New Roman;serif" w:hAnsi="Times New Roman;serif"/>
          <w:b w:val="false"/>
          <w:color w:val="000000"/>
          <w:sz w:val="20"/>
        </w:rPr>
        <w:t xml:space="preserve">The CHMI Board considered the risks related to the MITT Management Agreement and the fact that MITT is externally managed by the MITT Manager, including the possibility that the costs of an external manager might exceed the costs of being internally managed and the potential negative impact of the MITT Management Agreement on future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Considerations.</w:t>
      </w:r>
      <w:r>
        <w:rPr>
          <w:color w:val="000000"/>
        </w:rPr>
        <w:t xml:space="preserve"> </w:t>
      </w:r>
      <w:r>
        <w:rPr>
          <w:rFonts w:ascii="Times New Roman;serif" w:hAnsi="Times New Roman;serif"/>
          <w:b w:val="false"/>
          <w:color w:val="000000"/>
          <w:sz w:val="20"/>
        </w:rPr>
        <w:t>The CHMI Board considered the risks that the transactions contemplated by the Merger Agreement may be dilutive to MITT’s Earnings Available for Distribution and tangible book value per share in the near term, although the transaction is expected to be accretive to MITT’s stockholders within one year of the Closing of the Mergers. The CHMI Board also considered the fact that, because a portion of the Merger Consideration consists of a fixed number of shares of MITT Common Stock, the value of the MITT Common Stock to be paid to CHMI stockholders upon the Closing of the Merger could be less than its implied value immediately prior to the announcement of the execution of the Merger Agreement, as a result of a decrease in the market price of MITT Common Stock between the time of the announcement and the Closing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Tax Treatment.</w:t>
      </w:r>
      <w:r>
        <w:rPr>
          <w:color w:val="000000"/>
        </w:rPr>
        <w:t xml:space="preserve"> </w:t>
      </w:r>
      <w:r>
        <w:rPr>
          <w:rFonts w:ascii="Times New Roman;serif" w:hAnsi="Times New Roman;serif"/>
          <w:b w:val="false"/>
          <w:color w:val="000000"/>
          <w:sz w:val="20"/>
        </w:rPr>
        <w:t>The CHMI Board considered the fact that, although the Company Merger is intended to qualify as a reorganization within the meaning of Section 368(a) of the Code, the cash received by holders of CHMI Common Stock as part of the Merger Consideration (including the Per Share MITT Cash Consideration and the Per Share Additional Manager Consideration) may recognize gain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discussion of the factors considered by the CHMI Board is not intended to be exhaustive and is not provided in any specific order or ranking, but rather includes material factors considered by the CHMI Board. In view of the wide variety of factors considered in connection with its evaluation of the Merger Agreement,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and the transactions contemplated by the Merger Agreement, and the complexity of these matters, the CHMI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CHMI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Mergers and the other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CHMI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For the reasons set forth above, the CHMI Board has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The CHMI Board unanimously recommends that the CHMI stockholders vote “FOR” the CHMI Merger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4" w:name="i42b6b404f37b4219b9ccc39c5c66011b"/>
      <w:bookmarkEnd w:id="84"/>
      <w:r>
        <w:rPr>
          <w:rFonts w:ascii="Times New Roman;serif" w:hAnsi="Times New Roman;serif"/>
          <w:b/>
          <w:color w:val="000000"/>
          <w:sz w:val="20"/>
        </w:rPr>
        <w:t>Opinion of MITT’s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engaged Piper Sandler to act as exclusive financial advisor to the MITT Board in connection with the Company Merger. In connection with this engagement, the MITT Board requested that Piper Sandler evaluate the fairness to MITT, from a financial point of view, of the aggregate Per Share MITT Consideration pursuant to the Merger Agreement. On August 9, 2026, at a meeting of the MITT Board held to evaluate the Company Merger, Piper Sandler rendered its opinion, confirmed by delivery of a written opinion dated August 9, 2026, to the MITT Board to the effect that, as of that date and based on and subject to the various assumptions made, procedures followed, matters considered and limitations and qualifications on the review undertaken by Piper Sandler, as set forth therein, the aggregate Per Share MITT Consideration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Piper Sandler’s written opinion, dated August 9, 2026, to the MITT Board, which sets forth, among other things, the assumptions made, procedures followed, matters considered and limitations and qualifications on the review undertaken by Piper Sandler in connection with such opinion, is attached to this joint proxy statement/prospectus as Annex D. The description of Piper Sandler’s opinion set forth in this joint proxy statement/prospectus is qualified in its entirety by reference to the full text of Piper Sandler’s opinion. Piper Sandler’s opinion was provided to the MITT Board (in its capacity as such) for its information in connection with its evaluation of the aggregate Per Share MITT Consideration from a financial point of view and did not address any other terms, aspects or implications of the Company Merger, the relative merits of the Company Merger or related transactions as compared to alternative transactions or strategies that might be available to MITT or the underlying business decision of the MITT Board or MITT to proceed with the Company Merger or related transactions. Piper Sandler’s opinion does not constitute advice or a recommendation to any stockholder as to how such stockholder should vote or act on any matter relating to the Company Merger or otherwise.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its opinion, Piper Sandler reviewed and considered,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execution copy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MITT that Piper Sandler deemed relevant, as well as preliminary financial information for MITT for the quarter ended June 30, 2026, as provided by the management of MITT;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CHMI that Piper Sandler deemed relevant, as well as preliminary financial information for CHMI for the quarter ended June 30, 2026, as provided by the management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MITT for the six months ending December 31, 2026, as well as for the years ending December 31, 2027 and December 31, 2028, as provided by the management of MITT (which are referred to in this section as the “MITT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CHMI for the six months ending December 31, 2026, as well as for the years ending December 31, 2027 and December 31, 2028, as provided by the management of CHMI (which are referred to in this section as the “CHMI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publicly reported historical price and trading activity for MITT Common Stock and CHMI Common Stock, including a comparison of certain stock trading information for MITT Common Stock and CHMI Common Stock and certain stock indices, as well as similar publicly available information for certain other agency and non-agency mortgage REITs, the securities of which are publicly traded;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comparison of certain financial and market information for MITT and CHMI with similar agency and non-agency mortgage REITs for which information is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financial terms of certain recent business combinations in the mortgage REIT industry (on a nationwide basis), to the extent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current market environment generally and the mortgage REIT environment in particular;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such other information, financial studies, analyses and investigations and financial, economic and market criteria as Piper Sandler considered relevant.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discussed with certain members of the management of MITT and its representatives the business, financial condition, results of operations and prospects of MITT and held similar discussions with certain members of the management of CHMI and its representatives regarding the business, financial condition, results of operations and prospects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review, Piper Sandler did not independently verify any of the foregoing information and, with MITT’s consent, Piper Sandler assumed and relied upon such information being complete and accurate in all respects material to Piper Sandler’s analyses and opinion. With respect to the foregoing information, the respective managements of MITT and CHMI confirmed to Piper Sandler that such information reflected the best currently available projections, estimates and judgements of those respective managements as to the future financial performance of MITT and CHMI, respectively. At MITT’s direction, Piper Sandler assumed that the CHMI Projections and the MITT Projections were a reasonable basis to evaluate MITT, CHMI and the Company Merger and that the financial results reflected in such information would be achieved. In addition, at MITT’s direction, Piper Sandler relied upon the MITT Projections and the CHMI Projections for purposes of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for purposes of its analyses and opinion, Piper Sandler was advised and Piper Sandler assumed, the Company Merger would qualify as a “reorganization” within the meaning of Section 368(a) of the Code. Piper Sandler also assumed, with MITT’s consent, that, in the course of obtaining any regulatory or third-party consents, approvals or agreements in connection with the Company Merger, no delay, limitation, restriction or condition would be imposed that would have an adverse effect on MITT, CHMI, the Company Merger or any related transactions and the Company Merger and any related transactions will be consummated in accordance with the terms of the Merger Agreement without any waiver, modification or amendment of any material term, condition or agreement thereof and in compliance with all applicable laws and other requirements. In addition, Piper Sandler was not requested to make, and did not make, an independent evaluation or perform an appraisal of the assets or liabilities (contingent or otherwise) of MITT or CHMI, nor was Piper Sandler furnished with any such evaluations or appraisals.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addressed only the fairness, from a financial point of view, to MITT of the aggregate Per Share MITT Consideration in the Company Merger pursuant to the Merger Agreement and did not address any other aspect or implication of the Company Merger or any agreement, arrangement or understanding entered into in connection therewith or otherwise, including, without limitation, the form or structure of the Company Merger or the Merger Consideration and the fairness of the amount or nature of, or any other aspect relating to, any compensation or consideration to be received or otherwise payable to any officers, directors, the MITT Manager, securityholders or affiliates of any party to the Company Merger, or class of such persons, relative to the Merger Consideration or otherwise. Additionally, Piper Sandler expressed no opinion as to the value of the Per Share Additional Manager Consideration. Furthermore, Piper Sandler did not express any advice or opinion regarding matters that required legal, regulatory, accounting, insurance, intellectual property, tax, environmental, executive compensation or other similar professional advice. Piper Sandler assumed that MITT had or would obtain such advice or opinions from the appropriate professional sources. The issuance of Piper Sandler’s opinion was approved by Piper Sandler’s internal fairness opinion committee.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was necessarily based on information made available to Piper Sandler as of the date of Piper Sandler’s opinion and upon financial, regulatory, economic, market and other conditions as they existed and could be evaluated on that date. It should be understood that Piper Sandler has not undertaken, and is under no obligation, to update, revise, reaffirm or withdraw its opinion or otherwise comment on or consider events occurring or coming to its attention after the date of its opinion. Piper Sandler did not express any opinion as to what the value of shares of MITT Common Stock would actually be when issued to the holders of CHMI Common Stock pursuant to the Merger Agreement or the prices or ranges of prices at which shares of MITT Common Stock or CHMI Common Stock might be purchased or sold at any time. Piper Sandler’s opinion did not address the relative merits of the Company Merger as compared to alternative transactions or strategies that might be available to MITT, nor did it address the underlying business decision of the MITT Board or MITT to proceed with or effect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its opinion to the MITT Board, Piper Sandler performed a variety of financial and comparative analyses, including those described below. The summary of Piper Sandler’s analyses described below is not a complete description of the analyses underlying Piper Sandler’s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Piper Sandler arrived at its opinion based on the results of all analyses undertaken by it and assessed as a whole and did not draw, in isolation, conclusions from or with regard to any one factor or method of analysis. Accordingly, Piper Sandler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its analyses, Piper Sandler considered industry performance, general business, economic, market and financial conditions and other matters, many of which are beyond the control of MITT, CHMI and the other parties involved in the Company Merger. No company, business or transaction used for comparative purposes in Piper Sandler’s analyses is identical to MITT, CHMI or the Company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businesses or transactions analyzed. The estimates contained in Piper Sandler’s analyses and the ranges of valuations resulting from any particular analysis are not necessarily indicative of actual values or predictive of future results or values, which may be significantly more or less favourable than those suggested by the analyses. In addition, analyses relating to the value of businesses or securities do not purport to be appraisals or to reflect the prices at which businesses or securities actually may be sold or acquired. Accordingly, the estimates used in, and the results derived from, Piper Sandler’s analyses are inherently subject to substantial uncertainty.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was not requested to, and it did not, determine or recommend the amount or nature of the Merger Consideration, which was determined through negotiations between MITT and CHMI, and the decision to enter into the Merger Agreement was solely that of the MITT Board. Piper Sandler’s opinion and financial analyses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were only one of many factors considered by the MITT Board in its evaluation of the Merger Consideration and should not be viewed as determinative of the views of the MITT Board or MITT management with respect to the Company Merger or the Merger Consideration payable in the Company Merger. </w:t>
      </w:r>
    </w:p>
    <w:p>
      <w:pPr>
        <w:pStyle w:val="TextBody"/>
        <w:bidi w:val="0"/>
        <w:spacing w:lineRule="auto" w:line="288" w:before="0" w:after="180"/>
        <w:jc w:val="left"/>
        <w:rPr/>
      </w:pPr>
      <w:r>
        <w:rPr>
          <w:rFonts w:ascii="Times New Roman;serif" w:hAnsi="Times New Roman;serif"/>
          <w:b/>
          <w:i/>
          <w:color w:val="000000"/>
          <w:sz w:val="20"/>
          <w:u w:val="single"/>
        </w:rPr>
        <w:t>Financial Analyses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financial analyses reviewed by Piper Sandler with the MITT Board in connection with the fairness opinion delivered by Piper Sandler to the MITT Board on August 9, 2026. The summary does not contain all of the financial data stockholders of MITT may want or need for purposes of making an independent determination of fair value. Stockholders of MITT are encouraged to consult their own financial and other advisors before making any investment decision in connection with the Company Merger. The financial analyses summarized below include information presented in tabular format. In order to fully understand Piper Sandler’s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as well as the methodologies underlying, and the assumptions, qualifications and limitations in connection with, each analysis, could create a misleading or incomplete view of Piper Sandler’s financial analyses.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Aggregate Per Share MITT Consideration and Implied Transaction Metrics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the financial terms of the proposed Company Merger. Pursuant to the terms of the Merger Agreement, at the Effective Time, each share of CHMI Common Stock issued and outstanding immediately prior to the effective time, except for Canceled Shares, shall be converted into the right to receive (1) from MITT (A) 0.3063 of a share of MITT Common Stock, and (B) $0.41 per share in cash, without interest, and (2) from MITT’s Manager (acting solely on its own behalf), as additional consideration, $0.52 per share in cash. For the purposes of its analysis, Piper Sandler expressed no opinion as to the value of the $0.52 of Per Share Additional Manager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Using certain financial and stock price information for MITT and CHMI and the aggregate Per Share MITT Consideration, Piper Sandler calculated the following implied transaction metrics: </w:t>
      </w:r>
    </w:p>
    <w:tbl>
      <w:tblPr>
        <w:tblW w:w="10205" w:type="dxa"/>
        <w:jc w:val="left"/>
        <w:tblInd w:w="0" w:type="dxa"/>
        <w:tblLayout w:type="fixed"/>
        <w:tblCellMar>
          <w:top w:w="28" w:type="dxa"/>
          <w:left w:w="28" w:type="dxa"/>
          <w:bottom w:w="28" w:type="dxa"/>
          <w:right w:w="28" w:type="dxa"/>
        </w:tblCellMar>
      </w:tblPr>
      <w:tblGrid>
        <w:gridCol w:w="2442"/>
        <w:gridCol w:w="2146"/>
        <w:gridCol w:w="2157"/>
        <w:gridCol w:w="109"/>
        <w:gridCol w:w="109"/>
        <w:gridCol w:w="109"/>
        <w:gridCol w:w="224"/>
        <w:gridCol w:w="224"/>
        <w:gridCol w:w="228"/>
        <w:gridCol w:w="109"/>
        <w:gridCol w:w="109"/>
        <w:gridCol w:w="109"/>
        <w:gridCol w:w="310"/>
        <w:gridCol w:w="310"/>
        <w:gridCol w:w="311"/>
        <w:gridCol w:w="109"/>
        <w:gridCol w:w="109"/>
        <w:gridCol w:w="109"/>
        <w:gridCol w:w="255"/>
        <w:gridCol w:w="255"/>
        <w:gridCol w:w="362"/>
      </w:tblGrid>
      <w:tr>
        <w:trPr/>
        <w:tc>
          <w:tcPr>
            <w:tcW w:w="244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Multiple</w:t>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Aggregate Per Share MITT Consideration to CHMI Fully Diluted Tangible Book Value Multiple (6/30/26)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0.84x</w:t>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(1)CHMI Fully Diluted Tangible Book Value calculated as $228.9 million of stockholders’ equity less $109.6 million of aggregate liquidation preference of preferred stock, divided by 38,632,814 fully diluted shares outstanding at June 30, 2026 (36,947,394 shares, 531,712 shares of CHMI Common Stock subject to vested and unvested CHMI LTIP Units, 436,654 shares of CHMI Common Stock subject to unvested RSU Awards, and 717,054 shares of CHMI Common Stock subject to unvested CHMI PSU Awards as of June 30, 2026 per CHMI). Includes book value of equity associated with CHMI’s deferred tax asset, which had a value of $7.7 million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Comparable Company Analyses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CHMI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CHMI and the following eleven publicly traded companies that Piper Sandler deemed comparable to CHMI (which are referred to in this section as the “CHMI Peer Group”). The CHMI Peer Group included publicly traded agency and non-agency mortgage REITs with the exception of Annaly Capital Management, Inc., AGNC Investment Corp., Rithm Capital Corp. and Adamas Trust, Inc. who have more diverse and differential business models than CHMI and Two Harbors Investment Corp. which was under definitive agreement to be acquired by Cross Country Mortgage, LLC as of the date of Piper Sandler’s opinion:</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Dynex Capital,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Ellington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TPG Mortgage Investment Trust, Inc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CHMI compared certain financial and stock market information for CHMI with publicly available financial information for the CHMI Peer Group. With respect to each company above, Piper Sandler’s analysis included, but was not limited to, calculating and comparing (i) the multiple of price to tangible book value per share, which we refer to as “P/TBV,” as of the end of the most recent completed quarterly period available, and (ii) estimated dividend yield based on each company’s annualized dividend as of the most recent completed quarterly period available, which we refer to as “Dividend Yield,” in each case, based on reported metrics obtained from public filings and other publicly available information as of August 7, 2026. The table below sets forth the data for CHMI and the median, mean, low, and high data for the CHMI Peer Group.</w:t>
      </w:r>
    </w:p>
    <w:tbl>
      <w:tblPr>
        <w:tblW w:w="6016" w:type="dxa"/>
        <w:jc w:val="left"/>
        <w:tblInd w:w="0" w:type="dxa"/>
        <w:tblLayout w:type="fixed"/>
        <w:tblCellMar>
          <w:top w:w="28" w:type="dxa"/>
          <w:left w:w="28" w:type="dxa"/>
          <w:bottom w:w="28" w:type="dxa"/>
          <w:right w:w="28" w:type="dxa"/>
        </w:tblCellMar>
      </w:tblPr>
      <w:tblGrid>
        <w:gridCol w:w="498"/>
        <w:gridCol w:w="439"/>
        <w:gridCol w:w="442"/>
        <w:gridCol w:w="215"/>
        <w:gridCol w:w="215"/>
        <w:gridCol w:w="216"/>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 CHMI’s P/TBV multiple is based upon CHMI’s fully diluted tangible book value per share of $3.08 as of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MITT and the following six publicly traded companies that Piper Sandler deemed comparable to MITT (which are referred to in this section as the “MITT Peer Group”). The MITT Peer Group included publicly traded non-agency mortgage REITs with the exception of Rithm Capital Corp. and Adamas Trust, Inc. who have more diverse and differential business models than MITT and Two Harbors Investment Corp. which was under definitive agreement to be acquired by Cross Country Mortgage, LLC as of the date of Piper Sandler’s opinion: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Ellington Financial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MITT compared certain financial and stock market information for MITT with publicly available financial information for the MITT Peer Group. With respect to each company above, Piper Sandler’s analysis included, but was not limited to, calculating and comparing (i) the multiple of price to tangible book value per share, as of the end of the most recent completed quarterly period available, and (ii) estimated dividend yield based on each company’s annualized dividend as of the most recent completed quarterly period available, in each case, based on reported metrics obtained from public filings and other publicly available information as of August 7, 2026. The table below sets forth the data for MITT and the median, mean, low, and high data for the MITT Peer Group.</w:t>
      </w:r>
    </w:p>
    <w:tbl>
      <w:tblPr>
        <w:tblW w:w="6328" w:type="dxa"/>
        <w:jc w:val="left"/>
        <w:tblInd w:w="0" w:type="dxa"/>
        <w:tblLayout w:type="fixed"/>
        <w:tblCellMar>
          <w:top w:w="28" w:type="dxa"/>
          <w:left w:w="28" w:type="dxa"/>
          <w:bottom w:w="28" w:type="dxa"/>
          <w:right w:w="28" w:type="dxa"/>
        </w:tblCellMar>
      </w:tblPr>
      <w:tblGrid>
        <w:gridCol w:w="498"/>
        <w:gridCol w:w="439"/>
        <w:gridCol w:w="442"/>
        <w:gridCol w:w="109"/>
        <w:gridCol w:w="109"/>
        <w:gridCol w:w="109"/>
        <w:gridCol w:w="210"/>
        <w:gridCol w:w="210"/>
        <w:gridCol w:w="211"/>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bl>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w:t>
      </w:r>
    </w:p>
    <w:p>
      <w:pPr>
        <w:pStyle w:val="TextBody"/>
        <w:bidi w:val="0"/>
        <w:spacing w:lineRule="auto" w:line="288" w:before="0" w:after="180"/>
        <w:jc w:val="left"/>
        <w:rPr/>
      </w:pPr>
      <w:r>
        <w:rPr>
          <w:rFonts w:ascii="Times New Roman;serif" w:hAnsi="Times New Roman;serif"/>
          <w:b/>
          <w:color w:val="000000"/>
          <w:sz w:val="20"/>
        </w:rPr>
        <w:t>Precedent Transactions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publicly available financial information relating to the following thirteen transactions which were announced between January 1, 2016 and August 7, 2026 where the target was a publicly traded mortgage REIT, collectively referred to as the “Precedent Transactions”:</w:t>
      </w:r>
    </w:p>
    <w:tbl>
      <w:tblPr>
        <w:tblW w:w="9487" w:type="dxa"/>
        <w:jc w:val="left"/>
        <w:tblInd w:w="0" w:type="dxa"/>
        <w:tblLayout w:type="fixed"/>
        <w:tblCellMar>
          <w:top w:w="28" w:type="dxa"/>
          <w:left w:w="28" w:type="dxa"/>
          <w:bottom w:w="28" w:type="dxa"/>
          <w:right w:w="28" w:type="dxa"/>
        </w:tblCellMar>
      </w:tblPr>
      <w:tblGrid>
        <w:gridCol w:w="657"/>
        <w:gridCol w:w="578"/>
        <w:gridCol w:w="579"/>
        <w:gridCol w:w="109"/>
        <w:gridCol w:w="109"/>
        <w:gridCol w:w="109"/>
        <w:gridCol w:w="1246"/>
        <w:gridCol w:w="1246"/>
        <w:gridCol w:w="1257"/>
        <w:gridCol w:w="109"/>
        <w:gridCol w:w="109"/>
        <w:gridCol w:w="109"/>
        <w:gridCol w:w="955"/>
        <w:gridCol w:w="955"/>
        <w:gridCol w:w="136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Announcement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Acquirer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Target</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CrossCountry Mortgage,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Asset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Broadmark Realty Capital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BSP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11/7/2018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5/2/2018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Investments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 Investment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2/26/2016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 Finance,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 Inc.</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among other information, transaction values for the Precedent Transactions, based on the purchase prices per share paid for each of the Precedent Transactions, as a multiple of the target company’s latest reported TBV per share prior to the announcement date of the relevant transaction. Financial data for the Precedent Transactions was based on public filings and other publicly available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compared the aggregate Per Share MITT Consideration as a multiple of CHMI’s fully diluted tangible book value per share as of June 30, 2026 to the median, mean, low, and high metrics of the Precedent Transactions.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21"/>
        <w:gridCol w:w="1690"/>
        <w:gridCol w:w="1700"/>
        <w:gridCol w:w="109"/>
        <w:gridCol w:w="109"/>
        <w:gridCol w:w="109"/>
        <w:gridCol w:w="243"/>
        <w:gridCol w:w="243"/>
        <w:gridCol w:w="245"/>
        <w:gridCol w:w="109"/>
        <w:gridCol w:w="109"/>
        <w:gridCol w:w="109"/>
        <w:gridCol w:w="250"/>
        <w:gridCol w:w="250"/>
        <w:gridCol w:w="251"/>
        <w:gridCol w:w="109"/>
        <w:gridCol w:w="109"/>
        <w:gridCol w:w="109"/>
        <w:gridCol w:w="195"/>
        <w:gridCol w:w="195"/>
        <w:gridCol w:w="196"/>
        <w:gridCol w:w="109"/>
        <w:gridCol w:w="109"/>
        <w:gridCol w:w="109"/>
        <w:gridCol w:w="189"/>
        <w:gridCol w:w="189"/>
        <w:gridCol w:w="193"/>
        <w:gridCol w:w="109"/>
        <w:gridCol w:w="109"/>
        <w:gridCol w:w="109"/>
        <w:gridCol w:w="180"/>
        <w:gridCol w:w="180"/>
        <w:gridCol w:w="260"/>
      </w:tblGrid>
      <w:tr>
        <w:trPr/>
        <w:tc>
          <w:tcPr>
            <w:tcW w:w="192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Precedent Transactions</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Price to Tangible Book Value Per Share Multiple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0.84x</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1.18x</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(1)Calculated as the aggregate Per Share MITT Consideration of $2.58 divided by CHMI’s fully diluted tangible book value per share of $3.08 as of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Discount Analyses</w:t>
      </w:r>
    </w:p>
    <w:p>
      <w:pPr>
        <w:pStyle w:val="TextBody"/>
        <w:bidi w:val="0"/>
        <w:spacing w:lineRule="auto" w:line="288" w:before="0" w:after="180"/>
        <w:jc w:val="left"/>
        <w:rPr/>
      </w:pPr>
      <w:r>
        <w:rPr>
          <w:rFonts w:ascii="Times New Roman;serif" w:hAnsi="Times New Roman;serif"/>
          <w:b w:val="false"/>
          <w:i/>
          <w:color w:val="000000"/>
          <w:sz w:val="20"/>
        </w:rPr>
        <w:t>Piper Sandler performed separate dividend discount analyses for each of CHMI and MITT.</w:t>
      </w:r>
      <w:r>
        <w:rPr>
          <w:color w:val="000000"/>
        </w:rPr>
        <w:t xml:space="preserve"> </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CHMI.</w:t>
      </w:r>
      <w:r>
        <w:rPr>
          <w:color w:val="000000"/>
        </w:rPr>
        <w:t xml:space="preserve"> </w:t>
      </w:r>
      <w:r>
        <w:rPr>
          <w:rFonts w:ascii="Times New Roman;serif" w:hAnsi="Times New Roman;serif"/>
          <w:b w:val="false"/>
          <w:color w:val="000000"/>
          <w:sz w:val="20"/>
        </w:rPr>
        <w:t>Piper Sandler performed a dividend discount analysis of CHMI to calculate the estimated present value of the distributed cash flows that CHMI forecasted to generate during the last two quarters of the fiscal year ending December 31, 2026 through the full fiscal year ending December 31, 2028, based on the CHMI Projections. Piper Sandler calculated terminal values for CHMI by applying a range of P/TBV multiples of 0.65x to 0.95x and dividend yields of 12.0% to 19.0% (which multiple and dividend yield ranges were selected based on Piper Sandler’s professional judgment) to CHMI’s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14.0% to 18.0%, based on Piper Sandler’s professional judgment. This analysis indicated a range of values per share of CHMI Common Stock of $2.09 to $2.88 when applying multiples of tangible book value and $2.24 to $3.31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19.0%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CHMI’s estimated tangible book value per share as of December 31, 2028 varied 10.0% above the CHMI Projections and 10.0% below the CHMI Projections. This analysis resulted in the following range of per share values for CHMI common stock, applying the price to tangible book value range of 0.65x to 0.95x referred to above and a discount rate of 16.01%.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$2.97</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CHMI were then compared to the aggregate Per Share MITT Consideration as well as CHMI’s closing stock price as of August 7, 2026.</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MITT.</w:t>
      </w:r>
      <w:r>
        <w:rPr>
          <w:color w:val="000000"/>
        </w:rPr>
        <w:t xml:space="preserve"> </w:t>
      </w:r>
      <w:r>
        <w:rPr>
          <w:rFonts w:ascii="Times New Roman;serif" w:hAnsi="Times New Roman;serif"/>
          <w:b w:val="false"/>
          <w:color w:val="000000"/>
          <w:sz w:val="20"/>
        </w:rPr>
        <w:t>Piper Sandler performed a dividend discount analysis of MITT to calculate the estimated present value of the distributed cash flows that MITT forecasted to generate during the last two quarters of the fiscal year ending December 31, 2026 through the full fiscal year ending December 31, 2028, based on the MITT Projections. Piper Sandler calculated terminal values for MITT by applying a range of P/TBV multiples of 0.65x to 0.95x and dividend yields of 12.0% to 17.0% (which multiple and dividend yield ranges were selected based on Piper Sandler’s professional judgment) to MITT’s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12.0% to 16.0%, based on Piper Sandler’s professional judgment. This analysis indicated a range of values per share of MITT Common Stock of $6.74 to $9.62 when applying multiples of tangible book value and $5.99 to $8.24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MITT’s estimated tangible book value per share as of December 31, 2028 varied 10.0% above the MITT Projections and 10.0% below the MITT Projections. This analysis resulted in the following range of per share values for MITT common stock, applying the price to tangible book value range of 0.65x to 0.95x referred to above and a discount rate of 14.29%.</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$9.23</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MITT were then compared to MITT’s closing stock price as of August 7, 2026.</w:t>
      </w:r>
    </w:p>
    <w:p>
      <w:pPr>
        <w:pStyle w:val="TextBody"/>
        <w:bidi w:val="0"/>
        <w:spacing w:lineRule="auto" w:line="288" w:before="0" w:after="180"/>
        <w:jc w:val="left"/>
        <w:rPr/>
      </w:pPr>
      <w:r>
        <w:rPr>
          <w:rFonts w:ascii="Times New Roman;serif" w:hAnsi="Times New Roman;serif"/>
          <w:b/>
          <w:color w:val="000000"/>
          <w:sz w:val="20"/>
        </w:rPr>
        <w:t>MITT Stock Reference Range and Common Stock Merger Consideration Analysis</w:t>
      </w:r>
      <w:r>
        <w:rPr>
          <w:color w:val="000000"/>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Stock Reference Range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“MITT Comparable Company Analysis,” Piper Sandler applied a range of P/TBV multiples of 0.65x to 0.95x to the June 30, 2026 TBV per share of MITT, and applied a dividend yield range of 12.0% to 17.0% to MITT’s estimated dividends per share for the next twelve month period beginning June 30, 2026. Piper Sandler then compared these implied per share values to the low and high implied per share values from the MITT Dividend Discount Analysis as illustrated in the table below:</w:t>
      </w:r>
    </w:p>
    <w:tbl>
      <w:tblPr>
        <w:tblW w:w="5383" w:type="dxa"/>
        <w:jc w:val="left"/>
        <w:tblInd w:w="0" w:type="dxa"/>
        <w:tblLayout w:type="fixed"/>
        <w:tblCellMar>
          <w:top w:w="28" w:type="dxa"/>
          <w:left w:w="28" w:type="dxa"/>
          <w:bottom w:w="28" w:type="dxa"/>
          <w:right w:w="28" w:type="dxa"/>
        </w:tblCellMar>
      </w:tblPr>
      <w:tblGrid>
        <w:gridCol w:w="1229"/>
        <w:gridCol w:w="1077"/>
        <w:gridCol w:w="1083"/>
        <w:gridCol w:w="109"/>
        <w:gridCol w:w="109"/>
        <w:gridCol w:w="109"/>
        <w:gridCol w:w="189"/>
        <w:gridCol w:w="189"/>
        <w:gridCol w:w="193"/>
        <w:gridCol w:w="160"/>
        <w:gridCol w:w="160"/>
        <w:gridCol w:w="160"/>
        <w:gridCol w:w="180"/>
        <w:gridCol w:w="180"/>
        <w:gridCol w:w="256"/>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MITT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$9.50</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“MITT Comparable Company Analysis” and the “Dividend Discount Analysis” above, Piper Sandler, upon application of its professional judgement, selected a range of $6.25 to $9.25 of implied equity value per share as the MITT stock reference range.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Common Stock Merger Consideration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its opinion, Piper Sandler calculated a range of implied value of the aggregate Per Share MITT Consideration by (1) multiplying the MITT stock reference range by the exchange ratio of 0.3063 of a share of MITT Common Stock per share of CHMI Common Stock and (2) adding $0.41 in cash per share of CHMI Common Stock. The merger consideration analysis indicated a range of implied value of the aggregate Per Share MITT Consideration of $2.32 to $3.24.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“CHMI Comparable Company Analysis,” Piper Sandler applied a range of P/TBV multiples of 0.65x to 0.95x to the June 30, 2026 fully diluted TBV per share of CHMI, and applied a dividend yield range of 12.0% to 19.0% to CHMI’s estimated dividends per share for the next twelve month period beginning June 30, 2026. Based on the “Precedent Transactions Analysis,” Piper Sandler applied a range of P/TBV multiples of 0.70x to 1.10x to the June 30, 2026 fully diluted TBV per share of CHMI. Piper Sandler then compared the consideration reference ranges to the following implied equity value per share reference ranges for CHMI Common Stock from the “Dividend Discount Analysis” as described above.</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tbl>
      <w:tblPr>
        <w:tblW w:w="6899" w:type="dxa"/>
        <w:jc w:val="left"/>
        <w:tblInd w:w="0" w:type="dxa"/>
        <w:tblLayout w:type="fixed"/>
        <w:tblCellMar>
          <w:top w:w="28" w:type="dxa"/>
          <w:left w:w="28" w:type="dxa"/>
          <w:bottom w:w="28" w:type="dxa"/>
          <w:right w:w="28" w:type="dxa"/>
        </w:tblCellMar>
      </w:tblPr>
      <w:tblGrid>
        <w:gridCol w:w="1778"/>
        <w:gridCol w:w="1559"/>
        <w:gridCol w:w="1568"/>
        <w:gridCol w:w="109"/>
        <w:gridCol w:w="109"/>
        <w:gridCol w:w="109"/>
        <w:gridCol w:w="189"/>
        <w:gridCol w:w="189"/>
        <w:gridCol w:w="193"/>
        <w:gridCol w:w="160"/>
        <w:gridCol w:w="160"/>
        <w:gridCol w:w="160"/>
        <w:gridCol w:w="180"/>
        <w:gridCol w:w="180"/>
        <w:gridCol w:w="256"/>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CHMI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Precedent Transactions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Per Share MITT Consideration Reference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reference only, the consideration reference range was then compared to the aggregate Per Share MITT Consideration of $2.58.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Certain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observed certain additional information that was not considered part of its financial analyses with respect to its opinion but was noted for informational purposes, including the following.</w:t>
      </w:r>
    </w:p>
    <w:p>
      <w:pPr>
        <w:pStyle w:val="TextBody"/>
        <w:bidi w:val="0"/>
        <w:spacing w:lineRule="auto" w:line="288" w:before="0" w:after="180"/>
        <w:jc w:val="both"/>
        <w:rPr/>
      </w:pPr>
      <w:r>
        <w:rPr>
          <w:rFonts w:ascii="Times New Roman;serif" w:hAnsi="Times New Roman;serif"/>
          <w:b w:val="false"/>
          <w:i/>
          <w:color w:val="000000"/>
          <w:sz w:val="20"/>
        </w:rPr>
        <w:t>Historical Trading Performance Exchange Ratio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the exchange ratios implied during the 52-week period ending August 7, 2026, which included low and high intraday prices of CHMI Common Stock of $2.17 per share and $3.04 per share, respectively, and low and high intraday prices of MITT Common Stock of $6.91 per share and $9.27 per share, respectively, which indicated an implied exchange ratio reference range of 0.2341x to 0.4399x. The implied exchange ratio reference range was then compared to the Merger Exchange Ratio of 0.3063x for reference only.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reviewed exchange ratios implied during the 52-week period ending August 7, 2026 based upon CHMI’s closing share price and MITT’s closing share price for each trading day. The average exchange ratio implied by daily closing prices over the preceding 52-week period of 0.3247x was compared to the Merger Exchange Ratio of 0.3063x for reference only.</w:t>
      </w:r>
    </w:p>
    <w:p>
      <w:pPr>
        <w:pStyle w:val="TextBody"/>
        <w:bidi w:val="0"/>
        <w:spacing w:lineRule="auto" w:line="288" w:before="0" w:after="180"/>
        <w:jc w:val="both"/>
        <w:rPr/>
      </w:pPr>
      <w:r>
        <w:rPr>
          <w:rFonts w:ascii="Times New Roman;serif" w:hAnsi="Times New Roman;serif"/>
          <w:b/>
          <w:i/>
          <w:color w:val="000000"/>
          <w:sz w:val="20"/>
        </w:rPr>
        <w:t>Miscellaneous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selected Piper Sandler to act as exclusive financial advisor to the MITT Board in connection with the Company Merger based on Piper Sandler’s qualifications, experience and reputation. Piper Sandler is a nationally recognized investment banking firm and is regularly engaged in the valuation of businesses and securities in connection with mergers and acquisitions, negotiated underwritings, competitive biddings, secondary distributions of listed and unlisted securities and private placements.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agreed to pay Piper Sandler for its financial advisory services in connection with the Company Merger a fee of $1.25 million, which advisory fee is contingent upon consummation of the Company Merger. MITT paid Piper Sandler $400,000 in connection with the fairness opinion that Piper Sandler rendered on August 9, 2026, which opinion fee will be credited in full towards the financial advisory fee which will become due and payable to Piper Sandler upon consummation of the Company Merger. In addition, MITT has agreed to reimburse Piper Sandler for its expenses, including fees and expenses of legal counsel, and to indemnify Piper Sandler and certain related parties for certain liabilities and other items arising out of or related to its engagement.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is a full-service securities firm engaged in securities trading and brokerage activities as well as providing investment banking and other financial services. Piper Sandler did not provide any other investment banking services to MITT in the two years preceding the date of Piper Sandler’s opinion, nor did Piper Sandler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provide any investment banking services to CHMI in the two years preceding the date thereof. In the ordinary course of business as a broker-dealer, Piper Sandler may purchase securities from and sell securities to MITT, CHMI and their respective affiliates. Piper Sandler may also actively trade the equity and debt securities of MITT, CHMI and their respective affiliates for its own account and for the accounts of its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5" w:name="i428431c5481d42acaf284fd9c837be13"/>
      <w:bookmarkEnd w:id="85"/>
      <w:r>
        <w:rPr>
          <w:rFonts w:ascii="Times New Roman;serif" w:hAnsi="Times New Roman;serif"/>
          <w:b/>
          <w:color w:val="000000"/>
          <w:sz w:val="20"/>
        </w:rPr>
        <w:t>Opinion of CHMI’s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making its determination with respect to the Mergers, the CHMI Board also considered the financial analyses prepared by BTIG, and the opinion of BTIG as of August 9, 2026, as to the fairness, from a financial point of view, to the holders of CHMI Common Stock (other than holders of Canceled Shares) of the Common Stock Merger Consideration pursuant to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retained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at a meeting of the CHMI Board, BTIG delivered an oral opinion, subsequently confirmed by delivery of a written opinion dated as of August 9, 2026, which we refer to as the “BTIG Opinion,” to the CHMI Board, to the effect that, based on and subject to the assumptions made, procedures followed, factors considered, limitations of the review undertaken and qualifications contained in the BTIG Opinion,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the BTIG Opinion is attached to this proxy statement/prospectus as Annex E and is incorporated herein by reference in its entirety. The summary of the BTIG Opinion set forth herein is qualified in its entirety by reference to the full text of the BTIG Opinion. CHMI stockholders are urged to read the BTIG Opinion carefully and in its entirety for a discussion of, among other things, the assumptions made, procedures followed, factors considered, limitations of the review undertaken and qualifications contained in the BTIG Opinion. The BTIG Opinion was not intended to and does not constitute a recommendation as to how any CHMI stockholder or any other person should vote or whether any CHMI stockholder or such other person should take any other action in connection with the Mergers or any other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was approved by BTIG’s Fairness Opinion Committee in accordance with BTIG’s customary practice. The BTIG Opinion was provided for the information of, and directed to, the CHMI Board in connection with and for purposes of its evaluation of the Mergers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arriving at the BTIG Opinion, BTIG, with respect to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CHMI that BTIG deemed to be relevant;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and discussed with CHMI’s management certain non-public projected financial and operating data relating to CHMI prepared and furnished to BTIG by management of CHMI (referred to in this section as the “CHMI Projections”) as described under “The Mergers—Certain CHMI Unaudited Prospective Financial Information” beginning on page 111;</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discussed past and current operations, financial projections, including the CHMI Projections, and current financial condition of CHMI with management of CHMI (including their views on the risks and uncertainties of achieving the CHMI Projections);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its stock market trading multiples with those of certain other publicly traded companies that BTIG deemed to be relevant;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the valuation multiples implied by the Company Merger with those of certain other transactions that BTIG deemed to be relevant.</w:t>
      </w:r>
    </w:p>
    <w:p>
      <w:pPr>
        <w:pStyle w:val="TextBody"/>
        <w:bidi w:val="0"/>
        <w:spacing w:lineRule="auto" w:line="240" w:before="200" w:after="200"/>
        <w:jc w:val="both"/>
        <w:rPr>
          <w:rFonts w:ascii="Times New Roman;serif" w:hAnsi="Times New Roman;serif"/>
          <w:b w:val="false"/>
          <w:color w:val="000000"/>
          <w:sz w:val="20"/>
        </w:rPr>
      </w:pPr>
      <w:r>
        <w:rPr>
          <w:rFonts w:ascii="Times New Roman;serif" w:hAnsi="Times New Roman;serif"/>
          <w:b w:val="false"/>
          <w:color w:val="000000"/>
          <w:sz w:val="20"/>
        </w:rPr>
        <w:t>BTIG also, with respect to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MITT that BTIG deemed to be relevant, including publicly available research analysts’ estimates;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MITT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MITT and its stock market trading multiples with those of certain other publicly traded companies that BTIG deemed to be relevant.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also: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 draft dated August 8, 2026 of the Merger Agreement, which we refer to as the “Draft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performed such other analyses, reviewed such other information and considered such other factors as BTIG deemed appropriate for purposes of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rendering the BTIG Opinion, BTIG assumed and relied upon, without independent verification, the accuracy and completeness of the information that was publicly available, supplied or otherwise made available to or discussed with BTIG by CHMI, and BTIG relied upon the assurances of the management of CHMI that they were not aware of any facts or circumstances that would make such information provided by CHMI inaccurate or misleading in any material respect. With respect to the CHMI Projections, BTIG was advised by the management of CHMI, and assumed, that the CHMI Projections were reasonably prepared on bases reflecting the best currently available estimates and good faith judgments of the management of CHMI of the future financial performance of CHMI. BTIG assumed no responsibility for and expressed no view as to any such projections or estimates or the assumptions on which they are based. In addition, BTIG assumed, as advised by CHMI,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Code. BTIG also assumed, as advised by CHMI, that in connection with the receipt of all the necessary governmental, regulatory or other approvals and consents required for the proposed Mergers, no delays, limitations, conditions or restrictions will be imposed that would have an adverse effect on CHMI, CHOP, MITT, MITT Manager or the contemplated benefits expected to be derived in the proposed Mergers. With the consent of the CHMI Board, BTIG assumed that any adjustments to the Common Stock Merger Consideration pursuant to Section 3.1(d) of the Merger Agreement or otherwise would not be material to BTIG’s analyses or the BTIG Opinion. BTIG also assumed, as advised by CHMI, that (a) the final executed Merger Agreement would not differ in any material respect from the Draft Merger Agreement reviewed by BTIG, and (b) the final Merger Agreement would reflect the Exchange Ratio of 0.3063, the Per Share MITT Cash Consideration of $0.41 per share and the Per Share Additional Manager Consideration of $0.52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is not a legal, tax, regulatory or accounting advisor. BTIG is a financial advisor only and relied upon, without independent verification, the assessment of CHMI and its legal, tax, regulatory and accounting advisors with respect to legal, tax, regulatory and accounting matters. BTIG expressed no view or opinion as to any terms or other aspects of the Mergers (other than the Common Stock Merger Consideration to the extent expressly specified in the BTIG Opinion), including, without limitation, the form or structure of the Mergers or any adjustments to the Common Stock Merger Consideration set forth in Section 3.1(d) of the Merger Agreement or otherwise. The BTIG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Opinion is limited to the fairness, from a financial point of view, to the holders of CHMI Common Stock (other than holders of Canceled Shares) of the Common Stock Merger Consideration to be received by the holders of CHMI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BTIG expressed no view or opinion with respect to the fairness (financial or otherwise) of the amount, nature or any other aspect of any termination fee set forth in the Merger Agreement or any compensation to any of the officers, directors or employees of any party to the Mergers, or any class of such persons, whether relative to the Common Stock Merger Consideration or otherwise. BTIG did not make any independent valuation or appraisal of the assets or liabilities (including any contingent, derivative or other off-balance-sheet assets and liabilities) of CHMI or MITT, nor was it furnished with any such valuations or appraisals, and BTIG did not make any physical inspection of the properties or assets of CHMI or MITT. The BTIG Opinion is necessarily based on financial, economic, market and other conditions as in effect on, and the information made available to BTIG as of, the date of the BTIG Opinion. Events occurring after the date of the BTIG Opinion may affect the BTIG Opinion and the assumptions used in preparing it, and BTIG did not assume any obligation to update, revise or reaffirm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does not address the relative merits of the Mergers in comparison to other strategies or transactions that might have been available to CHMI or in which CHMI might have engaged or the underlying business decision of CHMI to proceed with or effect the Mergers. In addition, the BTIG Opinion does not in any manner address the prices or volumes at which the CHMI Common Stock or the MITT Common Stock will trade at any time, including following the announcement or consummation of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summary set forth below is a summary of the material financial analyses performed by BTIG in arriving at the BTIG Opinion. This summary does not purport to be a complete description of the analyses performed by BTIG, but describes, in summary form, the material elements of the presentation that BTIG made to the CHMI Board on August 9, 2026, in connection with the BTIG Opinion. In accordance with customary investment banking practice, BTIG employed generally accepted valuation methods and financial analyses in reaching the BTIG Opinion.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None of the analyses performed by BTIG were assigned a greater significance by BTIG than any other, nor does the order of analyses described represent relative importance or weight given to those analyses by BTIG. </w:t>
      </w:r>
      <w:r>
        <w:rPr>
          <w:rFonts w:ascii="Times New Roman;serif" w:hAnsi="Times New Roman;serif"/>
          <w:b/>
          <w:color w:val="000000"/>
          <w:sz w:val="20"/>
        </w:rPr>
        <w:t xml:space="preserve">The summary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 </w:t>
      </w:r>
      <w:r>
        <w:rPr>
          <w:rFonts w:ascii="Times New Roman;serif" w:hAnsi="Times New Roman;serif"/>
          <w:b w:val="false"/>
          <w:color w:val="000000"/>
          <w:sz w:val="20"/>
        </w:rPr>
        <w:t>The summary set forth below does not represent and should not be viewed by anyone as constituting conclusions reached by BTIG with respect to any of the analyses performed by it in connection with the BTIG Opinion. Rather, BTIG made its determination as to the fairness, from a financial point of view, as of the date of the BTIG Opinion of the Common Stock Merger Consideration to be received by the holders of CHMI Common Stock (other than holders of Canceled Shares) pursuant to the Merger Agreement,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7,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Material Financial Analyses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conducting its analysis, BTIG used three primary methodologies: selected public comparable company analysis; selected precedent M&amp;A transactions analysis; and dividend discount analysis. No individual methodology was given a specific weight, nor can any methodology be viewed individually. Additionally, no company or transaction used in any analysis as a comparison is identical to CHMI or the Mergers,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being compared. BTIG used these analyses to determine the impact of various operating metrics on the implied per share common equity value of CHMI. Each of these analyses yielded a range of implied per share common equity values, and therefore, such implied per share equity value ranges developed from these analyses were viewed by BTIG collectively and not individually. In delivering the BTIG Opinion to the CHMI Board, BTIG utilized the CHMI Projections and estimates regarding CHMI prepared by management of CHMI and supplied to BTIG by management of CHMI.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reviewed, analyzed, and compared certain financial information relating to CHMI to corresponding publicly available financial information and market multiples for the following four publicly traded agency mortgage real estate investment trusts, which we refer to as “REITs,” with current market capitalizations below $5 billion (excluding any agency mortgage REITs subject to a pending transaction). BTIG reviewed, among other things, the range of (i) average closing stock prices on August 7, 2026 of the selected publicly traded companies as a multiple of common book value per share as of the most recent reported quarter, which we refer to as “MRQ BVPS,” and (ii) dividend yields of the selected publicly traded companies calculated as annualized dividends for the most recently announced monthly or quarterly dividend as a percentage of closing stock prices on August 7, 2026 (estimates as provided by S&amp;P Capital IQ).</w:t>
      </w:r>
    </w:p>
    <w:p>
      <w:pPr>
        <w:pStyle w:val="TextBody"/>
        <w:bidi w:val="0"/>
        <w:spacing w:lineRule="auto" w:line="288" w:before="0" w:after="180"/>
        <w:jc w:val="both"/>
        <w:rPr/>
      </w:pPr>
      <w:r>
        <w:rPr>
          <w:rFonts w:ascii="Times New Roman;serif" w:hAnsi="Times New Roman;serif"/>
          <w:b/>
          <w:color w:val="000000"/>
          <w:sz w:val="20"/>
        </w:rPr>
        <w:t>Agency mortgage REITs with current market capitalization below $5 billion</w:t>
      </w:r>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Dynex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none of the selected publicly traded companies identified above, or group thereof, is identical or directly comparable to CHMI, BTIG, using its professional judgment and experience, derived from the MRQ BVPS multiples of the selected publicly traded companies a range of MRQ BVPS multiples for CHMI of 0.90x to 1.00x. Applying such range of multiples to CHMI’s fully diluted common book value per share as of June 30, 2026 of $3.08, BTIG’s analysis resulted in implied per share equity values for CHMI ranging from $2.78 to $3.08.</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BTIG, using its professional judgment and experience, derived from the dividend yields of the selected publicly traded companies a range of dividend yields for CHMI of 16.6% to 18.6%. Applying such range of dividend yields to CHMI’s quarterly dividend as of June 30, 2026 of $0.10, annualized, BTIG’s analysis resulted in implied per share equity values for CHMI ranging from $2.15 to $2.40.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compared the results of this analysis to the $3.10 (which, for purposes of BTIG’s analysis, was based on the closing price per share of MITT Common Stock on August 7, 2026 of $7.09) implied value of the Common Stock Merger Consideration. The implied value of the Common Stock Merger Consideration fell above the range of implied per share equity values resulting from the MRQ BVPS multiples for CHMI and fell above the range of implied per share equity values resulting from the dividend yields for CHMI,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companies used in this analysis on the basis of its experience and knowledge of companies in the industry in which CHMI operates and various factors, including the size and operating profiles of the companies relative to CHMI. As noted above, no company used as a comparison is identical to CHMI. Accordingly, these analyses are not purely mathematical, but also involve complex considerations and judgments concerning the differences in financial and operating characteristics of the selected companies and other factors.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Precedent M&amp;A Transactions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reviewed and analyzed certain publicly available information for the below 13 public to public mortgage REIT M&amp;A transactions that were announced subsequent to January 1, 2016, with publicly available information regarding the terms of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precedent transactions.</w:t>
      </w:r>
    </w:p>
    <w:tbl>
      <w:tblPr>
        <w:tblW w:w="7230" w:type="dxa"/>
        <w:jc w:val="left"/>
        <w:tblInd w:w="0" w:type="dxa"/>
        <w:tblLayout w:type="fixed"/>
        <w:tblCellMar>
          <w:top w:w="28" w:type="dxa"/>
          <w:left w:w="28" w:type="dxa"/>
          <w:bottom w:w="28" w:type="dxa"/>
          <w:right w:w="28" w:type="dxa"/>
        </w:tblCellMar>
      </w:tblPr>
      <w:tblGrid>
        <w:gridCol w:w="543"/>
        <w:gridCol w:w="477"/>
        <w:gridCol w:w="480"/>
        <w:gridCol w:w="906"/>
        <w:gridCol w:w="906"/>
        <w:gridCol w:w="918"/>
        <w:gridCol w:w="877"/>
        <w:gridCol w:w="877"/>
        <w:gridCol w:w="124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Announced Date</w:t>
            </w:r>
          </w:p>
        </w:tc>
        <w:tc>
          <w:tcPr>
            <w:tcW w:w="27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0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Buyer</w:t>
            </w:r>
          </w:p>
        </w:tc>
      </w:tr>
      <w:tr>
        <w:trPr/>
        <w:tc>
          <w:tcPr>
            <w:tcW w:w="15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05/08/26</w:t>
            </w:r>
          </w:p>
        </w:tc>
        <w:tc>
          <w:tcPr>
            <w:tcW w:w="27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0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CrossCountry Mortgage</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08/09/23</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05/30/23</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Arlington Asset Investment</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Ellington Financial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02/27/23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Broadmark Realty Capital </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07/26/21</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Street Partners Realty Trust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04/26/21</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12/07/20</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11/07/18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05/02/18</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04/11/16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03/02/16</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02/26/16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precedent transactions based upon its experience and knowledge of companies in the mortgage REIT industry. Although none of the precedent transactions are directly comparable to the Mergers, nor are any of the target companies directly comparable to CHMI, BTIG selected transactions involving target companies with similar characteristics to the characteristics identified above in the 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using its professional judgment and experience, derived from the MRQ BVPS multiples of the selected precedent transactions a range of MRQ BVPS multiples for CHMI of 0.85x to 0.95x. Applying such range of multiples to CHMI’s fully diluted common book value per share as of June 30, 2026 of $3.08, BTIG’s analysis resulted in implied per share equity values for CHMI ranging from $2.62 to $2.93. BTIG compared the results of this analysis to the $3.10 implied value of the Common Stock Merger Consideration. The implied value of the Common Stock Merger Consideration fell above the range of implied per share equity values resulting from this analysis,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market conditions, rationale, and circumstances surrounding each of the selected transactions analyzed were specific to each transaction and because of the inherent differences between CHMI’s business, operations and prospects and those of the acquired companies above, BTIG believed that it was inappropriate to, and therefore did not, rely solely on the quantitative results of the analysis. Accordingly, BTIG also made qualitative judgments concerning the differences between the characteristics of these selected transactions (including market conditions, rationale, and circumstances surrounding each of the transactions, and the timing, type and size of each of the transactions) and the Mergers.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 Discount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estimate the present per share value of CHMI Common Stock, BTIG performed a dividend discount analysis of CHMI based on the CHMI Projections. A dividend discount analysis is a valuation methodology used to derive a valuation of an entity by calculating the “present value” of estimated future dividends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the entity. “Present value” refers to the current value of future dividends and is obtained by discounting those future distributable cash flows by a discount rate that takes into account macroeconomic assumptions and estimates of risk, the opportunity cost of capital, expected returns and other appropriate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Using discount rates ranging from 11.44% to 15.44%, based on the cost of equity (based on the capital asset pricing model), BTIG calculated (i) a range of implied present values of the projected dividends per share that CHMI was forecasted to distribute from the end of the third fiscal quarter of fiscal year 2026 through the end of the fourth fiscal quarter of fiscal year 2029 and (ii) ranges of implied present values of implied terminal values per share for CHMI using two methodologies, one based on price-to-book value multiples and the other based on dividend yields. The implied terminal values per share were derived by (a) applying a range of price-to-book value multiples of 0.85x to 1.05x, based on the average price-to-book value multiple of the selected publicly traded companies, to CHMI’s projected book value per share as of the end of the fourth fiscal quarter of fiscal year 2029 of $2.86 and (b) applying a range of dividend yields of 19.6% to 15.6%, based on the average dividend yield of the selected publicly traded companies, to CHMI’s annualized dividend per share in perpetuity of $0.40. This analysis indicated an implied per share equity value reference range for CHMI of $2.55 to $3.20 using the price-to-book value multiple-based terminal value methodology and an implied per share equity value reference range for CHMI of $2.31 to $2.90 using the dividend yield-based terminal value methodology. BTIG compared the results of this analysis to the $3.10 implied value of the Common Stock Merger Consideration. The implied value of the Common Stock Merger Consideration fell within the range of implied per share equity values resulting from the price-to-book value multiple-based terminal value methodology and above the range of implied per share equity values resulting from the dividend yield-based terminal value methodology,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Conclusion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the foregoing analyses and the assumptions and limitations set forth in full in the text of the BTIG Opinion, BTIG was of the opinion that, as of the date of the BTIG Opinion, and subject to and based on the assumptions made, procedures followed, factors considered, limitations of the review undertaken and qualifications contained in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Miscellaneous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discussion under “—Summary of Material Financial Analyses” represents a summary of the material financial analyses presented by BTIG to the CHMI Board in connection with the BTIG Opinion and is not a comprehensive description of all analyses undertaken by BTIG in connection with the BTIG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the BTIG Opinion. The fact that any specific analysis has been referred to in the summary above is not meant to indicate that such analysis was given greater weight than any other analysis referred to in the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performing its analyses, BTIG considered industry performance, general business and economic conditions and other matters, many of which are beyond the control of CHMI. The estimates of the future performance of CHMI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as of August 9, 2026, of the Common Stock Merger Consideration to be received by the holders of CHMI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(other than holders of Canceled Shares) pursuant to the Merger Agreement, and were provided to the CHMI Board in connection with the delivery of the BTIG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type and amount of consideration payable in the Mergers was determined through negotiations between CHMI and MITT rather than by any financial advisor, and was approved by the CHMI Board. The decision to enter into the Merger Agreement was solely that of the CHMI Board. As described above, the BTIG Opinion and analyses were only one of many factors considered by the CHMI Board in its evaluation of the Mergers and should not be viewed as determinative of the views of the CHMI Board with respect to the Mergers or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acted as financial advisor to the CHMI Board in connection with the Mergers. As compensation for its services to the CHMI Board, BTIG is entitled to receive from CHMI aggregate compensation of approximately $2.5 million, of which $500,000 became payable upon the delivery of the BTIG Opinion to the CHMI Board on August 9, 2026, with the remainder of this fee to become payable upon consummation of the proposed Mergers. In addition, CHMI has agreed to reimburse BTIG for its expenses and to indemnify BTIG against certain liabilities arising out of its engagement.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two years prior to the date of the BTIG Opinion, BTIG and its affiliates have provided financial advisory or investment banking services to CHMI, for which BTIG has received compensation of less than $150,000. In the two years prior to the date of the BTIG Opinion, BTIG and its affiliates have acted as a placement agent in connection with the establishment of an at-the-market equity offering program of MITT and its affiliates and received customary expense reimbursement for the rendering of these services. BTIG and its affiliates may seek to provide financial advisory or investment banking services to CHMI, MITT or any of their respective affiliates in the future, and would expect to receive customary fees for the rendering of any such services. BTIG and its affiliates provide investment banking and other services to a wide range of persons from which conflicting interests or duties may arise. BTIG, its affiliates, directors, members, managers, employees and officers may at any time hold long or short positions, and may trade or otherwise structure and effect transactions in debt or equity securities or loans of MITT, CHMI or any other company that may be involved in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6" w:name="i4edc4b765f1844bf8a0c2a42335c4175"/>
      <w:bookmarkEnd w:id="86"/>
      <w:r>
        <w:rPr>
          <w:rFonts w:ascii="Times New Roman;serif" w:hAnsi="Times New Roman;serif"/>
          <w:b/>
          <w:color w:val="000000"/>
          <w:sz w:val="20"/>
        </w:rPr>
        <w:t>Certain MITT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from time to time, may provide guidance for certain expected financial results in its regular earnings communications and other investor materials, MITT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MITT nor CHMI can give you any assurance that actual results will not differ materially from the unaudited prospective financial information included in this joint proxy statement/prospectus. However, in connection with the Company Merger, MITT’s management prepared and provided to the MITT Board in connection with its evaluation of the transaction, to its financial advisor, Piper Sandler, including in connection with Piper Sandler’s financial analysis described above under the section entitled “—Opinion of MITT’s Financial Advisor,” and to CHMI and its representatives certain non-public, unaudited estimates, including, but not limited to, estimated earnings available for distribution per share, adjusted book value per share and dividends per share for the fiscal years ending 2026 through 2028, which we refer to, collectively, as the “MITT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summary of the MITT Projections is included for the sole purpose of providing MITT stockholders and CHMI stockholders access to a summary of certain non-public information that was furnished to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parties in connection with the Company Merger, and such information may not be appropriate for other purposes, and is not included to influence the investment or voting decision of any MITT stockholder or CHMI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presentations of financial projections, but in the view of MITT’s management, were reasonably prepared in good faith on a basis reflecting the best available estimates and judgments at the time of preparation, and presented as of the time of preparation, to the best of MITT’s management’s knowledge and belief, the expected future financial performance of MITT. The inclusion of the summary of the MITT Projections should not be regarded as an indication that such information is factual or necessarily predictive of actual future events or results and such information should not be relied upon as such, and readers of this joint proxy statement/prospectus are cautioned not to rely on the MITT Projections for any purpose. The prospective financial information included in the MITT Projections included in this section under the heading “Certain MITT Unaudited Prospective Financial Information” has been prepared by, and is the responsibility of, MITT’s management. Deloitte &amp; Touche LLP has not audited, reviewed, examined, compiled nor applied agreed-upon procedures with respect to the accompanying prospective financial information and, accordingly, Deloitte &amp; Touche LLP does not express an opinion or any other form of assurance with respect thereto. The Deloitte &amp; Touche LLP report included in MITT’s Annual Report on Form 10-K for the year ended December 31, 2025, incorporated by reference in this joint proxy statement/prospectus, relates to MITT’s previously issued financial statements. It does not extend to the prospective financial information and should not be read to do so. Furthermore, the MITT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presented with numeric specificity, this unaudited prospective financial information is forward-looking information that was based on numerous variables and assumptions (including assumptions related to MITT’s portfolio, interest rates, industry performance and general business, economic, market and financial conditions, as well as additional matters specific to MITT’s business) that are inherently highly subjective, uncertain and beyond the control of MITT.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MITT’s business (including its ability to achieve strategic goals, objectives and targets over applicable periods), changes in MITT’s portfolio, actual credit performance of MITT’s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MITT stockholders and CHMI stockholders are urged to review MITT’s most recent SEC filings for a description of the reported and anticipated results of operations and financial condition and capital resources, including those discussed in “Management’s Discussion and Analysis of Financial Condition and Results of Operations” in MITT’s Annual Report on Form 10-K for the year ended December 31, 2025 and MITT’s Quarterly Reports on Form 10-Q for the quarters ended March 31, 2026 and June 30, 2026, which are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this information should not be regarded as an indication that MITT, the MITT Board, CHMI, the CHMI Board, Piper Sandler, BTIG or any other recipient of this information considered, or now considers, it to be necessarily predictive of actual future results. None of MITT, CHMI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NONE OF MITT, CHMI OR THEIR RESPECTIVE AFFILIATES, ADVISORS, OFFICERS, DIRECTORS OR OTHER REPRESENTATIVES UNDERTAKES ANY OBLIGATION TO UPDATE OR OTHERWISE REVISE OR RECONCILE THE BELOW UNAUDITED PROSPECTIVE FINANCIAL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may calculate certain non-GAAP financial metrics using different methodologies. Consequently, the financial metrics presented in each company’s prospective financial information disclosures and in the sections of this joint proxy statement/prospectus with respect to the opinions of the financial advisors to MITT and CHMI may not be directly comparable to one another.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CHMI or their respective affiliates, advisors, officers, directors or other representatives has made or makes any representation to CHMI or any MITT stockholder or CHMI stockholder, in the Merger Agreement or otherwise, concerning the unaudited prospective financial information, or regarding MITT’s ultimate performance compared to the unaudited prospective financial information, or that the projected results will be achieved. In light of the foregoing factors, the uncertainties inherent in the unaudited prospective financial information, and the fact that the MITT special meeting and CHMI special meeting will be held several months after the financial projections were prepared, MITT stockholders and CHMI stockholders are cautioned not to place any reliance on such information and to review MITT’s most recent SEC filings for a description of MITT’s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based on numerous variables and assumptions, including the following: (i) the composition of and yields on the investment portfolio and securitized debt; (ii) the timing and amount of capital invested and equity returns achieved on capital invested; (iii) the amount of leverage on the investment portfolio and the cost of variable rate financing based on a forward interest rate curve; (iv) the size of the interest rate swap portfolio and the related earnings based on a forward interest rate curve; (v) loan origination volumes and gain on sale margins at Arc Home; (vi) the amount of expenses incurred; (vii) no mark-to-market changes in the fair value of the investment portfolio, securitized debt and interest rate swap portfolio; (viii) no stock issuances or share repurchases; (ix) the declaration of preferred stock dividends; and (x) the declaration of a common stock dividend consistent with MITT’s current dividend level.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provided to the MITT Board, MITT’s financial advisor, Piper Sandler, CHMI and CHMI’s financial advisor, BTIG. The following table presents a summary of the MITT Projections for the fiscal years ending 2026 through 2028.</w:t>
      </w:r>
    </w:p>
    <w:tbl>
      <w:tblPr>
        <w:tblW w:w="7434" w:type="dxa"/>
        <w:jc w:val="left"/>
        <w:tblInd w:w="0" w:type="dxa"/>
        <w:tblLayout w:type="fixed"/>
        <w:tblCellMar>
          <w:top w:w="28" w:type="dxa"/>
          <w:left w:w="28" w:type="dxa"/>
          <w:bottom w:w="28" w:type="dxa"/>
          <w:right w:w="28" w:type="dxa"/>
        </w:tblCellMar>
      </w:tblPr>
      <w:tblGrid>
        <w:gridCol w:w="369"/>
        <w:gridCol w:w="325"/>
        <w:gridCol w:w="325"/>
        <w:gridCol w:w="325"/>
        <w:gridCol w:w="325"/>
        <w:gridCol w:w="325"/>
        <w:gridCol w:w="325"/>
        <w:gridCol w:w="325"/>
        <w:gridCol w:w="325"/>
        <w:gridCol w:w="325"/>
        <w:gridCol w:w="325"/>
        <w:gridCol w:w="325"/>
        <w:gridCol w:w="109"/>
        <w:gridCol w:w="109"/>
        <w:gridCol w:w="109"/>
        <w:gridCol w:w="195"/>
        <w:gridCol w:w="195"/>
        <w:gridCol w:w="195"/>
        <w:gridCol w:w="195"/>
        <w:gridCol w:w="195"/>
        <w:gridCol w:w="195"/>
        <w:gridCol w:w="230"/>
        <w:gridCol w:w="230"/>
        <w:gridCol w:w="216"/>
        <w:gridCol w:w="195"/>
        <w:gridCol w:w="195"/>
        <w:gridCol w:w="195"/>
        <w:gridCol w:w="228"/>
        <w:gridCol w:w="228"/>
        <w:gridCol w:w="27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$0.95</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4271" w:type="dxa"/>
            <w:gridSpan w:val="15"/>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Book Value per Share (end of period)</w:t>
            </w:r>
            <w:r>
              <w:rPr>
                <w:rFonts w:ascii="Times New Roman;serif" w:hAnsi="Times New Roman;serif"/>
                <w:b w:val="false"/>
                <w:color w:val="000000"/>
                <w:sz w:val="13"/>
              </w:rPr>
              <w:t>(2)</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(1)Earnings Available for Distribution per Share is a non-GAAP measure that MITT defines as Net Income/(loss) available to common stockholders excluding (i) (a) unrealized gains/(losses) on loans, real estate securities, derivatives and other investments, inclusive of MITT’s investment in AG Arc and Arc Home’s net mortgage servicing rights, and (b) net realized gains/(losses) on the sale or termination of such instruments, (ii) any transaction related expenses incurred in connection with the acquisition, disposition, or securitization of MITT’s investments, (iii) the income tax effect on non-EAD income/(loss) items, and (iv) certain other nonrecurring gains or losses.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(2)Book value per common share is calculated using stockholders’ equity less the liquidation preference of $228.0 million on MITT’s issued and outstanding preferred stock as the numerator.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7" w:name="i0ff2fa1ca3314b98b7c3de0b7365f71e"/>
      <w:bookmarkEnd w:id="87"/>
      <w:r>
        <w:rPr>
          <w:rFonts w:ascii="Times New Roman;serif" w:hAnsi="Times New Roman;serif"/>
          <w:b/>
          <w:color w:val="000000"/>
          <w:sz w:val="20"/>
        </w:rPr>
        <w:t xml:space="preserve">Certain CHMI Unaudited Prospective Financial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CHMI nor MITT can give you any assurance that actual results will not differ materially from the unaudited prospective financial information included in this joint proxy statement/prospectus. However, in connection with the Mergers, CHMI’s management prepared certain unaudited prospective financial information regarding the financial condition and results of operations of CHMI and its subsidiaries for fiscal years 2026 through 2029, which we refer to as the “Initial CHMI Projections.” The Initial CHMI Projections for the year ending December 31, 2026 took into account the financial condition and results of operations of CHMI and its subsidiaries as of and for the three months ended March 31, 2026. The Initial CHMI Projections were provided to the CHMI Board, MITT, CHMI’s financial advisor, BTIG, and MITT’s financial advisor, Piper Sandler. As discussed in the section entitled “The Mergers—Background of the Mergers” beginning on page 74, CHMI’s management prepared certain updated unaudited prospective financial information regarding the financial condition and results of operations of CHMI and its subsidiaries for fiscal years 2026 through 2029, which we refer to as the “Updated CHMI Projections.” The Updated CHMI Projections for the year ending December 31, 2026 take into account the financial condition and results of operations of CHMI and its subsidiaries as of and for the six months ended June 30, 2026. The Updated CHMI Projections for all fiscal years presented take changes in the one-month SOFR forward interest rate curve. The Updated CHMI Projections were provided to the CHMI Board, MITT, CHMI’s financial advisor, BTIG, and MITT’s financial advisor, Piper Sandler. The below summary of the Initial CHMI Projections and the Updated CHMI Projections is included for the sole purpose of providing CHMI stockholders and MITT stockholders access to a summary of certain non-public information that was provided to the CHMI Board, CHMI’s financial advisor, BTIG, MITT and MITT’s financial advisor, Piper Sandler, in connection with the Mergers, and such information may not be appropriate for other purposes, and is not included to influence the investment or voting decision of any CHMI stockholder or MITT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the preparation and presentation of financial projections, but in the view of CHMI’s management, were prepared on a reasonable basis, reflect the best currently available estimates and judgments and present, to the best of CHMI’s management’s knowledge and belief, the expected course of action and the expected future financial performance of CHMI. However, this information is not fact and should not be relied upon as being necessarily indicative of future results, and readers of this joint proxy statement/prospectus are cautioned not to place undue reliance on the prospective financial information included in the CHMI Projections. The prospective financial information included in the Initial CHMI Projections and the Updated CHMI Projections appearing in this section under the heading “—CHMI Projections” has been prepared by, and is the responsibility of, CHMI’s management. Ernst &amp; Young LLP, CHMI’s independent registered public accounting firm,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opinion included in CHMI’s Annual Report on Form 10-K for the year ended December 31, 2025, which is incorporated by reference into this joint proxy statement/prospectus (See “Where You Can Find More Information and Incorporation by Reference”), relates to CHMI’s previously issued financial statements. It does not extend to the prospective financial information and should not be read to do so. Furthermore, the Initial CHMI Projections and the Updated CHMI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presented with numeric specificity, the unaudited prospective financial information set forth below under the heading “—CHMI Projections” is forward-looking information that was based on numerous variables and assumptions (including assumptions related to the overall performance of the CHMI investment portfolio, investment acquisitions, investment dispositions, hedging strategies, market interest rates, relative industry performance and general business, economic, market and financial conditions, as well as additional matters specific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CHMI’s business) that are inherently highly subjective, uncertain and beyond the control of CHMI.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CHMI’s business (including its ability to achieve strategic goals, objectives and targets over applicable periods), changes in the CHMI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CHMI stockholders and MITT stockholders are urged to review the most recent SEC filings of CHMI for a description of the reported results of operations and financial condition and capital resources, including those in “Management’s Discussion and Analysis of Financial Condition and Results of Operations” in CHMI’s Annual Report on Form 10-K for the year ended December 31, 2025, and its Quarterly Report on Form 10-Q for the quarter ended June 30, 2026, both of which are incorporated by reference into this joint proxy statement/prospectus. See “Where You Can Find More Information and Incorporation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the unaudited prospective financial information included in the Initial CHMI Projections and the Updated CHMI Projections should not be regarded as an indication that CHMI, the CHMI Board, MITT, the MITT Board, BTIG, Piper Sandler or any other recipient of this information considered, or now considers, it to be necessarily predictive of actual future results. None of CHMI, MITT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CHMI, MITT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and MITT may calculate certain non-GAAP financial metrics, including Earnings Available for Distribution, which we refer to as “EAD,” using different methodologies. Consequently, the financial metrics presented in each company’s prospective financial information disclosures and in the sections of this joint proxy statement/prospectus with respect to the opinions of the financial advisors to CHMI and MITT may not be directly comparable to one another. Further, EAD is a “non-GAAP financial measure” as set forth in Item 10(e) of Regulation S-K and should not be considered as alternatives to net income or loss (determined in accordance with GAAP) or any other GAAP financial measures or as an indication of CHMI’s or MITT’s performance. None of these non-GAAP measures represents cash generated from operating activities determined in accordance with GAAP. The below unaudited prospective financial information should be considered together with, and not as an alternative to, financial measures prepared in accordance with GAAP. SEC rules that may otherwise require a reconciliation of a non-GAAP financial measure to a GAAP financial measure do not apply to non-GAAP financial measures provided to directors or a financial advisor (such as the below unaudited prospective financial information) in connection with a proposed transaction such as the Mergers when the disclosure is included in a document such as this joint proxy statement/prospectus. In addition, reconciliations of non-GAAP financial measures to GAAP financial measures were not relied upon by BTIG for purposes of its opinion, by the CHMI Board in connection with its consideration of the Mergers, by Piper Sandler for purposes of its opinion or by the MITT Board in connection with its consideration of the Mergers. Accordingly, CHMI has not provided a reconciliation of the non-GAAP financial measures to the relevant GAAP financial measures.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not made and makes no representation to MITT or any CHMI stockholder or any MITT stockholder, in the Merger Agreement or otherwise, concerning the unaudited prospective financial information, or regarding CHMI’s ultimate performance compared to the unaudited prospective financial information, or that the projected results will be achieved. In light of the foregoing factors and the uncertainties inherent in the unaudited prospective financial information, CHMI urges all CHMI stockholders and MITT stockholders not to place undue reliance on such information and to review CHMI’s most recent SEC filings for a description of CHMI’s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based on numerous variables and assumptions, including the following: (i) the actual financial condition and results of operations of CHMI and its subsidiaries as of and for the three months ended March 31, 2026 in the case of the Initial CHMI Projections for the fiscal year ending December 31, 2026; (ii) the actual financial condition and results of operations of CHMI and its subsidiaries as of and for the six months ended June 30, 2026 in the case of the Updated CHMI Projections; (iii) the composition of and yields on CHMI’s investment portfolio; (iv) the timing and amount of capital invested and equity returns achieved on capital invested; (v) the amount of leverage on the investment portfolio and the cost of variable rate financing based on a forward interest rate curve (assumptions with respect to the forward interest rate curve were updated when CHMI’s management prepared the Updated CHMI Projections); (vi) the amount of realized and unrealized gains or losses; (vii) no issuances or repurchases of shares of capital stock; (viii) the declaration and payment of quarterly cash dividends on the CHMI Preferred Stock, with the amount of quarterly cash dividends on the CHMI Series B Preferred Stock based on a forward interest rate curve (assumptions with respect to the forward interest rate curve were updated when CHMI’s management prepared the Updated CHMI Projections); and (ix) the declaration and payment of quarterly cash dividends on the CHMI Common Stock consistent with CHMI’s current dividend of $0.10 per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provided to the CHMI Board, CHMI’s financial advisor, BTIG, MITT and MITT’s financial advisor, Piper Sandler. The following table presents a summary of the Initial CHMI Projections and the Updated CHMI Projections for the fiscal years ending 2026 through 2029.</w:t>
      </w:r>
    </w:p>
    <w:tbl>
      <w:tblPr>
        <w:tblW w:w="6949" w:type="dxa"/>
        <w:jc w:val="left"/>
        <w:tblInd w:w="0" w:type="dxa"/>
        <w:tblLayout w:type="fixed"/>
        <w:tblCellMar>
          <w:top w:w="28" w:type="dxa"/>
          <w:left w:w="28" w:type="dxa"/>
          <w:bottom w:w="28" w:type="dxa"/>
          <w:right w:w="28" w:type="dxa"/>
        </w:tblCellMar>
      </w:tblPr>
      <w:tblGrid>
        <w:gridCol w:w="1427"/>
        <w:gridCol w:w="1255"/>
        <w:gridCol w:w="1262"/>
        <w:gridCol w:w="242"/>
        <w:gridCol w:w="242"/>
        <w:gridCol w:w="242"/>
        <w:gridCol w:w="242"/>
        <w:gridCol w:w="242"/>
        <w:gridCol w:w="242"/>
        <w:gridCol w:w="242"/>
        <w:gridCol w:w="242"/>
        <w:gridCol w:w="242"/>
        <w:gridCol w:w="242"/>
        <w:gridCol w:w="242"/>
        <w:gridCol w:w="343"/>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2028E</w:t>
            </w:r>
          </w:p>
        </w:tc>
        <w:tc>
          <w:tcPr>
            <w:tcW w:w="8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2029E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Initial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$0.34</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$0.22</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Updated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$0.18</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$2.91</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CHMI’s projected amount of Earnings Available for Distribution Per Share for the year ending December 31, 2026 includes historical amounts of Earnings Available for Distribution Per Share for the first six months of 2026. Earnings Available for Distribution is a non-GAAP financial measure that CHMI defines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expenses and any tax expense (benefit) on realized and unrealized gain (loss) on MSRs and other non-EAD income (loss) items.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derivatives, net” on CHMI’s consolidated statements of income (loss). EAD attributable to CHMI common stockholders is adjusted to exclude outstanding CHMI LTIP Units and dividends paid on the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Book Value Per Common Share is calculated using CHMI’s stockholders’ equity less the aggregate liquidation preference of the outstanding CHMI Preferred Stock of $109.6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8" w:name="ib2865f95a9354f7b9826d38dadc05982"/>
      <w:bookmarkEnd w:id="88"/>
      <w:r>
        <w:rPr>
          <w:rFonts w:ascii="Times New Roman;serif" w:hAnsi="Times New Roman;serif"/>
          <w:b/>
          <w:color w:val="000000"/>
          <w:sz w:val="20"/>
        </w:rPr>
        <w:t>Interests of MITT’s Directors and Executive Officers in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recommendation of the MITT Board to approve the MITT Common Stock Issuance Proposal, MITT stockholders should be aware that certain executive officers and directors of MITT have certain interests in the Company Merger that may be different from, or in addition to, the interests of MITT stockholders generally and that may present actual or potential conflicts of interest. The MITT Board was aware of these interests and considered them, among other matters, in reaching its decision to approve the Merger Agreement and the transactions contemplated thereby.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consummation of the Company Merger, all of the current directors of the MITT Board are expected to continue as directors of the board of directors of the Combined Company, and two directors on the CHMI Board are expected to be appointed to the board of directors of the Combined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continue to be managed by MITT Manager under the terms of the MITT Management Agreement. Under the MITT Management Agreement, as amended by the MITT Management Agreement Amendment, MITT Manager provides the day-to-day management of MITT’s business, including providing MITT with its executive officers and all other personnel necessary to support its operations. In exchange for its services, MITT pays MITT Manager a management fee and reimburses it for certain expenses incurred by it and its affiliates in rendering management services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Management Agreement and the MITT Management Agreement Amendment were negotiated between related parties, and the terms, including fees and other amounts payable, may not be as favorable to MITT as if they had been negotiated with an unaffiliated third party.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MITT pays MITT Manager a base management fee calculated and payable quarterly in arrears equal to 1.5% per annum of its stockholders’ equity. Following the Company Merger, MITT stockholders’ equity will include the additional equity attributable to the acquisition of CHMI and, thus, the amount of the management fees payable to MITT Manager may also increase, which gives MITT Manager (and, therefore, MITT’s management) an incentive, not shared by MITT stockholders, to negotiate and effect the Mergers, possibly on terms less favorable to MITT than would otherwise have been achieved.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The MITT Management Agreement Amendment will become effective automatically upon the Closing of the Company Merger,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shares of MITT’s common stock or a combination of cash and shares, provided that no more than 50% of the incentive fee may be paid in shares of MITT’s common stock without MITT Manager’s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9" w:name="i041d31cf02634dc9b037297a9885f3e7"/>
      <w:bookmarkEnd w:id="89"/>
      <w:r>
        <w:rPr>
          <w:rFonts w:ascii="Times New Roman;serif" w:hAnsi="Times New Roman;serif"/>
          <w:b/>
          <w:color w:val="000000"/>
          <w:sz w:val="20"/>
        </w:rPr>
        <w:t xml:space="preserve">Interests of CHMI’s Directors and Executive Officers in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CHMI Board’s recommendation to vote to approve the CHMI Merger Proposal and the CHMI Compensation Proposal, CHMI stockholders should be aware that CHMI’s directors and executive officers have interests in the Mergers that may be different from, or in addition to, the interests of CHMI common stockholders generally. These interests are discussed below. The CHMI Board was aware of these interests and considered them, among other matters, in (i) evaluating and reaching its decision to approve the Merger Agreement and the transactions contemplated thereby, including the Company Merger, (ii) determining such transactions are advisable, fair and in the best interests of CHMI and CHMI’s common stockholders and (iii) resolving to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recommend that CHMI common stockholders vote to approve the CHMI Merger Proposal and the CHMI Compensation Proposal.</w:t>
      </w:r>
    </w:p>
    <w:p>
      <w:pPr>
        <w:pStyle w:val="TextBody"/>
        <w:bidi w:val="0"/>
        <w:spacing w:lineRule="auto" w:line="288" w:before="0" w:after="180"/>
        <w:jc w:val="both"/>
        <w:rPr>
          <w:rFonts w:ascii="Times New Roman;serif" w:hAnsi="Times New Roman;serif"/>
          <w:b/>
          <w:i/>
          <w:color w:val="000000"/>
          <w:sz w:val="20"/>
        </w:rPr>
      </w:pPr>
      <w:bookmarkStart w:id="90" w:name="i8b9a277036bf4cb99e341010a6de7017"/>
      <w:bookmarkEnd w:id="90"/>
      <w:r>
        <w:rPr>
          <w:rFonts w:ascii="Times New Roman;serif" w:hAnsi="Times New Roman;serif"/>
          <w:b/>
          <w:i/>
          <w:color w:val="000000"/>
          <w:sz w:val="20"/>
        </w:rPr>
        <w:t xml:space="preserve">Certain Assumptions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noted, for purposes of quantifying the potential payments and benefits described in this section, CHMI has assumed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1.Completion of the Mergers constitutes a change in control for purposes of the CHMI Equity Awards.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Merger Effective Time occurs on August 31, 2026, which is the assumed date of the Company Merger Effective Time solely for purposes of the disclosure in this section.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relevant price per share of CHMI Common Stock is $2.884 (rounded to $2.88), which is the average closing price per share of CHMI Common Stock as reported on the NYSE over the first five business days following the public announcement of the Mergers, beginning on, and including, August 10, 2026, rounded to the nearest whole cent, which we refer to as the “5-Day Average Price.”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executive officer has a “qualifying termination” of employment (as described below) immediately following the Company Merger Effective Time for purposes of the Cherry Hill Mortgage Investment Corporation Executive Severance Plan, which we refer to as the “CHMI Executive Severance Plan.”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5.Achievement of performance goals at target performance levels with respect to certain cash bonuses payable to CHMI executive officers and achievement of performance goals at maximum performance levels with respect to certain CHMI Equity Awards held by CHMI executive officers.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quantification of CHMI Equity Awards set forth below is calculated based on the unvested CHMI Equity Awards held by each named executive officer and non-employee director as of August 31, 2026, the latest practicable date before the filing of this proxy statement/prospectus, and assumes that such awards remain unvested and outstanding as of immediately prior to the Company Merger Effective Time.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7.No payments, accelerated vesting or other benefits expected to be paid to, or received, by the named executive officers are subject to the 280G Cutback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indicated below are estimates based on multiple assumptions that may or may not occur or be accurate as of the date referenced. The actual amounts, if any, that may be paid or become payable may differ materially from the amounts set forth below.</w:t>
      </w:r>
    </w:p>
    <w:p>
      <w:pPr>
        <w:pStyle w:val="TextBody"/>
        <w:bidi w:val="0"/>
        <w:spacing w:lineRule="auto" w:line="288" w:before="0" w:after="180"/>
        <w:jc w:val="both"/>
        <w:rPr>
          <w:rFonts w:ascii="Times New Roman;serif" w:hAnsi="Times New Roman;serif"/>
          <w:b/>
          <w:i/>
          <w:color w:val="000000"/>
          <w:sz w:val="20"/>
        </w:rPr>
      </w:pPr>
      <w:bookmarkStart w:id="91" w:name="ic0d90686b8f84e9dbf50833533cc44e0"/>
      <w:bookmarkEnd w:id="91"/>
      <w:r>
        <w:rPr>
          <w:rFonts w:ascii="Times New Roman;serif" w:hAnsi="Times New Roman;serif"/>
          <w:b/>
          <w:i/>
          <w:color w:val="000000"/>
          <w:sz w:val="20"/>
        </w:rPr>
        <w:t>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award of shares of restricted CHMI Common Stock, which we refer to as the “CHMI Restricted Stock Awards,” that is outstanding immediately prior to the Company Merger Effective Time will fully vest and all restrictions thereon will lapse at such time, and will be net settled in respect of applicable withholding taxes, if any, and the remaining shares of CHMI Common Stock will receive the Common Stock Merger Consideration.</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RSU Awards and CHMI PSU Awards held by Messrs. Lown and Evans and Ms. Patel were granted in 2026 under CHMI’s 2023 Equity Incentive Plan as part of the long-term equity incentive component of the 2026 Executive Compensation Plan. Under the terms of their grants, the CHMI RSU Awards vest ratably over a three-year period beginning on the first anniversary of the grant date, and the CHMI PSU Awards are earned, if at all, based on total shareholder return metrics measured over a three-year performance period. Ms. Healey’s CHMI RSU Awards were granted under the 2023 Equity Incentive Plan in February 2026 in connection with the terms of her offer letter and vest in full on February 10, 2027. Ms. Patel received a grant of RSUs under the 2023 Equity Incentive Plan in 2024 prior to her appointment as Chief Financial Officer and Treasurer. No CHMI RSU Awards or CHMI PSU Awards were granted to any other executive officers in either 2024 or 2025. Messrs. Lown and Evans and Ms. Patel were granted LTIP Units in January 2024, which vest ratably over a three-year period beginning on the first anniversary of the grant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In connection with the accelerated vesting of unvested CHMI Equity Awards, CHMI estimates that the aggregate amount of dividend equivalent payments that will be made to CHMI’s executive officers is $89,621.</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for each executive officer and non-employee director of CHMI, (i) the number of shares of CHMI Common Stock underlying unvested CHMI RSU Awards, unvested CHMI PSU Awards, unvested CHMI Restricted Stock Awards and unvested CHMI LTIP Units held by such individual that are expected to vest and settle as a result of the Mergers as of the date of this proxy statement/prospectus; and (ii) the estimated value of such awards (on a pre-tax basis) as a result of the Mergers, based on the assumptions described above. Depending on when the Mergers are completed, certain awards that are outstanding as of the date hereof and included in the table below may vest pursuant to their terms, independent of the Mergers. The actual value of the unvested CHMI Equity Awards (including the CHMI LTIP Units) cannot be determined with any certainty until the actual acceleration and the Closing occur.</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7"/>
        <w:gridCol w:w="613"/>
        <w:gridCol w:w="617"/>
        <w:gridCol w:w="382"/>
        <w:gridCol w:w="359"/>
        <w:gridCol w:w="361"/>
        <w:gridCol w:w="289"/>
        <w:gridCol w:w="289"/>
        <w:gridCol w:w="225"/>
        <w:gridCol w:w="380"/>
        <w:gridCol w:w="358"/>
        <w:gridCol w:w="360"/>
        <w:gridCol w:w="309"/>
        <w:gridCol w:w="309"/>
        <w:gridCol w:w="313"/>
        <w:gridCol w:w="497"/>
        <w:gridCol w:w="497"/>
        <w:gridCol w:w="498"/>
        <w:gridCol w:w="289"/>
        <w:gridCol w:w="289"/>
        <w:gridCol w:w="225"/>
        <w:gridCol w:w="323"/>
        <w:gridCol w:w="323"/>
        <w:gridCol w:w="325"/>
        <w:gridCol w:w="264"/>
        <w:gridCol w:w="209"/>
        <w:gridCol w:w="305"/>
      </w:tblGrid>
      <w:tr>
        <w:trPr/>
        <w:tc>
          <w:tcPr>
            <w:tcW w:w="99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RSU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PSU Awards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Restricted Stock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LTIP Units (#)</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i/>
                <w:color w:val="000000"/>
                <w:sz w:val="20"/>
              </w:rPr>
            </w:pPr>
            <w:r>
              <w:rPr>
                <w:rFonts w:ascii="Times New Roman;serif" w:hAnsi="Times New Roman;serif"/>
                <w:b/>
                <w:i/>
                <w:color w:val="000000"/>
                <w:sz w:val="20"/>
              </w:rPr>
              <w:t>Executive Officers: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170,455</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491,592</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1,006,049</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3,900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11,248</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D. Evans, </w:t>
            </w:r>
            <w:r>
              <w:rPr>
                <w:rFonts w:ascii="Times New Roman;serif" w:hAnsi="Times New Roman;serif"/>
                <w:b w:val="false"/>
                <w:i/>
                <w:color w:val="000000"/>
                <w:sz w:val="20"/>
              </w:rPr>
              <w:t>Chief Investment Officer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104,167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300,418</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213,178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614,805</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4,875</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14,060</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Apeksha Patel, </w:t>
            </w:r>
            <w:r>
              <w:rPr>
                <w:rFonts w:ascii="Times New Roman;serif" w:hAnsi="Times New Roman;serif"/>
                <w:b w:val="false"/>
                <w:i/>
                <w:color w:val="000000"/>
                <w:sz w:val="20"/>
              </w:rPr>
              <w:t>Chief Financial Officer and Treasurer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87,091</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251,171</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155,038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447,130</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3,250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9,373</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24,414</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Non-Employee Directors: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C. Mercer, Jr.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Sharon L. Cook</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Dale S. Hoffman</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Murin</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entered into indemnification agreements with each of its current directors providing for the maximum indemnification permitted under Maryland law. Pursuant to the terms of the Merger Agreement, these indemnification agreements will be assumed by the Surviving Entity following the Company Merger Effective Time and will continue in full force and effect in accordance with their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Merger Agreement, for a period of six years from the Company Merger Effective Time, MITT will cause a prepaid “tail” directors’ and officers’ liability insurance policy to be maintained. Such policy will provide for coverage for acts, omissions or events occurring or alleged to have occurred at or prior to the Company Merger Effective Time and will be no less favorable than CHMI’s existing directors’ and officers’ insurance policy, with a claims period of six years from the Company Merger Effective Time. However, the aggregate premium for such tail policy shall not exceed 300% of the annual premium paid by CHMI for such insurance as of the date of the Merger Agreement. For additional information, see “The Merger Agreement—Covenants and Agreements—Indemnification and Insurance.”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Executive Severance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maintains the CHMI Executive Severance Plan to provide the terms and conditions relating to the CHMI executive officers’ separation from service from CHMI, to retain highly qualified individuals as executives and to maintain the focus of its executive officers on CHMI’s business and to mitigate distractions caused by the possibility that the executive’s employment may be terminated. CHMI does not have employment agreements with any of its named executive officers, and the CHMI Executive Severance Plan is the only agreement between CHMI and such executive officers providing for termination-related cash severance benefits.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covers regular full-time employees of CHMI or any Affiliate who is serving as the Chief Executive Officer, the Chief Financial Officer, the Chief Investment Officer, SVP of Mortgage Servicing, and the General Counsel or the Chief Legal Officer of the CHMI. The benefits payable to a participant under the CHMI Executive Severance Plan depend on whether or not the participant incurs a termination of employment that constitutes a “qualifying termination.” For purposes of the CHMI Executive Severance Plan, the following definitions apply: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qualifying termination” means either (i) a termination of a participant’s employment by CHMI without “cause” (but not including a termination due to death or permanent disability) or (ii) a voluntary termination of a participant’s employment by the participant for “good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cause” means (i) the participant’s conviction of (or pleading guilty or nolo contendere to) a felony or crime involving moral turpitude, (ii) an act or failure to act by the participant which in either case constitutes fraud involving the assets of CHMI or any of its subsidiaries, dishonesty involving the assets of CHMI or any of its subsidiaries or that is significantly detrimental to the business reputation of CHMI or (iii) the participant’s failure to perform the responsibilities and obligations associated with the participant’s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good reason” means the occurrence, without a participant’s prior written consent, of either (i) a significant reduction of the participant’s responsibilities or status or (ii) a reduction in the participant’s salary, bonus potential, or a material reduction of benefits unless part of a broad-based change in CHMI’s benefit programs, provided that the conditions described in each of clauses (i) and (ii) must constitute a material negative change to the participant in the service relationship, as that phrase is used in Treasury Regulation §1.409A</w:t>
        <w:noBreakHyphen/>
        <w:t>1(n)(2)(i). In order for a termination to constitute a termination for "good reason," the participant must provide written notice to CHMI within 90 days after the occurrence of the event constituting good reason. CHMI then has a 30-day period following receipt of such notice to cure the condition. If the condition is cured within such period, the participant will not be entitled to a severance payment.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severance payment” means a lump-sum cash payment equal to the total of (A) and (B):</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is an amount equal to a participant’s “severance multiple” (2.5x for the Chief Executive Officer (Mr. Lown) and 1.5x for all other participants in the CHMI Executive Severance Plan) multiplied by such participant's annual compensation (total of salary plus target bonus or, if no target has been set, the participant’s 3-year average annual non-equity incentive compensation or, if fewer, the number of full fiscal years the participant was employed prior to termination). Each named executive officer has a target bonus for 2026 as described in the section entitled “Cash Bonuses Payable to CHMI Executive Officers” below.</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o(B) is, to the extent such participant participates in CHMI’s health and/or dental plans as of such participant’s separation date, an amount equal to 12 months of health and/or dental premium payments as determined under Section 4980B of the Code and Sections 601-609 of the Employee Retirement Income Security Act of 1974, as amended, which we refer to as “ERISA,” and determined for such participant based on such participant’s elections as in effect on such participant’s separation date, which we refer to as the “Healthcare Continuation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participant incurs a termination of employment that constitutes a “qualifying termination,” subject to such participant’s compliance with his or her obligations as set forth in the CHMI Executive Severance Plan, including, but not limited to, such participant’s obligation to timely sign and not revoke a waiver and release of claims against CHMI and its affiliates, CHMI (or its successor) will pay in cash a “severance payment” to such participant within the 60-day period following such participant’s separation date. Any other rights and benefits of a participant which may be available pursuant to any employee benefits plans, policies, and practices of CHMI will be determined in accordance with the applicable terms and provisions of such plans, policies, and practices as in effect on such participant’s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CHMI Executive Severance Plan, the severance payment is subject to the participant’s timely execution and non-revocation of a waiver and release of claims in favor of the Company and its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affiliates. The release must become irrevocable no later than 60 days following the date of the participant's separation from service; if the release does not become effective within such period, the participant's right to severance benefits is forfeited in its entirety. In the event that the 60-day release consideration period spans two calendar years, no severance payment will be made prior to the first day of the second calendar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also subjects participants to non-competition covenants that apply during the term of employment and, following a qualifying termination or any other termination for which the Company elects to provide salary continuation equal to one year of base salary, during the applicable “Restricted Period” which begins on the separation date and continues through the first anniversary of the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compensation and benefits payable to a participant in the CHMI Executive Severance Plan or otherwise from CHMI would be subject to an excise tax under Section 4999 of the Code, such amounts will either be paid in full or reduced to the level that would avoid application of the excise tax (such reduction, if applicable, the “280G Cutback”), whichever would place the participant in a better after-tax position. CHMI does not provide excise tax gross-up payments to its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estimates of the amounts that would be payable to each of CHMI’s named executive officers pursuant to the CHMI Executive Severance Plan upon a qualifying termination of employment that occurs immediately following the Company Merger Effective Time, see the section entitled “Quantification of Potential Payments and Benefits to CHMI’s Named Executive Officers in Connection with the Mergers” below. The estimated amount that would be payable to Apeksha Patel, CHMI’s Chief Financial Officer and Treasurer, who is CHMI’s one executive officer who is not a named executive officer, upon a qualifying termination of employment that occurs immediately following the Company Merger Effective Time (assuming the Company Merger Effective Time had occurred on August 31, 2026) is $1,793,289, which is inclusive of amounts due under the CHMI Executive Severance Plan; the 2026 accrued bonus, as described in the “Cash Bonuses Payable to CHMI’s Executive Officers” section below; and acceleration of Ms. Patel’s outstanding equity awards, as described in the “Treatment of CHMI Equity Awards” section above. The quantifications set forth in this paragraph are based upon compensation levels and COBRA premiums in effect as of the date of this joint proxy statement/prospectus.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Bonuses Payable to CHMI’s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2026, the CHMI Board, based upon the recommendation of its Compensation Committee, approved and adopted CHMI’s 2026 Executive Compensation Plan, which we refer to as the “2026 Executive Compensation Plan,” for CHMI’s participating executive officers, effective as of January 1, 2026. The participating CHMI executive officers are Mr. Lown, Mr. Evans and Ms. Patel. Ms. Healey, who is a named executive officer, does not participate in the 2026 Executive Compensation Plan. Under the terms of Ms. Healey’s employment with CHMI, she is eligible to receive a target cash bonus of $250,000 in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2026 Executive Compensation Plan has three components: base salary, an annual cash bonus opportunity under the short-term incentive program, which we refer to as the “STIP,” and a long-term equity incentive program. The STIP component is payable in connection with the Mergers and the long-term equity incentive component will be treated in the Mergers as described above in the “Treatment of CHMI Equity Awards” section.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STIP, Messrs. Lown and Evans and Ms. Patel are eligible to receive annual cash bonuses with 70% of the bonus amount based on the achievement of CHMI’s financial performance metrics and 30% of the bonus amount based on individual performance goals. Awards under the STIP are expressed as a percentage of each participating executive officer’s base salary and are determined based on a combination of CHMI financial metrics and individual performance objectives, with performance evaluated against defined threshold, target and maximum levels. Based on target performance, the cash bonuses payable to each participating CHMI executive officer under the STIP are as follows: Mr. Lown – $360,000; Mr. Evans – $275,000; and Ms. Patel – $200,000.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awards made to Messrs. Lown and Evans and Ms. Patel under the STIP component of the 2026 Executive Plan, CHMI accrues the compensation expense over the service period based on the estimated level of achievement of the performance conditions. Such estimates are reassessed at each reporting date, and adjustments are recorded as necessary. A portion of the STIP award includes market conditions, the fair value of which is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determined using a Monte Carlo simulation model. The model incorporates assumptions for expected volatility, dividend yield, risk-free interest rates, and the correlation of CHMI’s performance relative to the peer group. Fair value is remeasured at each quarterly reporting period and adjustments to compensation expense are recorded as necessary.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foregoing, CHMI has accrued through August 31, 2026, which is the assumed Closing Date for purposes of the disclosure in this section, compensation expense equal to the following amounts under the STIP for each of the executive officers: $223,200 for Mr. Lown, $170,500 for Mr. Evans and $124,000 for Ms. Patel. In addition, CHMI has accrued through August 31, 2026 compensation expense of $166,667 relating to Ms. Healey’s $250,000 target cash bonus for 2026 (pro rated based on the number of days elapsed in 2026 through August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Merger Agreement, at or immediately prior to Closing, CHMI may accelerate and pay pro rata annual bonuses to CHMI’s executive officers for the fiscal year ending December 31, 2026 up to an amount in the aggregate not to exceed the amount accrued by CHMI (assuming target level performance for the awards made to Messrs. Lown and Evans and Ms. Patel under the STIP component of the 2026 Executive Plan and based on a pro-rated portion of 2026 for the potential cash bonus payable to Ms. Healey) for such annual bonuses as of the Closing. If the Closing does not occur by March 31, 2027, CHMI may continue to award and pay pro rata annual bonuses to CHMI’s executive officers for the fiscal year ending December 31, 2027 in the ordinary course of business consistent with past practice and in an annualized aggregate amount not exceeding $1,026,550 (with $334,800 for Mr. Lown, $255,750 for Mr. Evans, $186,000 for Ms. Patel and $250,000 for Ms. Healey). If the Company Merger Effective Time had occurred on August 31, 2026, the estimated aggregate amount of the cash bonuses that would be payable to CHMI’s executive officers, based on the amounts accrued by CHMI through August 31, 2026, is $684,367.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Board Service Following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and subject to the requirements set forth in the Merger Agreement, CHMI will designate two individuals currently serving on the CHMI Board to serve as members of the MITT Board following the consummation of the Mergers, and the CHMI designees to the MITT Board will be entitled to compensation pursuant to MITT’s non-employee director compensation policies.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Quantification of Potential Payments and Benefits to CHMI’s Named Executive Officers in Connection with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Item 402(t) of Regulation S-K, the table below sets forth for each of CHMI’s named executive officers estimates of the amounts of compensation that are based on or otherwise relate to the Mergers and that will or may be paid or become payable to the named executive officer either immediately at the Closing (i.e., on a “single-trigger” basis) or in the event of a qualifying termination event following the Mergers (i.e., on a “double-trigger” basis). CHMI common stockholders are being asked to approve, on a non-binding, advisory basis, such compensation for these named executive officers. Because the vote to approve such compensation is advisory only, it will not be binding on CHMI, the CHMI Board, MITT or the MITT Board. Accordingly, if the CHMI Merger Proposal is approved by CHMI common stockholders and the Mergers are completed, such compensation will be payable regardless of the outcome of the vote to approve, on an advisory basis, the CHMI Compensation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set forth below have been calculated assuming (i) the Mergers are consummated on August 31, 2026, a date during the period in which the Mergers are expected to be consummated and, (ii) where applicable, assuming each named executive officer experiences a qualifying termination of employment as of the same date, immediately following the completion of the Mergers and (iii) no payments, accelerated vesting or other benefits expected to be paid to, or received by, the named executive officers are subject to the 280G Cutback. The amounts indicated below are estimates of amounts that would be payable to the named executive officers, and the estimates are based on multiple assumptions that may or may not actually occur, including assumptions described herein.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Golden Parachute Compensation</w:t>
      </w:r>
    </w:p>
    <w:tbl>
      <w:tblPr>
        <w:tblW w:w="10205" w:type="dxa"/>
        <w:jc w:val="left"/>
        <w:tblInd w:w="0" w:type="dxa"/>
        <w:tblLayout w:type="fixed"/>
        <w:tblCellMar>
          <w:top w:w="28" w:type="dxa"/>
          <w:left w:w="28" w:type="dxa"/>
          <w:bottom w:w="28" w:type="dxa"/>
          <w:right w:w="28" w:type="dxa"/>
        </w:tblCellMar>
      </w:tblPr>
      <w:tblGrid>
        <w:gridCol w:w="1541"/>
        <w:gridCol w:w="1346"/>
        <w:gridCol w:w="1359"/>
        <w:gridCol w:w="319"/>
        <w:gridCol w:w="319"/>
        <w:gridCol w:w="317"/>
        <w:gridCol w:w="369"/>
        <w:gridCol w:w="364"/>
        <w:gridCol w:w="351"/>
        <w:gridCol w:w="650"/>
        <w:gridCol w:w="650"/>
        <w:gridCol w:w="652"/>
        <w:gridCol w:w="334"/>
        <w:gridCol w:w="325"/>
        <w:gridCol w:w="326"/>
        <w:gridCol w:w="285"/>
        <w:gridCol w:w="285"/>
        <w:gridCol w:w="413"/>
      </w:tblGrid>
      <w:tr>
        <w:trPr/>
        <w:tc>
          <w:tcPr>
            <w:tcW w:w="15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Cash ($)</w:t>
            </w:r>
            <w:r>
              <w:rPr>
                <w:rFonts w:ascii="Times New Roman;serif" w:hAnsi="Times New Roman;serif"/>
                <w:b/>
                <w:color w:val="000000"/>
                <w:sz w:val="13"/>
              </w:rPr>
              <w:t>(1)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Equity ($)</w:t>
            </w:r>
            <w:r>
              <w:rPr>
                <w:rFonts w:ascii="Times New Roman;serif" w:hAnsi="Times New Roman;serif"/>
                <w:b/>
                <w:color w:val="000000"/>
                <w:sz w:val="13"/>
              </w:rPr>
              <w:t>(2)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Perquisites/ Benefits ($)</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Other ($)</w:t>
            </w:r>
            <w:r>
              <w:rPr>
                <w:rFonts w:ascii="Times New Roman;serif" w:hAnsi="Times New Roman;serif"/>
                <w:b/>
                <w:color w:val="000000"/>
                <w:sz w:val="13"/>
              </w:rPr>
              <w:t>(3)</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Total ($)</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3,412,986</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1,508,889</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4,956,759</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D. Evans, </w:t>
            </w:r>
            <w:r>
              <w:rPr>
                <w:rFonts w:ascii="Times New Roman;serif" w:hAnsi="Times New Roman;serif"/>
                <w:b w:val="false"/>
                <w:i/>
                <w:color w:val="000000"/>
                <w:sz w:val="20"/>
              </w:rPr>
              <w:t>Chief Investment Officer</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1,419,921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929,282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21,318</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2,370,521</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1,331,453</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4,883</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1,406,746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column reflects the cash severance amounts that each named executive officer is eligible to receive pursuant to the CHMI Executive Severance Plan in connection with a qualifying termination of employment (i.e., a termination without “cause” or resignation for “good reason,” each as defined in the CHMI Executive Severance Plan). Upon a qualifying termination, the named executive officer would receive a lump sum payment of: (a) in the case of Mr. Lown, 2.5 times the sum of (x) $900,000, his annual base salary for 2026, and (y) $360,000, the target amount of his annual cash bonus for 2026; (b) in the case of Mr. Evans, 1.5 times the sum of (x) $550,000, his annual base salary for 2026, and (y) $275,000, the target amount of his annual cash bonus for 2026; and (c) in the case of Ms. Healey, 1.5 times the sum of (x) $500,000, her annual base salary for 2026, and (y) $250,000, the amount of her annual cash bonus for 2026. Under the CHMI Executive Severance Plan, each named executive officer is also entitled to a Healthcare Continuation Amount (as defined under the plan), in the following amounts: (a) $39,786 for Mr. Lown, (b) $11,921 for Mr. Evans and (c) $39,786 for Ms. Healey. The cash severance amounts reflected in this column are “double-trigger” payments that would be payable only upon a qualifying termination of the named executive officer's employment following the Company Merger Effective Time. In addition, this column includes the amount of the pro rata portion of the cash bonus that will become payable to Mr. Lown, Mr. Evans, and Ms. Healey assuming the Mergers are consummated on August 31, 2026, in an amount equal to $223,200, $170,500, and $166,667, respectively. See “—Cash Bonuses Payable to CHMI Executive Officers” above for more information regarding the cash bonuses payable to the CHMI named executive officers at Closing. The pro rata cash bonuses included in this column are “single-trigger” payments that will be paid at or immediately prior to the Closing, without regard to whether the named executive officer's employment is terminated.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estimated amounts shown in this column represent the aggregate value of the named executive officers’ unvested CHMI Equity Awards, the vesting of which will accelerate in connection with the Mergers. See “—Treatment of CHMI Equity Awards” above for more information. The amounts reflected in this column are “single-trigger” benefits that will vest solely upon the completion of the Mergers pursuant to the terms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estimated amounts shown in this column represent the amount of dividend equivalent payments to be paid to each named executive officer in connection with the accelerated vesting of the unvested CHMI Equity Awards, in an amount equal to $34,884 for Mr. Lown, $21,318 for Mr. Evans, and $4,883 for Ms. Healey, respectively. The amounts reflected in this column are “single-trigger” payments that will be paid at or immediately prior to the Closing, without regard to whether the named executive officer's employment is terminated.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2" w:name="i825ea9de670b452381fac7ed6dedf302"/>
      <w:bookmarkEnd w:id="92"/>
      <w:r>
        <w:rPr>
          <w:rFonts w:ascii="Times New Roman;serif" w:hAnsi="Times New Roman;serif"/>
          <w:b/>
          <w:color w:val="000000"/>
          <w:sz w:val="20"/>
        </w:rPr>
        <w:t xml:space="preserve">Voting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(A) if the CHMI Board has made a CHMI change of recommendation in compliance with the Merger Agreement, then the Voting Party will not be required to vote its shares of CHMI Common Stock in favor of the matters described in clauses (a) or (b) above and (B) the Voting Party will retain at all times the right to vote its shares of CHMI Common Stock in the Voting Party’s sole discretion. The Voting Agreement terminates on the earliest to occur of (a) the Company Merger Effective Time and (b)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3" w:name="if3247b0545134f16a0cf03ea7fad8cce"/>
      <w:bookmarkEnd w:id="93"/>
      <w:r>
        <w:rPr>
          <w:rFonts w:ascii="Times New Roman;serif" w:hAnsi="Times New Roman;serif"/>
          <w:b/>
          <w:color w:val="000000"/>
          <w:sz w:val="20"/>
        </w:rPr>
        <w:t>MITT Management Agreement Amendment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 A copy of the MITT Management Agreement Amendment is attached as Annex B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MITT Management Agreement Amendment. This summary is not complete and is qualified in its entirety by the MITT Management Agreement Amendment, which is attached to this joint proxy statement/prospectus as Annex B and which constitutes part of this joint proxy statement/prospectus. We encourage you to read carefully the MITT Management Agreement Amendment in its entirety because this summary may not contain all of the information about the MITT Management Agreement Amendment that is important to you. The rights and obligations of the parties to the MITT Management Agreement Amendment are governed by the express terms of the MITT Management Agreement Amendment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4" w:name="i6747abd4b5e6476885be93a2464aadbd"/>
      <w:bookmarkEnd w:id="94"/>
      <w:r>
        <w:rPr>
          <w:rFonts w:ascii="Times New Roman;serif" w:hAnsi="Times New Roman;serif"/>
          <w:b/>
          <w:color w:val="000000"/>
          <w:sz w:val="20"/>
        </w:rPr>
        <w:t xml:space="preserve">Required Regulatory Approvals for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of CHMI, CHOP, MITT, Merger Sub and MITT Manager to complete the Closing and effect the Mergers are subject to having obtained the Required Regulatory Approvals. The Required Regulatory Approvals refer to (i) the approval of the change in control of Aurora, CHMI’s licensed mortgage servicing subsidiary, as a result of the consummation of the Mergers by (A) Fannie Mae and Freddie Mac and (B) certain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5" w:name="i91b1ca1b1ab442df96c4c6d0d442d13c"/>
      <w:bookmarkEnd w:id="95"/>
      <w:r>
        <w:rPr>
          <w:rFonts w:ascii="Times New Roman;serif" w:hAnsi="Times New Roman;serif"/>
          <w:b/>
          <w:color w:val="000000"/>
          <w:sz w:val="20"/>
        </w:rPr>
        <w:t xml:space="preserve">Accounting Treatment </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w:t>
      </w:r>
      <w:r>
        <w:rPr>
          <w:color w:val="000000"/>
        </w:rPr>
        <w:t xml:space="preserve"> </w:t>
      </w:r>
      <w:r>
        <w:rPr>
          <w:rFonts w:ascii="Times New Roman;serif" w:hAnsi="Times New Roman;serif"/>
          <w:b w:val="false"/>
          <w:color w:val="000000"/>
          <w:sz w:val="20"/>
        </w:rPr>
        <w:t>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w:t>
      </w:r>
      <w:r>
        <w:rPr>
          <w:color w:val="000000"/>
        </w:rPr>
        <w:t xml:space="preserve"> </w:t>
      </w:r>
      <w:r>
        <w:rPr>
          <w:rFonts w:ascii="Times New Roman;serif" w:hAnsi="Times New Roman;serif"/>
          <w:b w:val="false"/>
          <w:color w:val="000000"/>
          <w:sz w:val="20"/>
        </w:rPr>
        <w:t>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w:t>
      </w:r>
      <w:r>
        <w:rPr>
          <w:color w:val="000000"/>
        </w:rPr>
        <w:t xml:space="preserve"> </w:t>
      </w:r>
      <w:r>
        <w:rPr>
          <w:rFonts w:ascii="Times New Roman;serif" w:hAnsi="Times New Roman;serif"/>
          <w:b w:val="false"/>
          <w:color w:val="000000"/>
          <w:sz w:val="20"/>
        </w:rPr>
        <w:t>The consolidated financial statements of the Combined Company issued after the Company Merger will reflect these fair values and the combined results of operations subsequent to the Closing Date.</w:t>
      </w:r>
      <w:r>
        <w:rPr>
          <w:color w:val="000000"/>
        </w:rPr>
        <w:t xml:space="preserve"> </w:t>
      </w:r>
      <w:r>
        <w:rPr>
          <w:rFonts w:ascii="Times New Roman;serif" w:hAnsi="Times New Roman;serif"/>
          <w:b w:val="false"/>
          <w:color w:val="000000"/>
          <w:sz w:val="20"/>
        </w:rPr>
        <w:t xml:space="preserve">Because MITT will be the accounting acquirer, its historical financial statements will become the historical financial statements of the Combined Company upon consummation of the Company Merger.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96" w:name="i50201909c9ba455fb605645316b2c01c"/>
      <w:bookmarkEnd w:id="96"/>
      <w:r>
        <w:rPr>
          <w:rFonts w:ascii="Times New Roman;serif" w:hAnsi="Times New Roman;serif"/>
          <w:b/>
          <w:color w:val="000000"/>
          <w:sz w:val="20"/>
        </w:rPr>
        <w:t>No Appraisal Rights or Dissenters’ Rights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MGCL and the CHMI Charter, holders of CHMI Common Stock and CHMI Preferred Stock will not be entitled to appraisal rights, rights of objecting stockholders or dissenter’s rights in connection with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7" w:name="id3b6f5cfd6444546b387bb9f02c243cc"/>
      <w:bookmarkEnd w:id="97"/>
      <w:r>
        <w:rPr>
          <w:rFonts w:ascii="Times New Roman;serif" w:hAnsi="Times New Roman;serif"/>
          <w:b/>
          <w:color w:val="000000"/>
          <w:sz w:val="20"/>
        </w:rPr>
        <w:t>Exchange of Shares of Stock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and CHMI Preferred Stock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or Merger Sub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stockholders and beneficial owners of CHMI Common Stock need not take any action with respect to their book-entry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8" w:name="i6e0f8b69193f450ab6365a0b3caea659"/>
      <w:bookmarkEnd w:id="98"/>
      <w:r>
        <w:rPr>
          <w:rFonts w:ascii="Times New Roman;serif" w:hAnsi="Times New Roman;serif"/>
          <w:b/>
          <w:color w:val="000000"/>
          <w:sz w:val="20"/>
        </w:rPr>
        <w:t xml:space="preserve">Dividends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pays regular quarterly dividend distributions to its stockholders. All dividend distributions are authorized by the MITT Board, in its sole discretion, and depend on such items as MITT’s REIT taxable earnings,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condition, maintenance of its REIT status and other factors that the MITT Board may deem relevant from time to time. Holders of MITT Common Stock share proportionally on a per share basis in all declared dividends on MITT Common Stock. MITT currently intends to pay quarterly dividends to its stockholders in an amount that will allow MITT to satisfy the REIT requirements and generally not be subject to U.S. federal income tax on its undistributed income. CHMI currently pays a regular quarterly dividend to the holders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Company Merger Effective Time, CHMI may declare a dividend to its stockholders, the payment date for which shall be the close of business on the last business day prior to the Closing Date or such other date as MITT and CHMI may agree, subject to funds being legally available therefor. The record date for any such dividend will be three business days before the payment date. Any per share dividend amount payable by CHMI with respect to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“CHMI Additional Dividend Amount,” if any, necessary so that the aggregate dividend payable is equal to the Minimum Distribution Dividend. CHMI and MITT will cooperate in good faith to determine whether it is necessary to authorize and declare a CHMI Additional Dividend Amount and the amount (if any) of the CHMI Additional Dividend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may declare a dividend to its stockholders, the payment date for which shall be the close of business on the last business day prior to the Closing Date (but in MITT’s discretion may be after the Closing Date to MITT’s stockholders of record determined in accordance with the Merger Agreement), subject to funds being legally available therefor. The record date for any such dividend will be three (3) business days before the payment date. Any per share dividend amount payable by MITT with respect to the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the “MITT Additional Dividend Amount,” if any, necessary so that the aggregate dividend payable is equal to the Minimum Distribution Dividend.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Merger Agreement permits MITT to continue to pay regular quarterly dividends with respect to the MITT Common Stock at a rate not to exceed $0.24 per share per quarter, regular quarterly dividends payable with respect to any MITT Preferred Stock consistent with past practice and as required by the terms of such preferred stock, dividends or other distributions to MITT by any direct or indirect wholly-owned subsidiary of MITT, and, without duplication, any dividends or other distributions necessary for MITT and its subsidiaries (as applicable) to maintain their status as REITs under the Code and to avoid the imposition of corporate level income or excise tax and any dividend to the extent declared and paid in accordance the terms of the Merger Agreement, or as required under the organizational documents of MITT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also permits CHMI to continue to pay regular quarterly dividends with respect to CHMI Common Stock at a rate not to exceed $0.10 per share per quarter, regular quarterly dividends payable in respect of (x) the CHMI Preferred Stock as required by their terms and consistent with past practice and (y) the issued and outstanding preferred stock of the CHMI Sub-REIT as required by their terms and consistent with past practice, dividends or other distributions to CHMI by any directly or indirectly wholly owned subsidiary of CHMI, and, without duplication, any dividends or other distributions necessary for CHMI and its subsidiaries (as applicable) to maintain their status as REITs under the Code and avoid the imposition of corporate level income or excise tax and any dividend to the extent declared and paid in accordance the terms of the Merger Agreement, or as required under the organizational documents of CHMI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Closing, MITT expects that the Combined Company will continue MITT’s current dividend policy for stockholders, subject to the discretion and authorization of the MITT Board, which reserves the right to change the dividend policy of the Combined Company at any time and for any reason. See “Risk Factors—Risks Related to the Combined Company Following the Company Merger” on page 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9" w:name="i76b499e283e545e5a47b68a130d6354b"/>
      <w:bookmarkEnd w:id="99"/>
      <w:r>
        <w:rPr>
          <w:rFonts w:ascii="Times New Roman;serif" w:hAnsi="Times New Roman;serif"/>
          <w:b/>
          <w:color w:val="000000"/>
          <w:sz w:val="20"/>
        </w:rPr>
        <w:t>Listing of Shares of Stock and Deregistration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Mergers are completed, the CHMI Common Stock will no longer be listed on the NYSE and will be deregistered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00" w:name="i736215c399734784a922577dcdadf42b"/>
      <w:bookmarkEnd w:id="100"/>
      <w:r>
        <w:rPr>
          <w:rFonts w:ascii="Times New Roman;serif" w:hAnsi="Times New Roman;serif"/>
          <w:b/>
          <w:color w:val="000000"/>
          <w:sz w:val="20"/>
        </w:rPr>
        <w:t>THE MERGER AGREEMENT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the Merger Agreement carefully and in its entirety because it, and not the description below or elsewhere in this joint proxy statement/prospectus, is the legal document that governs the Mergers.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A copy of the Merger Agreement has been included in this joint proxy statement/prospectus to provide you with information regarding the terms of the Mergers. It is not intended to provide you with any other factual or financial information about CHMI or MITT or any of their respective affiliates or businesses. Information about CHMI and MITT can be found elsewhere in this joint proxy statement/prospectus and in the other filings each of CHMI and MITT has made with the SEC, which are available without charge at www.sec.gov. See “Where You Can Find More Information and Incorporation by Reference” beginning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1" w:name="i04152553a9ab401da848419740b310c6"/>
      <w:bookmarkEnd w:id="101"/>
      <w:r>
        <w:rPr>
          <w:rFonts w:ascii="Times New Roman;serif" w:hAnsi="Times New Roman;serif"/>
          <w:b/>
          <w:color w:val="000000"/>
          <w:sz w:val="20"/>
        </w:rPr>
        <w:t xml:space="preserve">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provides for two sequential mergers: (1) a merger of CHOP with and into CHMI, which we refer to as the “Partnership Merger,” with CHMI continuing as the surviving corporation, and (2) immediately following the Partnership Merger, a merger of CHMI with and into Merger Sub, a wholly owned Delaware limited liability company subsidiary of MITT, which we refer to as the “Company Merger,” and, together with the Partnership Merger, the “Mergers.” At the Partnership Merger Effective Time, the separate existence of the CHOP will cease and CHMI will continue as the surviving corporation. At the Company Merger Effective Time, the separate corporate existence of CHMI will cease and Merger Sub will continue as the surviving entity, which we refer to as the “Surviving Entity” and as a wholly owned subsidiary of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2" w:name="ia7f342484b11456789769d8c2739c36d"/>
      <w:bookmarkEnd w:id="102"/>
      <w:r>
        <w:rPr>
          <w:rFonts w:ascii="Times New Roman;serif" w:hAnsi="Times New Roman;serif"/>
          <w:b/>
          <w:color w:val="000000"/>
          <w:sz w:val="20"/>
        </w:rPr>
        <w:t xml:space="preserve">Closing; Effective Time of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will take place on a date that is two business days after satisfaction or (to the extent permitted by applicable law) waiver of the closing conditions in the Merger Agreement, which are described under “—Conditions to Complete the Mergers” beginning on page 146 (other than those conditions that by their terms are to be satisfied at the Closing, but subject to the satisfaction or waiver of those conditions at such time) by means of a virtual closing through the exchange of electronic documents and signatures and the electronic transfer of funds.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Partnership Merger will become effective at the time the certificate of merger for the Partnership Merger is filed with the Secretary of State of the State of Delaware and the articles of merger for the Partnership Merger are accepted for record by the State Department of Assessments and Taxation of Maryland, which we refer to as the “Maryland Department,” or at such later date and time as the parties may jointly agree to in writing and designate in such certificate of merger and articles of merger, which we refer to as the Partnership Merger Effective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become effective at the time the certificate of merger for the Company Merger is filed with the Secretary of State of the State of Delaware and the articles of merger for the Company Merger are accepted for record by the Maryland Department, or at such later date and time as the parties may jointly agree to in writing and designate in such certificate of merger and articles of merger, which we refer to as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3" w:name="i35102cf452d443ae92e62c55654503ac"/>
      <w:bookmarkEnd w:id="103"/>
      <w:r>
        <w:rPr>
          <w:rFonts w:ascii="Times New Roman;serif" w:hAnsi="Times New Roman;serif"/>
          <w:b/>
          <w:color w:val="000000"/>
          <w:sz w:val="20"/>
        </w:rPr>
        <w:t xml:space="preserve">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Partnership Merger Effective Time, the charter and bylaws of CHMI will continue to be the charter and bylaws of the surviving corporation of the Partnership Merger.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Company Merger Effective Time, the certificate of formation and limited liability company agreement of Merger Sub will be the organizational documents of the Surviving Entity.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supplement, effective no later than the Company Merger Effective Time, its charter to include the MITT Series D Articles Supplementary and the MITT Series E Articles Supplementary.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4" w:name="i7d5e43528b054d3ca8629d16adf429e5"/>
      <w:bookmarkEnd w:id="104"/>
      <w:r>
        <w:rPr>
          <w:rFonts w:ascii="Times New Roman;serif" w:hAnsi="Times New Roman;serif"/>
          <w:b/>
          <w:color w:val="000000"/>
          <w:sz w:val="20"/>
        </w:rPr>
        <w:t>Consideration for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shares of MITT Common Stock, and (B) the Per Share MITT Cash Consideration of $0.41 per share in cash, without interest, which, together with the Per Share Stock Consideration, we refer to as the “Per Share MITT Consideration,” and (2) from MITT Manager (acting solely on its own behalf), as additional consideration, the Per Share Additional Manager Consideration of $0.52 per share in cash, without interest, which, together with clause (1), we refer to as the “Common Stock Merger Consideration.” No dissenters’ or appraisal rights are available with respect to the Mergers. Cash will be paid in lieu of any fractional shares of MITT Common Stock that would have been received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immediately prior to the Company Merger Effective Time: (i) each CHMI RSU Award will automatically vest and settle in shares of CHMI Common Stock; (ii) each CHMI PSU Award will automatically vest assuming maximum performance for the applicable performance goals and settle in shares of CHMI Common Stock; and (iii) each CHMI Restricted Stock Award will fully vest and all restrictions thereupon will lapse. In each case, the settled shares of CHMI Common Stock will receive the Common Stock Merger Consideration. In addition, all outstanding CHMI LTIP Units will be converted into CHMI Common Stock immediately prior to the Partnership Merger Effective Time, and such shares will also receive the Common Stock Merger Consideration; </w:t>
      </w:r>
    </w:p>
    <w:p>
      <w:pPr>
        <w:pStyle w:val="TextBody"/>
        <w:bidi w:val="0"/>
        <w:spacing w:lineRule="auto" w:line="288" w:before="0" w:after="180"/>
        <w:ind w:left="0" w:right="0" w:hanging="360"/>
        <w:jc w:val="both"/>
        <w:rPr/>
      </w:pPr>
      <w:r>
        <w:rPr>
          <w:color w:val="000000"/>
        </w:rPr>
        <w:t xml:space="preserve">• </w:t>
      </w:r>
      <w:r>
        <w:rPr>
          <w:rFonts w:ascii="Times New Roman;serif" w:hAnsi="Times New Roman;serif"/>
          <w:b w:val="false"/>
          <w:color w:val="000000"/>
          <w:sz w:val="20"/>
        </w:rPr>
        <w:t>each share of CHMI 8.20% Series A Cumulative Redeemable Preferred Stock, which we refer to as “CHMI Series A Preferred Stock,” issued and outstanding immediately prior to the Company Merger Effective Time (excluding any Canceled Shares) will be converted into the right to receive one newly issued share of MITT 8.20% Series D Cumulative Redeemable Preferred Stock, which we refer to as “MITT Series D Preferred Stock;” and each share of CHMI 8.250% Series B Fixed-to-Floating Rate Cumulative Redeemable Preferred Stock, which we refer to as “CHMI Series B Preferred Stock,” issued and outstanding immediately prior to the Company Merger Effective Time (excluding any Canceled Shares) will be converted into the right to receive one newly issued share of MITT Series E Floating Rate Cumulative Redeemable Preferred Stock, which we refer to as “MITT Series E Preferred Stock,” in each case with the applicable MITT preferred stock having rights, preferences, privileges and voting powers substantially the same as those of the corresponding CHMI preferred stock immediately prior to the Mergers. The terms of the newly issued shares of MITT Series D Preferred Stock and MITT Series E Preferred Stock will be set forth in the MITT Series D Articles Supplementary and the MITT Series E Articles Supplementary, respectively, the forms of which are included as Annexes A and B, respectively, to the Merger Agreement, which is attached to this joint proxy statement/prospectus as Annex A;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Partnership Merger Effective Time, each CHOP Common Unit (as defined in CHOP’s limited partnership agreement)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Merger Sub, or any direct or indirect subsidiary of MITT or CHMI will receive any merger consideration for any share of CHMI Common Stock owned by them.</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certificates or scrip or shares representing fractional shares of MITT Common Stock will be issued with respect to the Company Merger, and such fractional share interests will not entitle the owner thereof to vote or to any other rights as a holder of such interests. Each holder of CHMI Common Stock who would otherwise have been entitled to receive a fraction of a share of MITT Common Stock will be entitled to receive, in lieu thereof, cash, without interest, in an amount equal to such fractional part of a share of MITT Common Stock multiplied by the average of the daily volume weighted average price (rounded to four decimal places) of one share of MITT Common Stock for the ten consecutive trading days ending on the second full trading day prior to the Company Merger Effective Time, which we refer to as the “Closing Volume-Weighted Average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5" w:name="i30d6fb61a1884b44b704649f7ea8a119"/>
      <w:bookmarkEnd w:id="105"/>
      <w:r>
        <w:rPr>
          <w:rFonts w:ascii="Times New Roman;serif" w:hAnsi="Times New Roman;serif"/>
          <w:b/>
          <w:color w:val="000000"/>
          <w:sz w:val="20"/>
        </w:rPr>
        <w:t xml:space="preserve">Tax Withholding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of the Merger Consideration under the Merger Agreement are subject to applicable withholding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6" w:name="i8345a662839144528a137223f9c528d1"/>
      <w:bookmarkEnd w:id="106"/>
      <w:r>
        <w:rPr>
          <w:rFonts w:ascii="Times New Roman;serif" w:hAnsi="Times New Roman;serif"/>
          <w:b/>
          <w:color w:val="000000"/>
          <w:sz w:val="20"/>
        </w:rPr>
        <w:t xml:space="preserve">Exchange Procedures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for the Common Stock Merger Consideration, CHMI Series A Preferred Stock for MITT Series D Preferred Stock and CHMI Series B Preferred Stock for MITT Series E Preferred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provided, that, to the extent after the Closing Date MITT Manager does not provide an aggregate amount sufficient to pay the Per Share Additional Manager Consideration to holders of CHMI Common Stock, MITT will deposit or cause to be deposited with the exchange agent cash an amount equal to the aggregate amount sufficient to pay the Per Share Additional Manager Consideration less the amount already paid by MITT Manager, if any.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soon as practicable after the Company Merger Effective Time, but in no event more than two business days thereafter, the Surviving Entity shall, and MITT shall cause the Surviving Entity to, cause the exchange agent to mail to each holder of record of book-entry shares whose shares of CHMI Common Stock and CHMI Preferred Stock were converted into the right to receive the consideration payable pursuant to the Merger Agreement instructions for use in effecting the surrender of such book-entry shares in exchange for the Merger Consideration. If any shares of CHMI Common Stock or CHMI Preferred Stock are represented by certificates, the exchange agent will, within three business days after the Company Merger Effective Time, send the holders a letter of transmittal and instructions for surrendering those certificates in exchange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(i) the applicable stock portion of the Merger Consideration (the Per Share Stock Consideration for holders of CHMI Common Stock and the applicable MITT Series D Preferred Stock or MITT Series E Preferred Stock for holders of CHMI Series A Preferred Stock or CHMI Series B Preferred Stock, respectively); and (ii) a check in the amount equal to any cash portion of the Merger Consideration to which such holder is entitled (including, for holders of CHMI Common Stock, the Per Share MITT Cash Consideration plus the Per Share Additional Manager Consideration), plus any cash in lieu of fractional shares and any dividends and other distributions in respect of the MITT Common Stock or MITT Preferred Stock to be issued or paid (after giving effect to any required tax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withholdings). The book-entry shares so surrendered shall forthwith be canceled. No interest will be paid or accrued on the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stockholders need not take any action with respect to their share certificates or book-entry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7" w:name="i3a201e3e9b9447da939694aa5dbab144"/>
      <w:bookmarkEnd w:id="107"/>
      <w:r>
        <w:rPr>
          <w:rFonts w:ascii="Times New Roman;serif" w:hAnsi="Times New Roman;serif"/>
          <w:b/>
          <w:color w:val="000000"/>
          <w:sz w:val="20"/>
        </w:rPr>
        <w:t>Representations and Warranties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to by the parties in connection with negotiating the terms of the Merger Agreement, including being qualified by disclosures not reflected in the Merger Agreement. Accordingly, neither CHMI stockholders nor MITT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CHMI and MITT. This description of the representations and warranties is included to provide CHMI stockholders and MITT stockholders with information regarding the terms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MITT, Merger Sub and MITT Manager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MITT, Merger Sub and MITT Manager to own, lease and, to the extent applicable,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and capitalization of MITT, including the equity interests of Merger Sub;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of funds sufficient for MITT and MITT Manager to pay the Per Share MITT Cash Consideration and Per Share Additional Manager Consideration,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or limited liability company power and authority to enter into the Merger Agreement and to perform MITT’s, Merger Sub’s and MITT Manager’s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MITT, Merger Sub and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MITT Board of the issuance of MITT Common Stock pursuant to the Merger Agreement and its recommendation to MITT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MITT’s, Merger Sub’s or MITT Manager’s organizational documents and any applicable laws, or violations, defaults or acceleration of any material obligation or loss of material benefit under certain contracts applicable to MITT, Merger Sub or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SEC filings since December 31, 2024, financial statements, internal controls, SEC correspondence and accounting or auditing practices and the statements and documents contained therein;</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MITT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MITT for inclusion or incorporation by reference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each MITT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MITT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of MITT and its subsidiaries, the enforceability of such material contracts on MITT and its subsidiaries (as applicable)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MITT Board of an opinion from its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Board’s actions to render any takeover statutes inapplicable to the Company Merger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certain matters relating to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ownership of CHMI equity, or any right to acquire such equity, by MITT, Merger Sub and their respective subsidiaries or affiliates;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ownership and prior activities of Merger Sub;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Merger Sub’s investigation of CHMI and the absence and disclaimer of any other representations or warranties made by MITT, Merger Sub or MITT Manager.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CHMI and CHOP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CHMI and its subsidiaries to own, lease and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capitalization and indebtedness of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power and authority to enter into the Merger Agreement and to perform CHMI’s and CHOP’s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CHMI and CHOP;</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CHMI Board of the Merger Agreement and its recommendation to CHMI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CHMI’s organizational documents and any applicable laws, or violations, defaults or acceleration of any material obligation or loss of material benefit under certain contracts applicable to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SEC filings since December 31, 2024, financial statements, internal controls, SEC correspondence and accounting or auditing practices and the statements and documents contained therein;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CHMI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CHMI for inclusion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each CHMI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CHMI or any of its subsidiaries by or before any governmental authority;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property leased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and related party transactions of CHMI and its subsidiaries, the enforceability of such material contracts against CHMI and any CHMI subsidiary party to such contract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policy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CHMI Board of an opinion from CHMI’s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Board’s actions to render any applicable takeover statutes inapplicable to the Mergers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matters relating to the Investment Company Act;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and disclaimer of any other representations or warranties made by CHMI and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representations and warranties of all the parties to the Merger Agreement will expire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08" w:name="i3d85ed9f3c0c4146bf655c8e7866ab37"/>
      <w:bookmarkEnd w:id="108"/>
      <w:r>
        <w:rPr>
          <w:rFonts w:ascii="Times New Roman;serif" w:hAnsi="Times New Roman;serif"/>
          <w:b/>
          <w:color w:val="000000"/>
          <w:sz w:val="20"/>
        </w:rPr>
        <w:t xml:space="preserve">Material Adverse Effect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effect that, individually or in the aggregate, is materially adverse to the business or operations of CHMI or MITT, as applicable, and their respective subsidiaries, taken as a whole; provided, however, that none of any of the following shall constitute or be taken into account in determining whether there has been, is, or would reasonably be expected to be, a material adverse effect: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proposed changes in GAAP or any law or changes in the interpretation or enforcement thereof;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developments in the industries in which CHMI or MITT, as applicable, or their respective subsidiaries operate;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negotiation, announcement or the existence of the Merger Agreement or the pendency, anticipated consummation or consummation of the Transactions, including any loss or change in relationship with any employee, officer, director, independent contractor, customer, supplier, vendor, distributor, or other business partner of CHMI or MITT, as applicable, or their respective subsidiaries or any other disruption to the business of CHMI or MITT, as applicable, or their respective subsidiaries (provided, however, that this provision shall not apply to any representation or warranty to the extent that such representation or warranty is made with respect to the consequences resulting from the execution and delivery of the Merger Agreement, or the pendency, performance or consummation of the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 in the trading price, dividends or trading volume of the shares of CHMI Common Stock or MITT Common Stock, as applicable, or any change in the credit ratings or ratings outlook for CHMI or MITT, as applicable, or their respective subsidiaries, or the availability or cost of equity, debt or other financing (in the case of a material adverse effect on CHMI, to MITT or Merger Sub, and in the case of a material adverse effect on MITT, to CHMI) (provided, however, that the underlying causes of any such change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action taken or omitted by CHMI or MITT, as applicable, or their respective subsidiaries at the written request of the other party or consented to in writing by the other party;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identity of, or facts specific to, the other party or any of its subsidiaries or any changes arising therefrom; except, with respect to the foregoing first, second, third, fourth and sixth bullets, to the extent (and for the avoidance of doubt, only to the extent) that such impact is disproportionately adverse to CHMI or MITT, as applicable, and their respective subsidiaries, taken as a whole, relative to comparable companies in the industries in which CHMI or MITT, as applicable, and their respective subsidiaries operate, in which case only the incremental disproportionate adverse impact may be taken into account in determining whether a material adverse effect has occurred, is occurring or would reasonably be expected to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9" w:name="i9f58b121c2da4e12ae613cec95943a2b"/>
      <w:bookmarkEnd w:id="109"/>
      <w:r>
        <w:rPr>
          <w:rFonts w:ascii="Times New Roman;serif" w:hAnsi="Times New Roman;serif"/>
          <w:b/>
          <w:color w:val="000000"/>
          <w:sz w:val="20"/>
        </w:rPr>
        <w:t>Conduct of Business by MITT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Merger Agreement, MITT has agreed that, except (a) as disclosed in MITT’s disclosure letter, (b) as permitted, contemplated or required by the Merger Agreement, (c) as required by or reasonably responsive to a request or requirement of a governmental authority, applicable law or the rules and regulations of the NYSE or (d) as otherwise consented to by CHMI in writing (which consent will not be unreasonably withheld, conditioned or delayed) (we refer to the exceptions in clauses (a)-(d) as the “MITT Interim Covenant Exceptions”) between the date of the Merger Agreement and the earlier to occur of the Company Merger Effective Time and the date, if any, on which the Merger Agreement is terminated, which we refer to as “Interim Period,” it will use commercially reasonable efforts to conduct its business in all material respects in the ordinary course and to preserve substantially intact its present business organization and existing relationships with its relationships with key business partners, vendors and counterparties, maintain all material permits and maintain its status as a REIT.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also agreed that, except pursuant to any MITT Interim Covenant Exceptions, during the Interim Period, MITT will not, and will not permit any MITT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declare, set aside or pay any dividends on or make any other distribution (whether in cash, stock, property or otherwise) in respect of any outstanding shares of capital stock of, or other equity interests in, MITT or any MITT subsidiary, except for: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oquarterly dividends payable in respect of MITT Common Stock at a rate not to exceed $0.24 per share of MITT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oregular quarterly dividends payable in respect of MITT preferred stock consistent with past practice and required by the terms of such MITT preferred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MITT by any directly or indirectly wholly owned subsidiary of MITT;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dividends or other distributions necessary for MITT or any of its subsidiaries to maintain its status as a REIT under the Code and avoid the imposition of corporate level tax or excise tax under the Code (including the Minimum Distribution Dividend), or that is required under the organizational documents of MITT or any of its subsidiaries;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authorized, declared and paid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MITT or any MITT subsidiary (other than for transactions by a wholly owned subsidiary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purchase, redeem or otherwise acquire, or offer to purchase, redeem or otherwise acquire, any capital stock of, or other equity interests in, MITT, except as required by the organizational documents of MITT or any of its subsidiaries, in each case, existing as of the date of the Merger Agreement (or granted following the date of the Merger Agreement in accordance with the terms of the Merger Agreement);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offer, issue, deliver, grant or sell, or authorize or propose to offer, issue, deliver, grant or sell, any capital stock of, or other equity interests in, MITT or any of its subsidiaries or any securities convertible into or exchangeable for, or any rights, warrants or options to acquire, any such capital stock or equity interests, other than: (i) the issuance or delivery of MITT Common Stock upon the vesting or lapse of any restrictions on awards granted under any stock or other equity award plans of MITT and outstanding on the date hereof or issued in compliance with clause (ii); (ii) issuances of awards granted under any stock or other equity award plans of MITT to employees, officers, directors and other service providers in the ordinary course of business; and (iii) shares of MITT Common Stock, MITT Preferred Stock or capital stock or other ownership interests of any subsidiary of MITT issued as a dividend made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the organizational documents of MITT or any MITT subsidiary;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 merge, consolidate, combine or amalgamate with any entity or (ii)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MITT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sell, lease or otherwise dispose of, or agree to sell, lease or otherwise dispose of, any material portion of its assets, other than sales, leases or dispositions of assets (i) in connection with securitizations (including exercising call options), (ii) in connection with commercial loans, (iii) in connection with the purchase of a material amount of assets, (iv) in the ordinary course of business, (v) that involve a sale price consistent with the terms set forth in the Merger Agreement or (vi) that are mortgage-backed securities, “To Be Announced” agency mortgage-backed securities, mortgage servicing rights, U.S. Treasuries or other assets or securities permitted under MITT’s investment guidelines in effect on the date hereof, solely to the extent that, in each case of (i) through (vi), such matters do not violate MITT’s investment guidelines and policies and would not reasonably be expected to prevent or materially impair or delay the ability of MITT to consummate the Transactions before the Termination Date;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MITT or any of its subsidiaries, other than such transactions among MITT and any wholly owned subsidiary of MITT or between or among wholly owned subsidiaries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MITT’s material accounting principles, practices or methods that would materially affect the consolidated assets, liabilities or results of operations of MITT or any MITT subsidiary,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MITT or any of its subsidiaries, settle or compromise any material liability for taxes or any tax audit or other proceeding relating to a material amount of taxes, enter into any closing or similar agreement with any tax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MITT to fail to qualify as a REIT or any of its subsidiaries to fail to qualify as a REIT or cease to be treated as any of (i) a partnership or disregarded entity for U.S. federal income tax purposes or (ii) a qualified REIT subsidiary, a taxable REIT subsidiary or a REIT as such terms are defined in the applicable provisions of the Code, as the case may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cause MITT or any of the MITT subsidiaries to be required to be registered as an investment company under the Investment Company 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except as required by the Merger Agreement or as required by applicable law, during the Interim Period, MITT shall not, and shall not permit any of its subsidiaries to, (i) acquire or agree to acquire by merging or consolidating with, or by purchasing a material portion of the assets of or equity in, any person, which we refer to as a “Specified Acquisition,”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MITT to procure, any authorizations, consents, orders, declarations or approval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MITT to otherwise perform its covenants and agreements under the Merger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0" w:name="i8959e83cb306428b89c66f344dddad01"/>
      <w:bookmarkEnd w:id="110"/>
      <w:r>
        <w:rPr>
          <w:rFonts w:ascii="Times New Roman;serif" w:hAnsi="Times New Roman;serif"/>
          <w:b/>
          <w:color w:val="000000"/>
          <w:sz w:val="20"/>
        </w:rPr>
        <w:t>Conduct of Business by CHMI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Merger Agreement, CHMI agreed that, except (a) as disclosed in CHMI’s disclosure letter, (b) as permitted, contemplated or required by the Merger Agreement, (c) as required by or reasonably responsive to a request or requirement of a governmental authority, applicable law or the rules and regulations of the NYSE or (d) as otherwise consented to by MITT in writing (which consent will not be unreasonably withheld, conditioned or delayed) (we refer to the exceptions in clauses (a)-(d), as the “Interim Covenant Exceptions”), during the Interim Period it will use commercially reasonable efforts to conduct its business in all material respects in the ordinary course consistent with past practices and preserve substantially intact its present business organization and its existing relationships with key business partners, vendors and counterparties, maintain all material permits and maintain the status of CHMI and CHMI Sub-REIT as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agreed that, except pursuant to any Interim Covenant Exception, during the Interim Period, CHMI will not, and will not permit any CHMI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declare, set aside or pay any dividends on or make any other distribution (whether in cash, stock, property or otherwise) in respect of any outstanding shares of capital stock of, or other equity interests in, CHMI or any of its subsidiaries, except for: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oquarterly dividends payable in respect of CHMI Common Stock at a rate not to exceed $0.10 per share of CHMI Common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oregular quarterly dividends payable in respect of (x) the CHMI Preferred Stock as required by their terms and consistent with past practice and (y) the issued and outstanding preferred stock of CHMI Sub-REIT as required by their terms and consistent with past practice;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CHMI by any directly or indirectly wholly owned subsidiary of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oany dividends or other distributions necessary for CHMI or any of its subsidiaries that qualifies as a REIT to maintain its status as a REIT under the Code and avoid the imposition of corporate-level income or excise tax (including the Minimum Distribution Dividend) or required under the organizational documents of CHMI or such subsidiary; 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declared and paid in accordance with the Merger Agreement;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CHMI or any CHMI subsidiary (other than for transactions by a wholly owned subsidiary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purchase, redeem or otherwise acquire, or offer to purchase, redeem or otherwise acquire, any capital stock of, or other equity interests in,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offer, issue, deliver, grant or sell, or authorize or propose to offer, issue, deliver, grant or sell, any capital stock of, or other equity interests in, CHMI or any of its subsidiaries or any securities convertible into or exchangeable for, or any rights, warrants or options to acquire, any such capital stock or equity interests, or accelerate vesting of any awards granted under CHMI equity plans, other than: (i) the issuance or delivery of CHMI Common Stock upon the vesting or lapse of any restrictions on CHMI equity awards granted under CHMI equity plans that are outstanding on the date hereof; and (ii) shares of capital stock or other ownership interests of any subsidiary of CHMI issued as a dividend made in accordance with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CHMI’s organizational documents; or, other than amendments that are ministerial in nature, amend the organizational documents of any of CHMI’s subsidiaries (including the CHOP Agreement in respect of the CHOP);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merge, consolidate, combine or amalgamate with any person, or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(i) transactions between CHMI and a wholly owned subsidiary of CHMI or between or among wholly owned subsidiaries of CHMI; or (ii) acquisitions of assets in the ordinary course of business, including the acquisition of any mortgage-backed securities, “To Be Announced” agency mortgage-backed securities, mortgage servicing rights, U.S. Treasuries or other assets or securities permitted under CHMI’s investment guidelines in effect on the date hereof, including derivative securities and other instruments used for the purpose of hedging interest rate risk (collectively, “CHMI Portfolio Securities”), in each case, in the ordinary course of business and in accordance with CHMI’s investment guidelines in effect on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sell, lease or otherwise dispose of, or agree to sell, lease or otherwise dispose of, any material portion of its assets, other than sales, leases or dispositions of assets (i) that involve a sale price consistent with the terms set forth in the CHMI disclosure letter or (ii) that are CHMI Portfolio Securities in the ordinary course of business and in accordance with CHMI’s investment guidelines (but excluding any bulk sales of mortgage servicing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its material accounting principles, practices or methods in a manner that would materially affect the consolidated assets, liabilities or results of operations of CHMI and its subsidiaries,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CHMI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enter into, modify, amend, terminate or assign, or waive any rights under, any CHMI contract in any material respect, except (i) in the ordinary course of business consistent with past practice, (ii) as would not reasonably be expected to prevent or materially delay the consummation of the Mergers and (iii) such contract is not a vendor contract (including any renewal thereof);</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enter into any contract that would be a CHMI material contract, except in the ordinary course of business and as would not prevent or materially delay the consummation of the Transactions, or modify, amend, terminate or assign, or waive or assign any material rights under, any CHMI material contract in any material respect except in the ordinary course of business and which would not reasonably be expected to prevent or materially delay the consummation of the Transactions, and subject to certain other exceptions as specified in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(A)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CHMI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CHMI benefit plan or amend any CHMI benefit plan in existence on the date of this Agreement if such amendment would have the effect of enhancing or increasing any benefits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any loans, advances or capital contributions to, or investments in, any other person, except for (A) advances made in connection with CHMI Portfolio Securities in the ordinary course of business; (B) reverse purchase transactions involving CHMI Portfolio Securities in the ordinary course of business; (C) funding of commitments in the ordinary course of business in accordance with the terms of any agreements in effect as of the date hereof; (D) for loans among CHMI and its wholly owned subsidiaries or among CHMI’s wholly owned subsidiaries in the ordinary course of business; (E) advances for reimbursable employee or personnel expenses in the ordinary course of business consistent with past practice; (F) as required under the terms of any indemnification agreement in effect on the date hereof; or (G) as required under the organizational documents of CHMI or its applicable subsidiary as in effect as of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CHMI to fail to qualify as a REIT or any of CHMI’s subsidiaries to cease to be treated as any of (i) a partnership or disregarded tax entity for U.S. federal income tax purposes or (ii) a qualified REIT subsidiary, a taxable REIT subsidiary or a subsidiary REIT under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the settlement of any Litigation (A) reflected or reserved against on the most recent balance sheet of CHMI (or in the notes thereto) filed with the SEC prior to the date hereof and not in excess of the amount reflected or reserved for such matter or (B) in connection with any stockholder litigation against CHMI and/or its employees, officers or directors relating to this Agreement, the Mergers and/or the other Transactions in accordance with the Merger Agreement, settle, or offer or propose to settle, any Litigation against CHMI or any of its subsidiaries (excluding any audit, claim or other proceeding in respect of taxes) that would result in (1) the payment of monetary damages or other transfer of value by CHMI or any of its subsidiaries exceeding $250,000 individually or $1,000,000 in the aggregate or (2) any material restriction on CHMI or any of its subsidiaries, or any admission of wrongdoing by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foregoing shall not restrict (A) the incurrence of any indebtedness among CHMI and its wholly owned subsidiaries or among CHMI’s wholly owned subsidiaries; (B) transactions pursuant to CHMI’s master repurchase agreements or other financing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agreements to finance the purchase price of assets in the ordinary course of business or refinance CHMI’s repurchase obligations pursuant to such master repurchase agreements when due in the ordinary course of business; (C) guarantees by CHMI of indebtedness of its subsidiaries or guarantees by the subsidiaries of CHMI of indebtedness of CHMI or any other subsidiaries of CHMI, which indebtedness is incurred in compliance with the immediately preceding clause (B); (D) dollar roll financing transactions pursuant to CHMI’s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CHMI or any of its subsidiaries for the purpose of fixing or hedging interest rate and not for speculative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enter into any new line of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take any action, or fail to take any action, which action or failure would reasonably be expected to cause CHMI or any of the CHMI subsidiaries to be required to be registered as an investment company under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with CHMI subsidiaries, enter into any material transactions or contracts with any affiliates of CHMI;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1" w:name="i173bfb9c830846319c149cbd6de2fa03"/>
      <w:bookmarkEnd w:id="111"/>
      <w:r>
        <w:rPr>
          <w:rFonts w:ascii="Times New Roman;serif" w:hAnsi="Times New Roman;serif"/>
          <w:b/>
          <w:color w:val="000000"/>
          <w:sz w:val="20"/>
        </w:rPr>
        <w:t xml:space="preserve">Agreement to Use Reasonable Best Efforts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each of MITT, Merger Sub, MITT Manager, CHMI and CHOP will use its reasonable best efforts to take, or cause to be taken, all actions and to do, or cause to be done, all things necessary, proper or advisable under applicable laws to consummate and make effective in the most expeditious manner possible the Transactions and to cause the conditions to the Transactions under the Merger Agreement to be satisfied as promptly as practicable,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or filing,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satisfaction of the conditions to consummating the Transactions;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taking all actions, subject to limitations in the Merger Agreement, necessary, proper or advisable to obtain (and to cooperate with each other in obtaining) any consent, authorization, expiration or termination of a waiting period, permit, order or approval of, waiver or any exemption by, any governmental authority required to be obtained or made by MITT or Merger Sub or any of their respective subsidiaries in connection with the Transactions or the taking of any action contemplated by the Merger Agreement; provided, however, that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CHMI and its subsidiaries shall not take any of the actions referred to in the preceding proviso (or agree to take such actions) without MITT’s prior written consent.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shall, and shall cause its affiliates to, use its reasonable best efforts to assist MITT in obtaining, effective no earlier than the Closing, any amendment, agreement, consent or waiver under the documentation relating to certain CHMI loan facilities, which we refer to as “Facility Documentation,” in connection with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consummation of the Transactions, including with respect to a change in control of CHMI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2" w:name="i722d6a77400b414d96465f6fddf68960"/>
      <w:bookmarkEnd w:id="112"/>
      <w:r>
        <w:rPr>
          <w:rFonts w:ascii="Times New Roman;serif" w:hAnsi="Times New Roman;serif"/>
          <w:b/>
          <w:color w:val="000000"/>
          <w:sz w:val="20"/>
        </w:rPr>
        <w:t xml:space="preserve">No Solicitation; Change in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MITT Competing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MITT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MITT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CHMI in any material respect, the recommendation that the MITT stockholders approve the issuance of MITT Common Stock pursuant to the Merger Agreement, which we refer to as “MITT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MITT Board recommendation in this joint proxy statement/prospectus or any amendment or supplement hereto;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MITT, or resolve to or publicly propose or announce its intention to adopt, approve, endorse or recommend to the stockholders of MITT, any MITT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MITT Board recommendation within ten business days after the written request of CHMI following a MITT Competing Proposal that has been publicly announced (or such fewer number of days as remain prior to the MITT stockholder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MITT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MITT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MITT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Competing Proposal” (and the reciprocal definition for CHMI, a “CHMI Competing Proposal,” and collectively with a MITT Competing Proposal, a “Competing Proposal”) refers to any offer, proposal or indication of interest relating to any transaction or series of related transactions (other than transactions with the other party or any of its subsidiaries) involving: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acquisition or purchase by any person or “group” of persons, directly or indirectly, of more than twenty percent (20%) of any class of outstanding voting or equity securities of MITT or CHMI or any subsidiaries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thereof, as applicable, or any tender offer or exchange offer that, if consummated, would result in any person or “group” of persons beneficially owning more than twenty percent (20%) (on a non-diluted basis) of any class of outstanding voting or equity securities of MITT or CHMI, as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merger, consolidation, share exchange, business combination, joint venture, recapitalization, reorganization or other similar transaction involving MITT or CHMI, as applicable, and a person or “group” (as defined in or under Section 13(d) of the Exchange Act) of persons pursuant to which the stockholders of MITT or CHMI, as applicable, immediately preceding such transaction hold less than eighty percent (80%) of the equity interests in the surviving or resulting entity of such transaction;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sale, lease, exchange, transfer, license or other disposition to a person or “group” of persons of more than twenty percent (20%) of the consolidated assets of MITT or CHMI, as applicable, and its subsidiaries, taken as a whole (measured by the fair market value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shall promptly (and in no event later than forty-eight (48) hours after receipt) notify CHMI (orally or in writing) in the event that MITT or any of its subsidiaries or its or their representatives receives a MITT Competing Proposal, any inquiry, proposal, offer or request for information that would reasonably be expected to lead to a MITT Competing Proposal or any amendment or modification to the material terms of any MITT Competing Proposal, including the identity of the person making such MITT Competing Proposal, a copy of any agreements or draft documents related thereto and copies of any correspondence between MITT or its representatives and the person (or its representatives) submitting such MITT Competing Proposal, inquiry, proposal offer or request relating thereto. MITT shall keep CHMI reasonably informed on a prompt and current basis with respect to the status and material terms of any such MITT Competing Proposal, inquiry, proposal, offer or request and any material changes to the status of any such discussions or negotiations and promptly (and in any event within forty-eight (48) hours after receipt) provide CHMI with copies of any correspondence, agreements or draft documents provided by MITT or such person or their respective representatives with respect thereto, in each case to the extent not previously made available to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MITT Stockholder Approval, and other than in response to a MITT Competing Proposal, the MITT Board will be permitted to make a MITT change of recommendation in response to a material intervening event if certain conditions are met as set forth in the Merger Agreement and described below under “—MITT Superior Proposals” and “—MITT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CHMI Competing Proposal (as defined above);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CHMI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CHMI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MITT in any material respect, the recommendation that the CHMI stockholders approve the Merger Agreement, which we refer to as “CHMI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CHMI Board recommendation in this joint proxy statement/prospectus or any amendment or supplement hereto;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CHMI, or resolve to or publicly propose or announce its intention to adopt, approve, endorse or recommend to the stockholders of CHMI, any CHMI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CHMI Board recommendation within ten business days after the written request of MITT following a CHMI Competing Proposal that has been publicly announced (or such fewer number of days as remain prior to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CHMI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CHMI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CHMI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shall promptly (and in no event later than forty-eight (48) hours after receipt) notify MITT (orally or in writing) in the event that CHMI or any of its subsidiaries or its or their representatives receives a CHMI Competing Proposal, any inquiry, proposal, offer or request for information that would reasonably be expected to lead to a CHMI Competing Proposal or any amendment or modification to the material terms of any CHMI Competing Proposal, including the identity of the person making such CHMI Competing Proposal, a copy of any agreements or draft documents related thereto and copies of any correspondence between CHMI or its representatives and the person (or its representatives) submitting such CHMI Competing Proposal, inquiry, proposal, offer or request relating thereto. CHMI shall keep MITT reasonably informed on a prompt and current basis with respect to the status and material terms of any such CHMI Competing Proposal, inquiry, proposal, offer or request and any material changes to the status of any such discussions or negotiations and promptly (and in any event within forty-eight (48) hours after receipt) provide MITT with copies of any correspondence, agreements or draft documents provided by CHMI or such person or their respective representatives with respect thereto, in each case to the extent not previously made available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CHMI Stockholder Approval, the CHMI Board will be permitted to make a CHMI change of recommendation in response to a material intervening event if certain conditions are met as set forth in the Merger Agreement and described below under “—CHMI Superior Proposals” and “—CHMI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MITT Stockholder Approval, MITT receives an unsolicited MITT Competing Proposal that did not result from a material breach of MITT’s non-solicitation covenants in the Merger Agreement, MITT and its representatives may (a) engage in or otherwise participate in any discussions or negotiations with any person with respect to such MITT Competing Proposal and (b) furnish any non-public information regarding MITT or its subsidiaries, or access to the properties, assets or employees of MITT or its subsidiaries, to the person who has made such MITT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MITT receives an executed confidentiality agreement from such person containing limitations on the use and confidentiality of non-public information furnished to such person by or on behalf of MITT that are no less restrictive to the counterparty than the terms of the confidentiality agreement entered into between CHMI and MITT, except for such changes to permit MITT to comply with its obligations under the Merger Agreement; and</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MITT Board or any committee thereof determines in good faith, after consultation with its financial advisor and outside legal counsel, that such MITT Competing Proposal constitutes or would reasonably be expected to lead to a MITT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Superior Proposal” (and the reciprocal definition for CHMI, a “CHMI Superior Proposal,” and collectively with a MITT Superior Proposal, a “Superior Proposal”) refers to a bona fide written MITT Competing Proposal (with references to “20%” in that definition being deemed replaced with references to “50%” and references to “80%” in that definition being deemed to be replaced with references to 50%) by a third party, which the MITT Board or the CHMI Board, as applicable, determines in good faith after consultation with MITT’s or CHMI’s outside legal and financial advisors to be more favorable to MITT stockholders or CHMI stockholders, as applicable, than the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prior to the receipt of the MITT Stockholder Approval, in response to a MITT Competing Proposal that did not result from a material breach of MITT’s non-solicitation covenants in the Merger Agreement, effect a change in the MITT Board recommendation or cause MITT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that such MITT Competing Proposal is a MITT Superior Proposal (taking into account any adjustment to the terms and conditions of the Merger Agreement proposed by CHMI in response to such MITT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MITT shall have given CHMI at least five (5) business days’ prior written notice of its intention to take such action, which notice shall include a summary of the material terms and conditions of such MITT Superior Proposal, the identity of the person making such MITT Superior Proposal and a copy of the MITT Superior Proposal and a copy of any proposed agreements providing for such MITT Superior Proposal (including any financing documents); (B) during such five (5) business day period following the date on which such notice is received, MITT shall and shall cause its representatives to, negotiate with CHMI in good faith (to the extent CHMI wishes to negotiate) to make such adjustments to the terms and conditions of the Merger Agreement as CHMI may propose; (C) upon the end of such five (5) business day period (or such subsequent notice period as contemplated by clause (D) below), the MITT Board shall have considered in good faith any revisions to the terms of the Merger Agreement proposed in writing by CHMI, and shall have determined, after consultation with its independent financial advisor and outside legal counsel, that the MITT Superior Proposal continues to constitute a MITT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MITT Superior Proposal, MITT shall, in each case, have delivered to CHMI an additional notice consistent with that described in clause (A) above and a new notice period under clause (A) shall commence (provided, however, that the notice period thereunder shall only be three (3) business days) during which time MITT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its representatives may, at any time prior to the receipt of the MITT Stockholder Approval, contact any person in writing (with a request that any response from such person be in writing) with respect to a MITT Competing Proposal to clarify any terms and conditions thereof which are necessary to determine whether the MITT Competing Proposal constitutes or would reasonably be expected to lead to a MITT Superior Proposal without the MITT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in the Merger Agreement to the contrary, the MITT Board may, at any time prior to receipt of the MITT Stockholder Approval, other than in response to a MITT Competing Proposal, effect a change in the MITT Board recommendation in response to a material intervening event if, prior to taking such action:</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shall have given at least five (5) business days’ prior written notice to CHMI that MITT intends to effect a change in the MITT Board recommendation (which notice will reasonably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MITT shall and shall cause its representatives to negotiate in good faith with CHMI (to the extent CHMI wishes to negotiate), to make adjustments to the terms and conditions of the Merger Agreement; and (iii) following the end of such five (5) business day period, the MITT Board, after consultation with MITT’s independent financial advisor and outside legal counsel and taking into account any revisions to the terms and conditions of the Merger Agreement proposed by CHMI, shall have determined in good faith that the failure of the MITT Board to make such a change in the MITT Board recommendation would reasonably be expected to be inconsistent with its fiduciary duties under applicable law.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CHMI Stockholder Approval, CHMI receives an unsolicited CHMI Competing Proposal that did not result from a material breach of CHMI’s non-solicitation covenants in the Merger Agreement, CHMI and its representatives may (a) engage in or otherwise participate in any discussions or negotiations with any person with respect to such CHMI Competing Proposal and (b) furnish any non-public information regarding CHMI or its subsidiaries, or access to the properties, assets or employees of CHMI or its subsidiaries, to the person who has made such CHMI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CHMI receives an executed confidentiality agreement from such person containing limitations on the use and confidentiality of non-public information furnished to such person by or on behalf of CHMI that are no less restrictive to the counterparty in the aggregate than the terms of the confidentiality agreement entered into between CHMI and MITT, except for such changes to permit CHMI to comply with its obligations under the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CHMI Board or any committee thereof determines in good faith, after consultation with its financial advisor and outside legal counsel, that such CHMI Competing Proposal constitutes or would reasonably be expected to lead to a CHMI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may, prior to the receipt of the CHMI Stockholder Approval, in response to a CHMI Competing Proposal that did not result from a material breach of CHMI’s non-solicitation covenants in the Merger Agreement, effect a change in the CHMI Board recommendation or cause CHMI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that such CHMI Competing Proposal is a CHMI Superior Proposal (taking into account any adjustment to the terms and conditions of the Merger Agreement proposed by MITT in response to such CHMI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CHMI shall have given MITT at least five (5) business days’ prior written notice of its intention to take such action, which notice shall include a summary of the material terms and conditions of such CHMI Superior Proposal, the identity of the Person making such CHMI Superior Proposal and a copy of CHMI Superior Proposal and a copy of any proposed agreements providing for such CHMI Superior Proposal (including any financing documents); (B) during such five (5) business day period following the date on which such notice is received, CHMI shall and shall cause its representatives to, negotiate with MITT in good faith (to the extent MITT wishes to negotiate) to make such adjustments to the terms and conditions of the Merger Agreement as MITT may propose; (C) upon the end of such five (5) business day period (or such subsequent notice period as contemplated by clause (D) below), the CHMI Board shall have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considered in good faith any revisions to the terms of the Merger Agreement proposed in writing by MITT, and shall have determined, after consultation with its independent financial advisor and outside legal counsel, that such CHMI Superior Proposal continues to constitute a CHMI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CHMI Superior Proposal, CHMI shall, in each case, have delivered to MITT an additional notice consistent with that described in clause (A) above and a new notice period under clause (A) shall commence (provided, however, that the notice period thereunder shall only be three (3) business days) during which time CHMI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and its representatives may, at any time prior to the receipt of the CHMI Stockholder Approval, contact any person in writing (with a request that any response from such person be in writing) with respect to a CHMI Competing Proposal to clarify any terms and conditions thereof which are necessary to determine whether the CHMI Competing Proposal constitutes or would reasonably be expected to lead to a CHMI Superior Proposal without the CHMI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the Merger Agreement to the contrary, the CHMI Board may, at any time prior to the receipt of the CHMI Stockholder Approval, other than in response to a CHMI Competing Proposal, effect a change in the CHMI Board recommendation in response to a material intervening event if, prior to taking such action: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shall have given at least five (5) business days’ prior written notice to MITT that CHMI intends to effect a change in the CHMI Board recommendation (which will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CHMI shall and shall cause its representatives to negotiate in good faith with MITT (to the extent MITT wishes to negotiate), to make adjustments to the terms and conditions of the Merger Agreement, and, following the end of such five (5) business day period, the CHMI Board, after consultation with CHMI’s independent financial advisor and outside legal counsel and taking into account any revisions to the terms and conditions of the Merger Agreement proposed by MITT, shall have determined in good faith that the failure of the CHMI Board to make such a change in the CHMI Board recommendation would reasonably be expected to be inconsistent with its fiduciary duties under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3" w:name="if102c388152845cfacb1cf4802a4d0d6"/>
      <w:bookmarkEnd w:id="113"/>
      <w:r>
        <w:rPr>
          <w:rFonts w:ascii="Times New Roman;serif" w:hAnsi="Times New Roman;serif"/>
          <w:b/>
          <w:color w:val="000000"/>
          <w:sz w:val="20"/>
        </w:rPr>
        <w:t xml:space="preserve">Stockholder Meetings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Merger Agreement by the holders of CHMI Common Stock is required to effect the Mergers. CHMI has agreed to take all action necessary in accordance with applicable laws and its organizational documents to duly give notice of, convene and hold a meeting of CHMI stockholders for the purpose of obtaining the approval by its stockholders of the Merger Agreement, with such meeting to be held as promptly as reasonably practicable following the effectiveness of this registration statement under the Securities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MITT Common Stock Issuance by the holders of MITT Common Stock is required to issue the shares of MITT Common Stock to the holders of CHMI Common Stock in connection with the Company Merger. MITT has agreed to take all action necessary in accordance with applicable laws and its organizational documents to duly give notice of, convene and hold a meeting of MITT stockholders for the purpose of obtaining the approval by its stockholders of the MITT Common Stock Issuance, with such meeting to be held as promptly as reasonably practicable following the effectiveness of this registration statement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4" w:name="iefd5088e49774c8db46d58a0469a72ba"/>
      <w:bookmarkEnd w:id="114"/>
      <w:r>
        <w:rPr>
          <w:rFonts w:ascii="Times New Roman;serif" w:hAnsi="Times New Roman;serif"/>
          <w:b/>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agreed to take all actions necessary to cause the MITT Common Stock, MITT Series D Preferred Stock and MITT Series E Preferred Stock to be issued in connection with the Company Merger to be approved for listing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5" w:name="iebd434cfc9054aff9e81b62bbc48f3c5"/>
      <w:bookmarkEnd w:id="115"/>
      <w:r>
        <w:rPr>
          <w:rFonts w:ascii="Times New Roman;serif" w:hAnsi="Times New Roman;serif"/>
          <w:b/>
          <w:color w:val="000000"/>
          <w:sz w:val="20"/>
        </w:rPr>
        <w:t xml:space="preserve">Conditions to Complete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obligation of each of MITT, Merger Sub, MITT Manager, CHMI and CHOP to complete the Closing and to effect the Mergers are subject to the satisfaction at or prior to the Closing of each of the following conditions, any or all of which may be waived jointly by the aforementioned parties,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Stockholder Approval and the MITT Stockholder Approval have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no governmental entity having jurisdiction over the parties has enacted or issued any law or order or injunction or other action that is in effect (whether temporary, preliminary or permanent) restraining, enjoining or prohibiting the consummation of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registration statement of which this joint proxy statement/prospectus is a part has been declared effective by the SEC under the Securities Act, no stop order suspending the effectiveness of the registration statement is in effect and no proceeding for such purpose shall be pending or threatened by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MITT Series D Preferred Stock and MITT Series E Preferred Stock issuable in connection with the Mergers shall have been approved for listing on the NYSE, subject to official notice of issuance;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of the Required Regulatory Approvals shall have been obtained.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CHMI and CHOP to consummate the Mergers are subject to the satisfaction at or prior to the Closing of each of the following conditions, any or all of which may be waived exclusively by CHMI and CHOP,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existence, power, authority, consents, no violation and available funds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regarding the absence of a Material Adverse Effect on MITT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other representations and warranties of MITT, Merger Sub and MITT Manager set forth in Article V of the Merger Agreement being true and correct as of the date of the Merger Agreement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(i) in the case of MITT and Merger Sub, would not reasonably be expected to have, individually or in the aggregate, a material adverse effect on MITT and (ii) in the case of MITT Manager,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65"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would not reasonably be expected to materially prevent the ability of MITT Manager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Merger Sub and MITT Manager have performed, or complied with, in all material respects all agreements and covenants required to be performed or complied with by it under the Merger Agreement on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certificate of MITT signed by the chief executive officer or chief financial officer of MITT and a certificate of MITT Manager signed by an executive officer of MITT Manager, each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Hunton Andrews Kurth LLP, dated as of the date of Closing and in form and substance reasonably satisfactory to CHMI,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its proposed method of organization and operation will enable MITT to continue to satisfy the requirements for qualification and taxation as a REIT under the Code, subject to customary exceptions, assumptions and qualifications;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Mayer Brown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MITT, Merger Sub and MITT Manager to consummate the Mergers are subject to the satisfaction at or prior to the Closing of each of the following conditions, any or all of which may be waived exclusively by MITT, Merger Sub and MITT Manager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existence, power, authority, consents and no violation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regarding the absence of a Material Adverse Effect on CHMI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 other representations and warranties of CHMI and CHOP set forth in Article IV of the Merger Agreement being true and correct as of the date of the Merger Agreement and as of the date of Closing, as though made on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would not reasonably be expected to have, individually or in the aggregate, a material adverse effect on CHMI;</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66"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CHOP have performed, or complied with, in all material respects all agreements and covenants required to be performed or complied with by CHMI and CHOP under the Merger Agreement at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certificate of CHMI signed by the chief executive officer or chief financial officer of CHMI,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has received a written opinion of Mayer Brown LLP, dated as of the date of Closing and in form and substance reasonably satisfactory to MITT,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subject to customary exceptions, assumptions and qualifications;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written opinion of Hunton Andrews Kurth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6" w:name="id268b285fb3f411cb40c68206ece1eef"/>
      <w:bookmarkEnd w:id="116"/>
      <w:r>
        <w:rPr>
          <w:rFonts w:ascii="Times New Roman;serif" w:hAnsi="Times New Roman;serif"/>
          <w:b/>
          <w:color w:val="000000"/>
          <w:sz w:val="20"/>
        </w:rPr>
        <w:t xml:space="preserve">Termination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and the Mergers and the other transactions contemplated in the Merger Agreement may be abandoned at any time prior to the Partnership Merger Effective Time, whether (except as expressly set forth below) before or after the MITT Stockholder Approval or the CHMI Stockholder Approval has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mutual written consent of MITT and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either MITT or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Closing has not occurred on or before 11:59 p.m. Eastern Time, on March 9, 2027, which we refer to as the “Termination Date”; provided, however, that if, as of the Termination Date, all conditions to Closing under the Merger Agreement other than obtaining the Required Regulatory Approvals or absence of a law, order or injunction preventing Closing to the extent related to the Required Regulatory Approvals shall have been satisfied, then the Termination Date will automatically be extended for an additional 60 days, which date thereafter shall be deemed to be the Termination Date; provided, further, that the right to terminate the Merger Agreement under this paragraph will not be available to any party that has breached in any material respect any provision of the Merger Agreement that shall have contributed materially to the failure of the Closing to occur by such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the Merger Agreement pursuant to this provision will not be available to CHMI or MITT (x) unless such party has used its best efforts to remove such order and (y) if such party has breached in any material respect any provision of the Merger Agreement in any manner that has contributed materially to the issuance of such order;</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67"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CHMI or CHOP, or MITT, Merger Sub or MITT Manager, as applicable, shall have breached or failed to perform in any material respect any of their respective representations, warranties, covenants or other agreements contained in the Merger Agreement, which breach or failure to perform (A) would give rise to the failure of a condition to Closing for such terminating party to be satisfied and (B) is incapable of being cured or, if curable, has not been cured, by the breaching party, as applicable, prior to the earlier of (x) the Termination Date and (y) the thirtieth (30th) business day after its receipt of written notice thereof from the terminating party; provided, however, that the terminating party shall not have breached or failed to perform in any material respect any of its respective representations, warranties, covenants or other agreements contained in the Merger Agreement so as to cause such closing conditions not to be satisfied;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MITT Stockholder Approval has not been obtained upon a vote held at a duly held MITT special meeting convened therefor (including any adjournments or postponements thereof permitted by the Merger Agreement), or the CHMI Stockholder Approval has not been obtained upon a vote held at a duly held CHMI special meeting convened therefor (including any adjournments or postponements thereof permitted by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CHMI, prior to the time the MITT Stockholder Approval is obtained, if the MITT Board has effected a change of recommendation or MITT has materially breached its non-solicitation covenants in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CHMI, prior to receipt of the CHMI Stockholder Approval, in accordance with, and subject to compliance with the terms and conditions of, specified provisions of CHMI’s non-solicitation covenants, in order to enter into a definitive agreement providing for a CHMI Superior Proposal (with such definitive agreement being entered into substantially concurrently with the termination of the Merger Agreement); provided, however, that concurrently with such termination, CHMI pays the CHMI Termination Fee (as discussed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time the CHMI Stockholder Approval is obtained, if the CHMI Board has effected a change of recommendation or CHMI has materially breached its non-solicitation covenants in the Merger Agreement;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receipt of the MITT Stockholder Approval, in accordance with, and subject to compliance with the terms and conditions of, specified provisions of MITT’s non-solicitation covenants, in order to enter into a definitive agreement providing for a MITT Superior Proposal (with such definitive agreement being entered into substantially concurrently with the termination of the Merger Agreement); provided, however, that concurrently with such termination, MITT pays the MITT Termination Fee (as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7" w:name="i3cc16f173c264249afacef00224755f9"/>
      <w:bookmarkEnd w:id="117"/>
      <w:r>
        <w:rPr>
          <w:rFonts w:ascii="Times New Roman;serif" w:hAnsi="Times New Roman;serif"/>
          <w:b/>
          <w:color w:val="000000"/>
          <w:sz w:val="20"/>
        </w:rPr>
        <w:t xml:space="preserve">Termination Fees and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will pay its own expenses incident to preparing for, entering into and carrying out the Merger Agreement and the consummation of the Mergers, whether or not the Mergers will be consummated.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CHMI a termination fee of $7,990,000, which we refer to as “MITT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in order to enter into a definitive agreement with respect to a MITT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because the MITT Board has effected a change of recommendation or MITT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also will pay CHMI the MITT Termination Fee if: (A) the Merger Agreement is terminated by (x) either CHMI or MITT because the Closing has not been consummated by the Termination Date or the MITT Stockholder Approval was not obtained or (y) CHMI because of certain breach by MITT, Merger Sub or MITT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68"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Manager; (B) a bona fide written MITT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MITT or any of its subsidiaries completes, or enters into a definitive agreement with respect to and thereafter completes (regardless of whether such completion occurs within such twelve (12)-month period), a MITT Competing Proposal; provided, however, that, for purposes of this paragraph, all references in the definition of MITT Competing Proposal to twenty percent (20%) or eighty percent (80%) shall be deemed references to fifty percent (50%).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will pay MITT a termination fee of $4,700,000, which we refer to as “CHMI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in order to enter into a definitive agreement with respect to a CHMI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because the CHMI Board has effected a change of recommendation or CHMI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will pay MITT the CHMI Termination Fee if: (A) the Merger Agreement is terminated by (x) either CHMI or MITT because the Closing has not been consummated by the Termination Date or the CHMI Stockholder Approval was not obtained or (y) MITT because of certain breach by CHMI or CHOP; (B) a bona fide written CHMI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CHMI or any of its subsidiaries completes, or enters into a definitive agreement with respect to and thereafter completes (regardless of whether such completion occurs within such twelve (12)-month period), a CHMI Competing Proposal; provided, however, that, for purposes of this paragraph, all references in the definition of CHMI Competing Proposal to twenty percent (20%) or eighty percent (80%) shall be deemed references to fifty percent (50%).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no circumstances will MITT be required to pay more than one MITT Termination Fee to CHMI, or CHMI be required to pay more than one CHMI Termination Fee to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8" w:name="ief438f0cdf064635aac497b872ef09be"/>
      <w:bookmarkEnd w:id="118"/>
      <w:r>
        <w:rPr>
          <w:rFonts w:ascii="Times New Roman;serif" w:hAnsi="Times New Roman;serif"/>
          <w:b/>
          <w:color w:val="000000"/>
          <w:sz w:val="20"/>
        </w:rPr>
        <w:t xml:space="preserve">Directors and Management of MITT After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take all necessary corporate action so that upon and immediately after the Company Merger Effective Time, (a) the size of the MITT Board is increased by two members and (b) two members of the CHMI Board designated by CHMI no later than twenty business days prior to the Closing Date will be appointed to the MITT Board. We refer to such person designated by CHMI as a “CHMI Director Designee.” Each CHMI Director Designee must (i) at the time of such designation be a member of the CHMI Board, (ii) have provided a fully completed directors’ questionnaire to MITT and completed a background check prior to such appointment, which must be reasonably satisfactory to MITT, and (iii) meet the qualifications of an “independent director” of CHMI and MITT under the rules of the NYSE; provided, however, that in the event that (A) MITT determines in accordance with the foregoing that a CHMI Director Designee’s directors’ questionnaire or background check is not reasonably satisfactory or (B) a CHMI Director Designee is unable or unwilling to serve on the MITT Board, (x) in the case of the foregoing clause (A), MITT will promptly notify CHMI of such determination and (y) in the case of the foregoing clauses (A) and (B), CHMI will have the right to designate an alternative member of the CHMI Board as a CHMI Director Designee by notice to MITT. MITT will take all action necessary to nominate the CHMI Director Designees to the MITT Board at the MITT Board’s next annual meeting following the Closing, including, but not limited to, by including the individuals as persons nominated as members of the MITT Board in the MITT Board’s proxy statement for such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executive officers of MITT immediately prior to the Company Merger Effective Time will continue as an executive officer of the Combined Company following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69"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9" w:name="i245b3b5b045a48f183f206e24d3e1119"/>
      <w:bookmarkEnd w:id="119"/>
      <w:r>
        <w:rPr>
          <w:rFonts w:ascii="Times New Roman;serif" w:hAnsi="Times New Roman;serif"/>
          <w:b/>
          <w:color w:val="000000"/>
          <w:sz w:val="20"/>
        </w:rPr>
        <w:t xml:space="preserve">Directors’ and Officers’ Indemnification and 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and after the Company Merger Effective Time, each of the Surviving Entity and MITT shall, to the same extent permitted by the organizational documents of CHMI and its subsidiaries in effect on the date of the Merger Agreement: (i) indemnify and hold harmless each person who is at the date hereof, was previously, or during the period from the date hereof through the Company Merger Effective Time will be, serving as a director, officer, employee or agent of CHMI or any of its subsidiaries (including CHOP)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CHMI or any of its subsidiaries (including CHOP) (collectively, the “Covered Persons”)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cause to be put in place, and MITT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CHMI’s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provided, however, the aggregate premium for such “tail” insurance policy shall not exceed an amount equal to 300% of the annual premium paid by CHMI for such insurance as of the date of the Merger Agreement; and provided, further, that if the premium of such insurance coverage exceeds such amount, MITT shall cause to be put in place a policy with the greatest coverage available, with respect to the facts, acts, events or omissions occurring prior to the Company Merger Effective Time, for a cost not exceeding such amount. MITT and the Surviving Entity shall cause any such policy (whether obtained by MITT, CHMI or the Surviving Entity) to be maintained in full force and effect, for its full term, and MITT shall cause the Surviving Entity to honor all its obligations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0" w:name="i3c841ea1fc044abdb5a4570804fe4469"/>
      <w:bookmarkEnd w:id="120"/>
      <w:r>
        <w:rPr>
          <w:rFonts w:ascii="Times New Roman;serif" w:hAnsi="Times New Roman;serif"/>
          <w:b/>
          <w:color w:val="000000"/>
          <w:sz w:val="20"/>
        </w:rPr>
        <w:t xml:space="preserve">Amendment and Waiver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any time prior to the Partnership Merger Effective Time, any provision of the Merger Agreement may be amended or waived if, and only if, such amendment or waiver is in writing and signed, in the case of an amendment, by CHMI, CHOP, MITT, Merger Sub and MITT Manager; provided, however, if such amendment or waiver is proposed after the CHMI Stockholder Approval or the MITT Stockholder Approval is obtained, no such amendment or waiver will be made or given that requires the approval of the stockholders of CHMI or MITT under applicable law unless the required further approval is obtained. After the Partnership Merger Effective Time, the Merger Agreement may not be amended. Notwithstanding the foregoing, no failure or delay by any party in exercising any right under the Merger Agreement shall operate as a waiver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1" w:name="i748f418cdab1461bad7aa08330c58a91"/>
      <w:bookmarkEnd w:id="121"/>
      <w:r>
        <w:rPr>
          <w:rFonts w:ascii="Times New Roman;serif" w:hAnsi="Times New Roman;serif"/>
          <w:b/>
          <w:color w:val="000000"/>
          <w:sz w:val="20"/>
        </w:rPr>
        <w:t xml:space="preserve">Specific Performance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parties to the Merger Agreement (on behalf of themselves or any third-party beneficiary to the Merger Agreement) is entitled to an injunction or injunctions, specific performance or other equitable relief to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70"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prevent breaches of the Merger Agreement and to enforce specifically the terms and provisions of the Merger Agreement without proof of damages or otherwise, this being in addition to any other remedy to which they are entitled under the Merger Agreement or at law or in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71"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2" w:name="ib49c30ce243145a99652fd173a679b8d"/>
      <w:bookmarkEnd w:id="122"/>
      <w:r>
        <w:rPr>
          <w:rFonts w:ascii="Times New Roman;serif" w:hAnsi="Times New Roman;serif"/>
          <w:b/>
          <w:color w:val="000000"/>
          <w:sz w:val="20"/>
        </w:rPr>
        <w:t>THE VOTING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72"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3" w:name="i5c244a9e0b47420a9b2a5b99792058ef"/>
      <w:bookmarkEnd w:id="123"/>
      <w:r>
        <w:rPr>
          <w:rFonts w:ascii="Times New Roman;serif" w:hAnsi="Times New Roman;serif"/>
          <w:b/>
          <w:color w:val="000000"/>
          <w:sz w:val="20"/>
        </w:rPr>
        <w:t>U.S. FEDERAL INCOME TAX CONSIDERATIONS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does not discuss the impact that U.S. state and local taxes and taxes imposed by non-U.S. jurisdictions could have on the matters discussed in this summary. Because this section is a summary, it does not address all aspects of taxation that may be relevant to particular stockholders in light of their personal investment or tax circumstances, or to certain types of stockholders that are subject to special treatment under the U.S. federal income tax laws,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regulated investment companies, REITs, and their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subchapter S corporations;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tax-exempt organizations (except to the extent discussed in “—Taxation of U.S. Holders—Taxation of Tax-Exempt Stockholders”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financial institutions or broker-dealers;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non-U.S. individuals and foreign corporations (except to the extent discussed in “—Taxation of Non-U.S. 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expatriates;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mark-to-market MITT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holders (as defined below) whose functional currency is not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required to accelerate the recognition of any item of gross income with respect to MITT Stock as a result of such income being recognized on an applicable financial statement;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trusts and estates (except to the extent discussed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receive MITT Stock through the exercise of employee stock options or otherwise as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MITT Stock as part of a “straddle,” “hedge,” “conversion transaction,” “synthetic security” or other integrated investment;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subject to any alternative minimum tax provisions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a 10% or more (by vote or value) beneficial interest in MITT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persons subject to special tax rules.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assumes that holders hold MITT Stock as capital assets for U.S. federal income tax purposes, which generally means property held for investment.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MITT Stock or CHMI Stock, as applicable, who, for U.S. federal income tax purposes, 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citizen or resident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under the laws of the United States or of a political subdivision thereof (including the District of Columbia);</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73"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estate that is subject to U.S. federal income tax on its income regardless of its source;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trust if (i) a U.S. court is able to exercise primary supervision over the administration of such trust and one or more United States persons have the authority to control all substantial decisions of the trust or (ii) it has a valid election in place to be treated as a United States person.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MITT Stock or CHMI Stock, as applicable, who is neither a U.S. holder nor a partnership or other entity treated as a partnership for U.S. federal income tax purposes. A tax-exempt organization is a U.S. person who is exempt from U.S. federal income tax under Sections 401(a) or 501(a)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CHMI Stock (or, following the Company Merger, MITT Stock), the U.S. federal income tax treatment of a partner in such partnership generally will depend upon the status of the partner and the activities of the partnership. A partner of a partnership holding CHMI Stock should consult its tax advisor regarding the U.S. federal income tax consequences to the partner of the Company Merger and of the acquisition, ownership and disposition of MITT Stock by the partnership.</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statements in this section are not intended to be, and should not be construed as, tax advice. The statements in this section are based on the current Code, current, temporary and proposed the Treasury Regulations thereunder,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Future legislation, Treasury Regulations, administrative interpretations and court decisions could change current law or adversely affect existing interpretations of current law on which the information in this section is based. Any such change could apply retroactively. MITT has not received any rulings from the IRS concerning its qualification as a REIT. Even if there is no change in the applicable law, no assurance can be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statements made in the following discussion, which do not bind the IRS or the courts, will not be challenged by the IRS or will be sustained by a court if so challenged.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URGE YOU TO CONSULT YOUR TAX ADVISOR REGARDING THE SPECIFIC TAX CONSEQUENCES TO YOU OF THE COMPANY MERGER AND THE OWNERSHIP AND SALE OF MITT STOCK AND OF MITT’S ELECTION TO BE TAXED AS A REIT. SPECIFICALLY, YOU SHOULD CONSULT YOUR TAX ADVISOR REGARDING THE U.S. FEDERAL, STATE, LOCAL, FOREIGN, AND OTHER TAX CONSEQUENCES OF THE COMPANY MERGER AND THE OWNERSHIP, SALE AND ELECTION, AND REGARDING POTENTIAL CHANGES IN APPLICABLE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4" w:name="i137499be551347e5997ca89047951b5e"/>
      <w:bookmarkEnd w:id="124"/>
      <w:r>
        <w:rPr>
          <w:rFonts w:ascii="Times New Roman;serif" w:hAnsi="Times New Roman;serif"/>
          <w:b/>
          <w:color w:val="000000"/>
          <w:sz w:val="20"/>
        </w:rPr>
        <w:t>U.S. Federal Income Tax Consequences of the Company Merger</w:t>
      </w:r>
    </w:p>
    <w:p>
      <w:pPr>
        <w:pStyle w:val="TextBody"/>
        <w:bidi w:val="0"/>
        <w:spacing w:lineRule="auto" w:line="288" w:before="0" w:after="180"/>
        <w:jc w:val="both"/>
        <w:rPr>
          <w:rFonts w:ascii="Times New Roman;serif" w:hAnsi="Times New Roman;serif"/>
          <w:b/>
          <w:i/>
          <w:color w:val="000000"/>
          <w:sz w:val="20"/>
        </w:rPr>
      </w:pPr>
      <w:bookmarkStart w:id="125" w:name="id4612d06f1384327bdb2ce837795f0f2"/>
      <w:bookmarkEnd w:id="125"/>
      <w:r>
        <w:rPr>
          <w:rFonts w:ascii="Times New Roman;serif" w:hAnsi="Times New Roman;serif"/>
          <w:b/>
          <w:i/>
          <w:color w:val="000000"/>
          <w:sz w:val="20"/>
        </w:rPr>
        <w:t>Material U.S. Federal Income Tax Consequences of the Company Merger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Company Merger that Mayer Brown LLP and Hunton Andrews Kurth LLP each render an opinion to CHMI and MITT, respectively, to the effect that the Company Merger will constitute a reorganization within the meaning of Section 368(a) of the Code. Such opinions will be subject to customary exceptions, assumptions and qualifications, and will be based on representations made by CHMI and MITT regarding factual matters, and covenants undertaken by CHMI and MITT. If any assumption or representation is inaccurate in any way, or any covenant is not complied with, the tax consequences of the Company Merger could differ from those described in the tax opinions and in this discussion. These tax opinions represent the legal judgment of counsel rendering the opinion and are not binding on the IRS or the courts. No ruling from the IRS has been or is expected to be requested in connection with the Company Merger, and there can be no assurance that the IRS would not assert, or that a court would not sustain, a position contrary to the conclusions set forth in the tax opinions.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Provided the Company Merger is treated as a reorganization within the meaning of Section 368(a) of the Code:</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74"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will not recognize any gain or loss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holder of CHMI Common Stock that is a U.S. holder (a “U.S. CHMI Stockholder”)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will have an aggregate tax basis in the MITT Common Stock it receives in the Company Merger equal to the U.S. holder’s aggregate tax basis in its CHMI Common Stock surrendered pursuant to the Company Merger, increased by any gain recognized (excluding any gain attributable to the receipt of cash in lieu of a fractional share of MITT Common Stock) and decreased by the amount of any cash received (other than cash received in lieu of a fractional share of MITT Common Stock) reduced, if applicable, by the portion of the U.S. holder’s tax basis in its CHMI Common Stock surrendered in the Company Merger that is allocable to a fractional share of MITT Common Stock. If a U.S. holder acquired any of its shares of CHMI Common Stock at different prices and/or at different times, Treasury Regulations provide guidance on how such U.S. holder may allocate its tax basis to shares of MITT Common Stock received in the Company Merger. U.S. holders that hold multiple blocks of CHMI Common Stock should consult their tax advisors regarding the proper allocation of their basis among shares of MITT Common Stock received in the Company Merger under these Treasury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A U.S. holder will have aggregate tax basis in the MITT Series D Preferred Stock or MITT Series E Preferred Stock equal to the U.S. holder's aggregate tax basis in its CHMI Series A Preferred Stock or CHMI Series B Preferred Stock surrendered pursuant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holding period of the shares of MITT Stock received by a U.S. holder in connection with the Company Merger will include the holding period of the CHMI Stock surrendered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Non-corporate U.S. holders are generally subject to tax on long-term capital gains at reduced rates under current law. The deductibility of capital losses is subject to limitations.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the Company Merger is treated as a reorganization within the meaning of Section 368(a) of the Code, a non-U.S. holder’s gain or loss from the Company Merger for U.S. federal income tax purposes will be determined in the same manner as that of a U.S. holder. A holder of CHMI Stock that is a non-U.S. holder (a “Non-U.S. CHMI Stockholder”) will not be subject to U.S. federal income taxation on any gain recognized from the receipt of the Common Stock Merger Consideration, unless (1) the gain is effectively connected with a U.S. trade or business of the non-U.S. holder, (2) the non-U.S. holder is an individual who has been present in the United States for 183 days or more during the taxable year of disposition and certain other conditions are satisfied, or (3) the non-U.S. holder’s CHMI Stock constitutes a United States real property interest or “USRPI.” The term USRPI includes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75"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interests in real property and shares in corporations at least 50% of whose assets consist of interests in real property, which we refer to as “United States real property holding corporations.” It is not currently anticipated that CHMI will constitute a United States real property holding corporation, or that CHMI Stock will constitute a USRPI.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has gain effectively connected with the conduct of trade or business in the United States (and, if required by an applicable income tax treaty, the non-U.S. holder maintains a permanent establishment in the United States to which such gain is attributable) will be subject to U.S. federal income tax on such gain on a net basis in the same manner as a U.S. holder. In addition, a non-U.S. holder that is a corporation may be subject to a branch profits tax equal to 30% (or lesser rate under an applicable income tax treaty) on the after-tax amount of such effectively connected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is an individual present in the United States for 183 days or more in the taxable year of the Company Merger and who meets certain other requirements will be subject to a flat 30% tax on any gain derived from the Company Merger, which may be offset by U.S.-source capital losses of such Non-U.S. CHMI Stockholder, if 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non-U.S. holder’s CHMI Stock constitutes a USRPI, such Non-U.S. CHMI Stockholder will be subject to U.S. federal income tax on the gain recognized in the Company Merger on a net basis in the same manner as a U.S. holder. CHMI Stock is not anticipated to constitute a USRPI, and gain recognized by a Non-U.S. CHMI Stockholder generally will not be taxed under the Foreign Investment in Real Property Tax Act, which we refer to as “FIRPTA,” if (1) CHMI is not a United States real property holding corporation or (2) such Non-U.S. CHMI Stockholder has owned, actually or constructively, 10% or less of CHMI’s outstanding common stock at all times during the five-year period ending on the date of the Company Merger (or, if shorter, the period during which the Non-U.S. CHMI Stockholder held the stock) and the CHMI Stock is considered regularly traded on an established securities market or (3) CHMI is a domestically controlled qualified investment entity. A domestically controlled qualified investment entity includes a REIT in which, at all times during a specified testing period, less than 50% in value of its outstanding stock is held directly or indirectly by Non-U.S. CHMI Stockholder. If a Non-U.S. CHMI Stockholder is subject to tax on its exchange of CHMI Stock in the Company Merger, its gain will be measured by the excess of (i) the sum of the fair market value of the MITT Stock received plus any cash received over (ii) the Non-U.S. CHMI Stockholder’s adjusted tax basis in its CHMI Stock. CHMI cannot assure you that CHMI Stock will not become a USRPI.</w:t>
      </w:r>
    </w:p>
    <w:p>
      <w:pPr>
        <w:pStyle w:val="TextBody"/>
        <w:bidi w:val="0"/>
        <w:spacing w:lineRule="auto" w:line="288" w:before="0" w:after="180"/>
        <w:jc w:val="both"/>
        <w:rPr>
          <w:rFonts w:ascii="Times New Roman;serif" w:hAnsi="Times New Roman;serif"/>
          <w:b/>
          <w:i/>
          <w:color w:val="000000"/>
          <w:sz w:val="20"/>
        </w:rPr>
      </w:pPr>
      <w:bookmarkStart w:id="126" w:name="i7bf787b5b9df4b7cb59adce8d7dd0111"/>
      <w:bookmarkEnd w:id="126"/>
      <w:r>
        <w:rPr>
          <w:rFonts w:ascii="Times New Roman;serif" w:hAnsi="Times New Roman;serif"/>
          <w:b/>
          <w:i/>
          <w:color w:val="000000"/>
          <w:sz w:val="20"/>
        </w:rPr>
        <w:t>U.S. Federal Income Tax Consequences of the Company Merger Failing to Qualify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were to fail to qualify as a reorganization within the meaning of Section 368(a) of the Code, then a U.S. CHMI Stockholder generally would recognize gain or loss, as applicable, equal to the difference between: the sum of the fair market value of MITT Stock, such holder’s share of the aggregate Per Share MITT Cash Consideration and the aggregate Per Share Additional Manager Consideration, and cash in lieu of any fractional shares of MITT Common Stock received by the CHMI stockholder in the Company Merger; and the U.S. CHMI stockholder’s adjusted tax basis in its CHMI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so long as CHMI qualified as a REIT at the time of the Company Merger, CHMI generally would not incur a U.S. federal income tax liability so long as CHMI has made distributions (which would be deemed to include for this purpose the fair market value of MITT Stock issued pursuant to the Company Merger) to CHMI stockholders in an amount at least equal to the net income or gain on the deemed sale of its assets to MITT and any other REIT taxable income recognized by it during the taxable year of the Company Merger. In the event that such distributions were not sufficient to eliminate all of CHMI’s taxable income recognized as a result of the deemed sale of its assets to MITT and any other REIT taxable income recognized by it during the taxable year of the Company Merger, MITT would be liable for any remaining tax owed by CHMI as a result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and CHMI did not qualify as a REIT at the time of the Company Merger, CHMI would generally recognize gain or loss on the deemed transfer of its assets to MITT, and MITT could be liable for a very significant current tax liability and may be unable to qualify as a REIT.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76"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Reporting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U.S. CHMI Stockholders who receive MITT Stock as a result of the Company Merger will be required to retain records pertaining to the Company Merger. Each CHMI stockholder who is required to file a U.S. tax return and who is a “significant holder” that receives MITT Stock in the Company Merger will be required to file a statement with the holder’s U.S. federal income tax return setting forth such holder’s basis in the CHMI Stock surrendered and the fair market value of the MITT Stock, such holder’s share of the aggregate Per Share MITT Cash Consideration and the aggregate Per Share Additional Manager Consideration, and cash in lieu of any fractional shares of MITT Stock received in the Company Merger. A significant holder is a CHMI stockholder who, immediately before the Company Merger, owned at least 5% of the outstanding stock of CHMI. </w:t>
      </w:r>
    </w:p>
    <w:p>
      <w:pPr>
        <w:pStyle w:val="TextBody"/>
        <w:bidi w:val="0"/>
        <w:spacing w:lineRule="auto" w:line="288" w:before="0" w:after="180"/>
        <w:jc w:val="both"/>
        <w:rPr>
          <w:rFonts w:ascii="Times New Roman;serif" w:hAnsi="Times New Roman;serif"/>
          <w:b/>
          <w:i/>
          <w:color w:val="000000"/>
          <w:sz w:val="20"/>
        </w:rPr>
      </w:pPr>
      <w:bookmarkStart w:id="127" w:name="i07cc19b6bf184d83b4a7e50a9c102c96"/>
      <w:bookmarkEnd w:id="127"/>
      <w:r>
        <w:rPr>
          <w:rFonts w:ascii="Times New Roman;serif" w:hAnsi="Times New Roman;serif"/>
          <w:b/>
          <w:i/>
          <w:color w:val="000000"/>
          <w:sz w:val="20"/>
        </w:rPr>
        <w:t>Backup Withholding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Certain U.S. CHMI Stockholders may be subject to backup withholding of U.S. federal income tax with respect to any cash received pursuant to the Company Merger. Backup withholding generally will not apply, however, to a U.S. CHMI Stockholder that furnishes a correct taxpayer identification number and certifies that it is not subject to backup withholding on IRS Form W-9 or is otherwise exempt from backup withholding and provides appropriate proof of the applicable exemption. Backup withholding is not an additional tax, and any amounts withheld will be allowed as a refund or credit against the holder’s U.S. federal income tax liability, if any,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holder timely furnishes the required information to the IRS.</w:t>
      </w:r>
    </w:p>
    <w:p>
      <w:pPr>
        <w:pStyle w:val="TextBody"/>
        <w:bidi w:val="0"/>
        <w:spacing w:lineRule="auto" w:line="288" w:before="0" w:after="180"/>
        <w:jc w:val="both"/>
        <w:rPr>
          <w:rFonts w:ascii="Times New Roman;serif" w:hAnsi="Times New Roman;serif"/>
          <w:b/>
          <w:i/>
          <w:color w:val="000000"/>
          <w:sz w:val="20"/>
        </w:rPr>
      </w:pPr>
      <w:bookmarkStart w:id="128" w:name="iee8cec473a78477aae26f245a2fbe02d"/>
      <w:bookmarkEnd w:id="128"/>
      <w:r>
        <w:rPr>
          <w:rFonts w:ascii="Times New Roman;serif" w:hAnsi="Times New Roman;serif"/>
          <w:b/>
          <w:i/>
          <w:color w:val="000000"/>
          <w:sz w:val="20"/>
        </w:rPr>
        <w:t>Tax Opinion from Counsel Regarding REIT Qualification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MITT to complete the Closing and effect the Mergers that MITT receive an opinion of Mayer Brown LLP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The opinion of Mayer Brown LLP will be subject to customary exceptions, assumptions and qualifications and will be based on representations made by CHMI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CHMI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CHMI will satisfy such requirements for qualification and taxation as a REIT under the Code for any particular taxable year.</w:t>
      </w:r>
    </w:p>
    <w:p>
      <w:pPr>
        <w:pStyle w:val="TextBody"/>
        <w:bidi w:val="0"/>
        <w:spacing w:lineRule="auto" w:line="288" w:before="0" w:after="180"/>
        <w:jc w:val="both"/>
        <w:rPr>
          <w:rFonts w:ascii="Times New Roman;serif" w:hAnsi="Times New Roman;serif"/>
          <w:b/>
          <w:i/>
          <w:color w:val="000000"/>
          <w:sz w:val="20"/>
        </w:rPr>
      </w:pPr>
      <w:bookmarkStart w:id="129" w:name="i4233e135106f4c9fba3d3868106b1c96"/>
      <w:bookmarkEnd w:id="129"/>
      <w:r>
        <w:rPr>
          <w:rFonts w:ascii="Times New Roman;serif" w:hAnsi="Times New Roman;serif"/>
          <w:b/>
          <w:i/>
          <w:color w:val="000000"/>
          <w:sz w:val="20"/>
        </w:rPr>
        <w:t>Tax Opinion from Counsel Regarding REIT Qualification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CHMI to complete the Company Merger that CHMI receive an opinion of Hunton Andrews Kurth LLP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MITT’s proposed method of organization and operation will enable MITT to continue to satisfy the requirements for qualification and taxation as a REIT under the Code. The opinion of Hunton Andrews Kurth LLP will be subject to customary exceptions, assumptions and qualifications and will be based on representations made by MITT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MITT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MITT will satisfy such requirements for qualification and taxation as a REIT under the Code for any particular taxable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77"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30" w:name="i788f5771ae4d4ba9abe33d007317bd55"/>
      <w:bookmarkEnd w:id="130"/>
      <w:r>
        <w:rPr>
          <w:rFonts w:ascii="Times New Roman;serif" w:hAnsi="Times New Roman;serif"/>
          <w:b/>
          <w:color w:val="000000"/>
          <w:sz w:val="20"/>
        </w:rPr>
        <w:t>Taxation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elected to be taxed as a REIT under Sections 856 through 860 of the Code commencing with its taxable year ended on December 31, 2011. MITT believes that it is organized and has operated and will continue to operate in such a manner as to qualify for taxation as a REIT under the U.S. federal income tax laws, but no assurances can be given that it will operate in a manner so as to remain qualified as a REIT. This section discusses the laws governing the U.S. federal income tax treatment of a REIT and its stockholders. These laws are highly technical and complex. The following discussion is qualified in its entirety by the applicable Code provisions, rules and regulations promulgated thereunder, and administrative interpretations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in connection with the Company Merger, Hunton Andrews Kurth LLP will issue an opinion regarding the REIT qualification of MITT. Investors should be aware that Hunton Andrews Kurth LLP’s opinion is based upon customary assumptions, is conditioned upon certain representations made by MITT as to factual matters, including representations regarding the nature of its assets and the conduct of its business, is not binding upon the IRS or any court, and speaks as of the date issued. In addition, Hunton Andrews Kurth LLP’s opinion is based on existing U.S. federal income tax law governing qualification as a REIT, which is subject to change either prospectively or retroactively. Moreover, MITT’s qualification and taxation as a REIT depends upon its ability to meet on a continuing basis, through actual annual operating results, certain qualification tests set forth in the U.S. federal income tax laws. Those qualification tests involve the percentage of income that it earns from specified sources, the percentage of its assets that fall within specified categories, the diversity of its stock ownership, and the percentage of its earnings that it distributes. Hunton Andrews Kurth LLP will not review MITT’s compliance with those tests on a continuing basis. Accordingly, given the complex nature of the rules governing REITs, the ongoing importance of factual determinations, including the potential tax treatment of the investments MITT makes, and the possibility of future changes in its circumstances, no assurance can be given that its actual results of operations for any particular taxable year will satisfy such requirements. In addition, MITT will be required to make estimates of, or otherwise determine the value of, its assets and the collateral for its assets, and the values of some assets may not be susceptible to a precise determination. There can be no assurance that the IRS would not challenge its valuations or valuation estimates of its assets or collateral. Hunton Andrews Kurth LLP’s opinion does not foreclose the possibility that MITT may have to use one or more of the REIT savings provisions discussed below, which could require it to pay an excise or penalty tax (which could be material) in order for it to maintain its REIT qualification. For a discussion of the tax consequences of MITT’s failure to qualify as a REIT,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qualifies as a REIT, it generally will not be subject to U.S. federal income tax on its net taxable income that it currently distributes to its stockholders, but taxable income generated by any domestic taxable REIT subsidiaries, or TRSs, will be subject to regular corporate income tax. However, MITT will be subject to U.S. federal tax in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U.S. federal income tax on its net taxable income, including net capital gain, that it does not distribute to stockholders during, or within a specified time period after, the calendar year in which the income is earned.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income tax at the highest corporate rate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onet income from the sale or other disposition of property acquired through foreclosure, or foreclosure property, that it holds primarily for sale to customers in the ordinary course of business,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non-qualifying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a 100% tax on net income earned from sales or other dispositions of property other than foreclosure property that it holds primarily for sale to customers in the ordinary course of business (as described below under “—Prohibited Transactions”).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78"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75% gross income test or the 95% gross income test, as described below under “—Gross Income Tests,” but nonetheless continues to qualify as a REIT because MITT meets other requirements, it will be subject to a 100% tax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greater of the amount by which it fails the 75% gross income test or the 95% gross income test, multiplied, in either case, by a fraction intended to reflect its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asset tests (other than a de minimis failure of the 5% asset test, the 10% vote test or the 10% value test, as described below under “—Asset Tests”), as long as the failure was due to reasonable cause and not to willful neglect, it disposes of the assets or otherwise complies with such asset tests within six months after the last day of the quarter in which it identifies such failure and it files a schedule with the IRS describing the assets that caused such failure, it will pay a tax equal to the greater of $50,000 or the highest income tax rate then applicable to U.S. corporations on the net income from the nonqualifying assets during the period in which MITT failed to satisfy such asset tests.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one or more requirements for REIT qualification, other than the gross income tests and the asset tests, and the failure was due to reasonable cause and not to willful neglect, MITT will be required to pay a penalty of $50,000 for each such failure as described below under “—Failure to Qualify.”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be required to pay monetary penalties to the IRS in certain circumstances, including if MITT fails to meet recordkeeping requirements intended to monitor its compliance with rules relating to the composition of a REIT’s stockholders, as described below in “—Requirements for Qualification.”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distribute during a calendar year at least the sum of: (i) 85% of its REIT ordinary income for the year, (ii) 95% of its REIT capital gain net income for the year and (iii) any undistributed taxable income from earlier periods, MITT will pay a 4% nondeductible excise tax on the excess of the required distribution over the amount it actually distributed, plus any retained amounts on which income tax has been paid at the corporate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elect to retain and pay income tax on its net long-term capital gain. In that case, a U.S. holder would be taxed on its proportionate share of MITT’s undistributed long-term capital gain (to the extent that MITT makes a timely designation of such gain to the stockholder) and would receive a credit or refund for its proportionate share of the tax MITT paid.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be subject to a 100% excise tax on transactions between it and a TRS that are not conducted on an arm’s-length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earnings of any domestic TRS will be subject to U.S. federal corporate income tax.</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acquires any asset from a corporation taxable under subchapter C of the Code in a merger or other transaction in which it acquires a basis in the asset that is determined by reference either to the corporation’s basis in the asset or to another asset, it will pay tax at the highest regular corporate rate applicable if it recognizes gain on the sale or disposition of the asset during the 5-year period after it acquires the asset. The amount of gain on which MITT will pay tax is the lesser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recognizes at the time of the sale or disposition,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would have recognized if it had sold the asset at the time it acquired the asset, assuming that the C corporation will not elect in lieu of this treatment to an immediate tax when the asset is acquired.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MITT owns a residual interest in a real estate mortgage investment conduit, or REMIC, it will be taxable at the highest corporate rate on the portion of any excess inclusion income that it derives from the REMIC residual interests equal to the percentage of its stock that is held in record name by “disqualified organizations.” Although the law is unclear, IRS guidance indicates that similar rules may apply to a REIT that owns an equity interest in a taxable mortgage pool. To the extent that MITT owns a REMIC residual interest or a taxable mortgage pool through a TRS, MITT will not be subject to this tax. A “disqualified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79"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MITT does not currently intend to hold REMIC residual interests or engage in financing activities that may result in treatment of MITT or a portion of its assets as a taxable mortgage pool. For a discussion of “excess inclusion income,” see “—Requirements for Qualification—Taxable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notwithstanding MITT’s qualification as a REIT, MITT may also have to pay certain state and local income taxes, because not all states and localities treat REITs in the same manner that they are treated for U.S. federal income tax purposes. Moreover, as further described below, any domestic TRS in which MITT owns an interest will be subject to federal, state and local corporate income tax on its taxable income. In addition, MITT may be subject to a variety of taxes other than U.S. federal income tax, including state and local franchise, property and other taxes and foreign taxes. MITT could also be subject to tax in situations and on transactions not presently contemplated.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1" w:name="iad93aebe196f48408c90b6557c9fec50"/>
      <w:bookmarkEnd w:id="131"/>
      <w:r>
        <w:rPr>
          <w:rFonts w:ascii="Times New Roman;serif" w:hAnsi="Times New Roman;serif"/>
          <w:b/>
          <w:color w:val="000000"/>
          <w:sz w:val="20"/>
        </w:rPr>
        <w:t>Requirements for Qualification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a corporation, trust or association that meets each of the following requirements: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 is managed by one or more trustees or directors.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2.Its beneficial ownership is evidenced by transferable shares or by transferable certificates of beneficial interest.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3.It would be taxable as a domestic corporation, but for the REIT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4.It is neither a financial institution nor an insurance company subject to special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5.At least 100 persons are beneficial owners (determined without reference to any rules of attribution) of its shares or ownership certificates.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6.Not more than 50% in value of its outstanding shares or ownership certificates is owned, directly or indirectly, by five or fewer individuals, which the U.S. federal income tax laws define to include certain entities, during the last half of any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7.It elects to be taxed as a REIT, or has made such election for a previous taxable year, and satisfies all relevant filing and other administrative requirements that must be met to elect and maintain REIT qualification.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8.It meets certain other qualification tests, described below, regarding the nature of its income and assets and the distribution of its income.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9.It uses the calendar year as its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10.It has no earnings and profits from any non‐REIT taxable year at the close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must meet requirements one through four, eight and nine during its entire taxable year and must meet requirement five during at least 335 days of a taxable year of twelve months, or during a proportionate part of a taxable year of less than twelve months. Requirements five and six need not be met during a corporation’s initial tax year as a REIT. If MITT complies with all the requirements for ascertaining the ownership of its outstanding stock in a taxable year and has no reason to know that it violated requirement six, MITT will be deemed to have satisfied requirement six for that taxable year. For purposes of determining stock ownership under requirement six, an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80"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MITT Stock in proportion to their actuarial interests in the trust for purposes of requirement six.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it has issued capital stock with sufficient diversity of ownership to satisfy requirements five and six. In addition, MITT’s charter restricts the ownership and transfer of its stock so that it should continue to satisfy these requirements. These restrictions, however, may not ensure that MITT will, in all cases, be able to satisfy these stock ownership requirements. If MITT fails to satisfy these stock ownership requirements, its qualification as a REIT may terminate. The provisions of MITT’s charter restricting the ownership and transfer of the stock are described in “Description of MITT Capital Stock—Restrictions on Transfer.”</w:t>
      </w:r>
    </w:p>
    <w:p>
      <w:pPr>
        <w:pStyle w:val="TextBody"/>
        <w:bidi w:val="0"/>
        <w:spacing w:lineRule="auto" w:line="288" w:before="0" w:after="180"/>
        <w:ind w:left="0" w:right="0" w:firstLine="720"/>
        <w:jc w:val="both"/>
        <w:rPr/>
      </w:pPr>
      <w:r>
        <w:rPr>
          <w:rFonts w:ascii="Times New Roman;serif" w:hAnsi="Times New Roman;serif"/>
          <w:b w:val="false"/>
          <w:color w:val="000000"/>
          <w:sz w:val="20"/>
        </w:rPr>
        <w:t>To monitor compliance with the stock ownership requirements, MITT generally is required to maintain records regarding the actual ownership of MITT Stock. To do so, MITT must demand written statements each year from the record holders of significant percentages of its stock pursuant to which the record holders must disclose the actual owners of the shares (</w:t>
      </w:r>
      <w:r>
        <w:rPr>
          <w:rFonts w:ascii="Times New Roman;serif" w:hAnsi="Times New Roman;serif"/>
          <w:b w:val="false"/>
          <w:i/>
          <w:color w:val="000000"/>
          <w:sz w:val="20"/>
        </w:rPr>
        <w:t>i.e.</w:t>
      </w:r>
      <w:r>
        <w:rPr>
          <w:rFonts w:ascii="Times New Roman;serif" w:hAnsi="Times New Roman;serif"/>
          <w:b w:val="false"/>
          <w:color w:val="000000"/>
          <w:sz w:val="20"/>
        </w:rPr>
        <w:t>, the persons required to include its dividends in their gross income). MITT must maintain a list of those persons failing or refusing to comply with this demand as part of its records. MITT could be subject to monetary penalties if it fails to comply with these record-keeping requirements. If you fail or refuse to comply with the demands, you will be required by Treasury Regulations to submit a statement with your tax return disclosing your actual ownership of MITT Stock and other information. In addition, MITT must satisfy all relevant filing and other administrative requirements that must be met to elect and maintain REIT qualification, use a calendar year for U.S. federal income tax purposes and comply with the record keeping requirements of the Code and regulations promulgated thereunder. MITT intends to continue to comply with these requirements.</w:t>
      </w:r>
    </w:p>
    <w:p>
      <w:pPr>
        <w:pStyle w:val="TextBody"/>
        <w:bidi w:val="0"/>
        <w:spacing w:lineRule="auto" w:line="288" w:before="0" w:after="180"/>
        <w:jc w:val="both"/>
        <w:rPr>
          <w:rFonts w:ascii="Times New Roman;serif" w:hAnsi="Times New Roman;serif"/>
          <w:b/>
          <w:i/>
          <w:color w:val="000000"/>
          <w:sz w:val="20"/>
        </w:rPr>
      </w:pPr>
      <w:bookmarkStart w:id="132" w:name="i9fb072d8e49f41c58d8443d32b70b83c"/>
      <w:bookmarkEnd w:id="132"/>
      <w:r>
        <w:rPr>
          <w:rFonts w:ascii="Times New Roman;serif" w:hAnsi="Times New Roman;serif"/>
          <w:b/>
          <w:i/>
          <w:color w:val="000000"/>
          <w:sz w:val="20"/>
        </w:rPr>
        <w:t>Qualified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corporation that is a “qualified REIT subsidiary” is disregarded as a corporation separate from its parent REIT for U.S. federal income tax purposes. All assets, liabilities, and items of income, deduction, and credit of a qualified REIT subsidiary are treated as assets, liabilities, and items of income, deduction, and credit of the REIT. A qualified REIT subsidiary is a corporation, other than a TRS, all of the capital stock of which is owned, directly or indirectly, by the REIT. Thus, in applying the requirements described herein, any qualified REIT subsidiary that MITT owns will be ignored, and all assets, liabilities, and items of income, deduction, and credit of such subsidiary will be treated as its assets, liabilities, and items of income, deduction, and credit.</w:t>
      </w:r>
    </w:p>
    <w:p>
      <w:pPr>
        <w:pStyle w:val="TextBody"/>
        <w:bidi w:val="0"/>
        <w:spacing w:lineRule="auto" w:line="288" w:before="0" w:after="180"/>
        <w:jc w:val="both"/>
        <w:rPr>
          <w:rFonts w:ascii="Times New Roman;serif" w:hAnsi="Times New Roman;serif"/>
          <w:b/>
          <w:i/>
          <w:color w:val="000000"/>
          <w:sz w:val="20"/>
        </w:rPr>
      </w:pPr>
      <w:bookmarkStart w:id="133" w:name="id74e02fab8244129aab23389c180a38c"/>
      <w:bookmarkEnd w:id="133"/>
      <w:r>
        <w:rPr>
          <w:rFonts w:ascii="Times New Roman;serif" w:hAnsi="Times New Roman;serif"/>
          <w:b/>
          <w:i/>
          <w:color w:val="000000"/>
          <w:sz w:val="20"/>
        </w:rPr>
        <w:t>Other Disregarded Entities and Partnerships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unincorporated domestic entity, such as a partnership or limited liability company, that has a single owner for U.S. federal income tax purposes generally is not treated as an entity separate from its parent for U.S. federal income tax purposes, including for purposes of the REIT gross income and asset tests. An unincorporated domestic entity with two or more owners for U.S. federal income tax purposes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MITT’s proportionate share of the assets, liabilities, and items of income of any partnership, joint venture, or limited liability company that is treated as a partnership for U.S. federal income tax purposes in which MITT acquires an interest, directly or indirectly, will be treated as its assets and gross income for purposes of applying the various REIT qualification requirements. MITT’s proportionate share for purposes of the 10% value test (see “—Asset Tests”), MITT’s proportionate share is based on its proportionate interest in the equity interests and certain debt securities issued by the partnership. For all of the other asset and income tests, MITT’s proportionate share is based on its proportionate interest in the capital interests in the partnership.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 disregarded subsidiary of MITT ceases to be wholly-owned—for example, if any equity interest in the subsidiary is acquired by a person other than MITT or another disregarded subsidiary of MITT—the subsidiary’s separate existence would no longer be disregarded for U.S. federal income tax purposes. Instead,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81"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subsidiary would have multiple owners for U.S. federal income tax purposes and would be treated as either a partnership or a taxable corporation (if previously a qualified REIT subsidiary). Such an event could, depending on the circumstances, adversely affect MITT’s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currently owns, and may in the future acquire, limited partner or non-managing member interests in partnerships and limited liability companies that are joint ventures or investment funds. If a partnership or limited liability company in which MITT owns an interest takes or expects to take actions that could jeopardize its qualification as a REIT or require it to pay tax, MITT may be forced to dispose of its interest in such entity. In addition, it is possible that a partnership or limited liability company could take an action that could cause MITT to fail a REIT gross income or asset test, and that MITT would not become aware of such action in time to dispose of its interest in the partnership or limited liability company or take other corrective action on a timely basis. In that case, MITT could fail to qualify as a REIT unless MITT is able to qualify for a statutory REIT “savings” provision, which may require MITT to pay a significant penalty tax to maintain its REIT qualification.</w:t>
      </w:r>
    </w:p>
    <w:p>
      <w:pPr>
        <w:pStyle w:val="TextBody"/>
        <w:bidi w:val="0"/>
        <w:spacing w:lineRule="auto" w:line="288" w:before="0" w:after="180"/>
        <w:jc w:val="both"/>
        <w:rPr>
          <w:rFonts w:ascii="Times New Roman;serif" w:hAnsi="Times New Roman;serif"/>
          <w:b/>
          <w:i/>
          <w:color w:val="000000"/>
          <w:sz w:val="20"/>
        </w:rPr>
      </w:pPr>
      <w:bookmarkStart w:id="134" w:name="i180fca799a04422a8333467ad0254c8f"/>
      <w:bookmarkEnd w:id="134"/>
      <w:r>
        <w:rPr>
          <w:rFonts w:ascii="Times New Roman;serif" w:hAnsi="Times New Roman;serif"/>
          <w:b/>
          <w:i/>
          <w:color w:val="000000"/>
          <w:sz w:val="20"/>
        </w:rPr>
        <w:t>Taxable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MITT generally may not own more than 10%, as measured by voting power or value, of the securities of a corporation that is not a qualified REIT subsidiary or a REIT unless MITT and such corporation elect to treat such corporation as a TRS. Overall, no more than 25% (20% for taxable years beginning before January 1, 2026) of the value of a REIT’s assets may consist of stock or securities of one or more TRSs.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separate existence of a TRS or other taxable corporation, unlike a disregarded subsidiary as discussed above, is not ignored for U.S. federal income tax purposes. Accordingly, a domestic TRS would generally be subject to U.S. federal, state and local corporate income tax on its earnings, which may reduce the cash flow generated by MITT and its subsidiaries in the aggregate and MITT’s ability to make distributions to its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asset and gross income tests,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or is deemed to receive from the TRS.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may otherwise preclude it from doing directly or through pass-through subsidiaries or render commercially unfeasible (for example, activities that give rise to certain categories of income such as nonqualifying hedging income or inventory sales).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restrictions imposed on TRSs are intended to ensure that such entities will be subject to appropriate levels of U.S. federal income taxation. For example, a TRS may be limited in its ability to deduct interest payments made in any year to an affiliated REIT to the extent that such payments exceed, generally, 30% of the TRS’s adjusted taxable income for that year (although the TRS may carry forward to, and deduct in, a succeeding year the disallowed interest amount if the 30%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Further, overall limitations on the deductibility of net interest expense by businesses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82"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apply to any TRS. MITT intends that all of its transactions with any TRS will be conducted on an arm’s‐length basis, but there can be no assurance that MITT will be successful in this regard. The ability of MITT’s TRSs to deduct interest expense may be limited under rules applicable to corporations generally.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elected to treat certain of its domestic and foreign subsidiaries as TRSs, and it may form or invest in other domestic or foreign TRSs in the future. MITT may hold a significant amount of its assets in its TRSs, subject to the limitation that securities of TRSs may not represent more than 25% (20% for taxable years beginning before January 1, 2026) of its assets. While MITT intends to manage its affairs so as to satisfy the requirement that no more than 25% (20% for taxable years beginning before January 1, 2026) of the value of its total assets consist of stock or securities of its TRSs, as well as the requirement that taxable income from its TRSs plus other non‐qualifying gross income not exceed 25% of its total gross income, there can be no assurance that MITT will be able to do so in all market circumstances.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domestic TRSs are fully subject to U.S. federal, state and local corporate income tax on their taxable income. To the extent that MITT’s TRSs pay any taxes, they will have less cash available for distribution to MITT. If dividends are paid by domestic TRSs to MITT, then the dividends MITT designates and pays to its stockholders who are taxed at individual rates, up to the amount of dividends that MITT receives from such entities, generally will be eligible to be taxed at the reduced 20% maximum U.S. federal rate applicable to qualified dividend income. See “—Taxation of U.S. Holders—Taxation of U.S. Holders on Distributions on MITT Common Stock.” In addition, losses in MITT’s TRSs generally will not provide any tax benefit, except for being carried forward against future TRS taxable income in the case of a domestic TRS.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TRS intends to operate in a manner that will not cause it to be subject to U.S. federal income tax.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MITT’s foreign TRS intends to rely on such exemption and does not intend to operate so as to be subject to U.S. federal income tax on its net income. Therefore, despite its status as a TRS, MITT’s foreign TRS generally will not be subject to U.S. federal corporate income tax on its earnings. No assurance can be given, however, that the IRS will not challenge this treatment. If the IRS were to succeed in such a challenge, then it could greatly reduce the amounts that MITT’s foreign TRS would have available to distribute to MITT and to pay to the foreign TRS’s creditors. Further, notwithstanding these rules, any gain recognized by a foreign corporation with respect to U.S. real property is subject to U.S. federal income tax as if the foreign corporation were a U.S. taxpayer. It is not anticipated that MITT’s foreign TRS will hold U.S. real property other than by foreclosure. Gain (if any) realized on foreclosed U.S. real property would be subject to U.S. federal income tax. Certain U.S. holders of certain non-U.S. corporations, such as MITT’s foreign TRS, are required to include in their income currently their proportionate share of the earnings of such a corporation, whether or not such earnings are distributed. MITT is generally required to include in income, on a current basis, the earnings of its foreign TRS. For a discussion of the treatment of the income inclusions from MITT’s foreign TRS under the gross income tests, see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formed a TRS in order to protect, or “block,” certain stockholders from certain types of taxable income that could be detrimental to it, including “excess inclusion income,” a form of taxable income which can be generated by REMIC residual interests and “taxable mortgage pools,” as discussed in greater detail below. Specifically,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its stockholders.</w:t>
      </w:r>
    </w:p>
    <w:p>
      <w:pPr>
        <w:pStyle w:val="TextBody"/>
        <w:bidi w:val="0"/>
        <w:spacing w:lineRule="auto" w:line="288" w:before="0" w:after="180"/>
        <w:jc w:val="both"/>
        <w:rPr>
          <w:rFonts w:ascii="Times New Roman;serif" w:hAnsi="Times New Roman;serif"/>
          <w:b/>
          <w:i/>
          <w:color w:val="000000"/>
          <w:sz w:val="20"/>
        </w:rPr>
      </w:pPr>
      <w:bookmarkStart w:id="135" w:name="i1b663378cc8a446bba48f11fa376a5d8"/>
      <w:bookmarkEnd w:id="135"/>
      <w:r>
        <w:rPr>
          <w:rFonts w:ascii="Times New Roman;serif" w:hAnsi="Times New Roman;serif"/>
          <w:b/>
          <w:i/>
          <w:color w:val="000000"/>
          <w:sz w:val="20"/>
        </w:rPr>
        <w:t>Ownership of Subsidiary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each own the common shares of one or more subsidiary REITs, and MITT will become the owner of CHMI’s subsidiary REIT following the Company Merger. Each subsidiary REIT is also subject to the same various REIT qualification requirements and other limitations described herein that are applicable to MITT. MITT and CHMI each believe that their subsidiary REITs are organized and have operated and will continue to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83"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operate in a manner to permit it to qualify for taxation as a REIT for U.S. federal income tax purposes from and after the effective date of its REIT election. However, if a subsidiary REIT were to fail to qualify as a REIT, then (1) the subsidiary REIT would become subject to regular U.S. corporate income tax, as described herein, see “—Failure to Qualify” below, and (2) MITT’s ownership of shares in such subsidiary REITs would cease to be a qualifying real estate asset for purposes of the 75% asset test and would become subject to the 5% asset test, the 10% vote test, and the 10% value test generally applicable to MITT’s ownership in corporations other than REITs, qualified REIT subsidiaries and TRSs. See “—Asset Tests” below. If a subsidiary REIT were to fail to qualify as a REIT, it is possible that MITT would not meet the 10% vote test and the 10% value test with respect to its indirect interest in such entity, in which event MITT would fail to qualify as a REIT unless it could avail itself of certain relief provisions. While MITT believes that its subsidiary REITs will qualify as a REIT under the Code, MITT may join its subsidiary REITs in filing “protective” TRS elections with respect to the subsidiary REITs. MITT cannot assure you that such “protective” TRS elections would be effective to avoid adverse consequences to it. Moreover, even if the “protective” elections were to be effective, the subsidiary REITs would be subject to regular corporate income tax, and MITT cannot assure you that it would not fail to satisfy the requirement that not more than 25% (20% for taxable years beginning before January 1, 2026) of the value of its total assets may be represented by the securities of one or more TRSs, as well as the requirement that taxable income from its TRSs plus other non‐qualifying gross income not exceed 25% of its total gross income.</w:t>
      </w:r>
    </w:p>
    <w:p>
      <w:pPr>
        <w:pStyle w:val="TextBody"/>
        <w:bidi w:val="0"/>
        <w:spacing w:lineRule="auto" w:line="288" w:before="0" w:after="180"/>
        <w:jc w:val="both"/>
        <w:rPr>
          <w:rFonts w:ascii="Times New Roman;serif" w:hAnsi="Times New Roman;serif"/>
          <w:b/>
          <w:i/>
          <w:color w:val="000000"/>
          <w:sz w:val="20"/>
        </w:rPr>
      </w:pPr>
      <w:bookmarkStart w:id="136" w:name="i8b1bd07284574734ba7b094aaeb967e2"/>
      <w:bookmarkEnd w:id="136"/>
      <w:r>
        <w:rPr>
          <w:rFonts w:ascii="Times New Roman;serif" w:hAnsi="Times New Roman;serif"/>
          <w:b/>
          <w:i/>
          <w:color w:val="000000"/>
          <w:sz w:val="20"/>
        </w:rPr>
        <w:t>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entity, or a portion of an entity, that does not elect to be treated as a REMIC may be classified as a taxable mortgage pool under the Code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substantially all of its assets consist of debt obligations or interests in debt obligations;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more than 50% of those debt obligations are real estate mortgage loans or interests in real estate mortgage loans as of specified testing 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entity has issued debt obligations that have two or more maturities;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payments required to be made by the entity on its debt obligations “bear a relationship” to the payments to be received by the entity on the debt obligations that it holds as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taxable mortgage pool generally is treated as a corporation for U.S. federal income tax purposes and cannot be included in any consolidated U.S. federal corporate income tax return. However, if a REIT is a taxable mortgage pool, or if a REIT owns a qualified REIT subsidiary that is a taxable mortgage pool, the REIT or the qualified REIT subsidiary will not be taxable as a corporation, but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MITT’s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7" w:name="ibc529c59b8e8417f9bc204f187c54f72"/>
      <w:bookmarkEnd w:id="137"/>
      <w:r>
        <w:rPr>
          <w:rFonts w:ascii="Times New Roman;serif" w:hAnsi="Times New Roman;serif"/>
          <w:b/>
          <w:color w:val="000000"/>
          <w:sz w:val="20"/>
        </w:rPr>
        <w:t>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satisfy two gross income tests annually to maintain its qualification as a REIT. First, at least 75% of its gross income for each taxable year must consist of defined types of income that it derives, directly or indirectly, from investments relating to real property or mortgage loans on real property or qualified temporary investment income. Qualifying income for purposes of the 75% gross income test generally includes: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rents from real property;</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84"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 on debt secured by a mortgage on real property or on interests in real property and interest on debt secured by a mortgage on real property and personal property if the fair market value of such personal property does not exceed 15% of the total fair market value of all such property, and interest on qualified mezzanine loans;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dividends or other distributions on, and gain from the sale of, shares in other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gain from the sale of real estate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abatements and refunds on taxes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and gain derived from foreclosure property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amounts (other than amounts the determination of which depends in whole or in part on the income or profits of any person) received or accrued as consideration for entering into agreements (i) to make loans secured by mortgages on real property or on interests in real property or (ii) to purchase or lease real property (including interests in real property and interests in mortgages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a REMIC in proportion to the real estate assets held by the REMIC, unless at least 95% of the REMIC’s assets are real estate assets, in which case all of the income derived from the REMIC;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the temporary investment of new capital that is attributable to the issuance of its capital stock or a public offering of its debt with a maturity date of at least five years and that MITT received during the one-year period beginning on the date on which MITT received such new capital.</w:t>
      </w:r>
    </w:p>
    <w:p>
      <w:pPr>
        <w:pStyle w:val="TextBody"/>
        <w:bidi w:val="0"/>
        <w:spacing w:lineRule="auto" w:line="288" w:before="0" w:after="180"/>
        <w:ind w:left="0" w:right="0" w:firstLine="720"/>
        <w:jc w:val="both"/>
        <w:rPr/>
      </w:pPr>
      <w:r>
        <w:rPr>
          <w:rFonts w:ascii="Times New Roman;serif" w:hAnsi="Times New Roman;serif"/>
          <w:b w:val="false"/>
          <w:color w:val="000000"/>
          <w:sz w:val="20"/>
        </w:rPr>
        <w:t>Although a debt instrument issued by a “publicly offered REIT” (</w:t>
      </w:r>
      <w:r>
        <w:rPr>
          <w:rFonts w:ascii="Times New Roman;serif" w:hAnsi="Times New Roman;serif"/>
          <w:b w:val="false"/>
          <w:i/>
          <w:color w:val="000000"/>
          <w:sz w:val="20"/>
        </w:rPr>
        <w:t>i.e.</w:t>
      </w:r>
      <w:r>
        <w:rPr>
          <w:rFonts w:ascii="Times New Roman;serif" w:hAnsi="Times New Roman;serif"/>
          <w:b w:val="false"/>
          <w:color w:val="000000"/>
          <w:sz w:val="20"/>
        </w:rPr>
        <w:t>, a REIT that is required to file annual and periodic reports with the SEC under the Exchange Act) is treated as a “real estate asset” for the asset tests, the interest income and gain from the sale of such debt instruments is not treated as qualifying income for the 75% gross income test unless the debt instrument is secured by real property or an interest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Second, in general, at least 95% of MITT’s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and amounts included in MITT’s gross income, for U.S. federal income tax purposes, under (i) Section 951(a) of the Code (in respect of MITT’s ownership of an interest in a controlled foreign corporation (within the meaning of Section 957(a) of the Code)) and (ii) Section 1293(a) of the Code (in respect of MITT’s ownership of an interest in a passive foreign investment company (within the meaning of Section 1297(a)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income items do not qualify for either gross income test. Other types of income are excluded from both the numerator and denominator in one or both of the gross income tests. For example, gross income from MITT’s sale of property that it holds primarily for sale to customers in the ordinary course of business is excluded from both the numerator and the denominator in both income tests. Income and gain from “hedging transactions,” as defined below in “—Hedging Transactions,” will be excluded from both the numerator and the denominator for purposes of both the 75% and 95% gross income tests. In addition, certain foreign currency gains will be excluded from gross income for purposes of one or both of the gross income tests. See “—Foreign Currency Gain.” Finally, gross income attributable to cancellation of indebtedness, or COD, income will be excluded from both the numerator and the denominator for purposes of both of the gross income tests. For purposes of the 75% and 95% gross income tests, MITT is treated as receiving its proportionate share of the gross income of any partnership or disregarded entity it owns. MITT will monitor the amount of its non-qualifying income and will seek to manage its investment portfolio to comply at all times with the gross income tests, but MITT cannot assure you that it will be successful in this effort. The following paragraphs discuss the specific application of the gross income tests to MITT.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85"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38" w:name="i150062614bb7473d9c19f01db7ccb5d5"/>
      <w:bookmarkEnd w:id="138"/>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share of any dividends received from any corporation (including dividends from its domestic TRSs, but excluding any REIT) in which MITT owns an equity interest will qualify for purposes of the 95% gross income test but not for purposes of the 75% gross income test. MITT’s share of any dividends received from any other REIT in which it owns an equity interest, if any, will be qualifying income for purposes of both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Revenue Procedure 2018-48, MITT treats certain income inclusions received with respect to equity investments in foreign TRSs as qualifying income for purposes of the 95% gross income test but not the 75% gross income test.</w:t>
      </w:r>
    </w:p>
    <w:p>
      <w:pPr>
        <w:pStyle w:val="TextBody"/>
        <w:bidi w:val="0"/>
        <w:spacing w:lineRule="auto" w:line="288" w:before="0" w:after="180"/>
        <w:jc w:val="both"/>
        <w:rPr>
          <w:rFonts w:ascii="Times New Roman;serif" w:hAnsi="Times New Roman;serif"/>
          <w:b/>
          <w:i/>
          <w:color w:val="000000"/>
          <w:sz w:val="20"/>
        </w:rPr>
      </w:pPr>
      <w:bookmarkStart w:id="139" w:name="i8c35b719afcd4281a14f3a18fe003f0a"/>
      <w:bookmarkEnd w:id="139"/>
      <w:r>
        <w:rPr>
          <w:rFonts w:ascii="Times New Roman;serif" w:hAnsi="Times New Roman;serif"/>
          <w:b/>
          <w:i/>
          <w:color w:val="000000"/>
          <w:sz w:val="20"/>
        </w:rPr>
        <w:t>Interest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“interest,” as defined for purposes of both gross income tests, generally excludes any amount that is based in whole or in part on the income or profits of any person. However, interest generally includes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a fixed percentage or percentages of receipts or sales;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property is not inventory or dealer property in the hands of the borrower or the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except to the extent described below,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MITT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interest income attributable to the portion of the principal amount of the loan that is not secured by real property—that is, the amount by which the loan exceeds the value of the real estate that is security for the loan. IRS guidance provides that MITT does not need to redetermine the fair market value of the real property securing a loan in connection with a loan modification that is occasioned by a borrower default or made at a time when MITT reasonably believes that the modification to the loan will substantially reduce a significant risk of default on the original loan. In addition, in the case of a loan that is secured by both real property and personal property, if the fair market value of such personal property does not exceed 15% of the total fair market value of all such property securing the loan, then the personal property securing the loan will be treated as real property for purposes of determining whether the interest on such loan is qualifying income for purposes of the 75% gross income test.</w:t>
      </w:r>
    </w:p>
    <w:p>
      <w:pPr>
        <w:pStyle w:val="TextBody"/>
        <w:bidi w:val="0"/>
        <w:spacing w:lineRule="auto" w:line="288" w:before="0" w:after="180"/>
        <w:ind w:left="0" w:right="0" w:firstLine="720"/>
        <w:jc w:val="both"/>
        <w:rPr/>
      </w:pPr>
      <w:r>
        <w:rPr>
          <w:rFonts w:ascii="Times New Roman;serif" w:hAnsi="Times New Roman;serif"/>
          <w:b w:val="false"/>
          <w:color w:val="000000"/>
          <w:sz w:val="20"/>
        </w:rPr>
        <w:t>MITT owns RMBS, including non-Agency RMBS and Agency RMBS that are pass-through certificates, Agency RMBS that are CMOs, CMBS, ABS,</w:t>
      </w:r>
      <w:r>
        <w:rPr>
          <w:color w:val="000000"/>
        </w:rPr>
        <w:t xml:space="preserve"> </w:t>
      </w:r>
      <w:r>
        <w:rPr>
          <w:rFonts w:ascii="Times New Roman;serif" w:hAnsi="Times New Roman;serif"/>
          <w:b w:val="false"/>
          <w:color w:val="000000"/>
          <w:sz w:val="20"/>
        </w:rPr>
        <w:t xml:space="preserve">residential and commercial loans and excess MSRs. Other than income from derivative instruments, as described below, MITT expects that all of the income of its RMBS, Agency RMBS that are CMOs, CMBS, commercial and residential mortgage loans, and excess MSRs will be qualifying income for purposes of the 95% gross income test. MITT expects that the Agency RMBS that are pass-through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86"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certificates will be treated as interests in a grantor trust for U.S. federal income tax purposes. Consequently, MITT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Although the IRS has ruled generally that the interest income from Agency RMBS is qualifying income for purposes of the 75% gross income test, it is not clear how this guidance would apply to secondary market purchases of Agency RMBS at a time when the loan-to-value ratio of one or more of the mortgage loans backing the Agency RMBS is greater than 100%. MITT expects that substantially all of its income from Agency RMBS will be qualifying income for the 75% gross income test. MITT expects that any Agency RMBS that are CMOs, non-Agency RMBS, and CMBS generally will be treated as interests in REMICs for U.S. federal income tax purposes. Income derived from REMIC interests generally will be treated as qualifying income for purposes of the 75% gross income test. If less than 95% of the assets of the REMIC are real estate assets, however, then only a proportionate part of MITT’s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Interest income from residential and commercial mortgage loans will be qualifying income for purposes of the 75% gross income test to the extent that the loan is secured by real property, as discussed above. MITT expects that the interest income from investments in ABS and any non-Agency RMBS and CMBS that are not interests in a REMIC will not be qualifying income for the 75% gross income test.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acquire participation interests, or subordinated mortgage interests, in mortgage loans and mezzanine loans.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MITT anticipates any participation interests it acquires will qualify as real estate assets for purposes of the REIT asset tests described below and that interest derived from such investments will be treated as qualifying interest for purposes of the 75% gross income test. The appropriate treatment of participation interests for U.S. federal income tax purposes is not certain, and no assurance can be given that the IRS will not challenge MITT’s treatment of any participation interests it acquires.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purchase and sell in the future, Agency RMBS through forward contracts, or “TBAs,” and may recognize income or gains on the disposition of those TBAs, through dollar roll transactions or otherwise.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MITT treats income and gains from its TBAs under which it contracts to purchase a to‐be‐announced Agency MBS, which we refer to as “long TBAs” as qualifying income for purposes of the 75% gross income test, based on an opinion of Hunton Andrews Kurth LLP substantially to the effect that, for purposes of the 75% gross income test, any gain recognized by MITT in connection with the settlement of its long TBAs should be treated as gain from the sale or disposition of an interest in mortgages on real property. The opinion of Hunton Andrews Kurth LLP is based on various assumptions related to MITT’s long TBAs and is conditioned on fact‐based representations and covenants made by MITT’s management regarding MITT’s long TBAs. No assurance can be given that the IRS would not assert that MITT’s income and gain from TBAs is not qualifying income. If the IRS were to successfully challenge the opinion of Hunton Andrews Kurth LLP, MITT could be subject to a penalty tax or it could fail to qualify as a REIT if such income and any non-qualifying income exceeds 25% of its gross income.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own interests in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the ownership interests in a partnership or limited liability company owning real property will be treated as real estate assets for purposes of the REIT asset tests described below, and interest derived from those loans will be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87"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treated as qualifying income for both the 75% and 95% gross income tests, provided several requirements are satisfied. Although the Revenue Procedure provides a safe harbor on which taxpayers may rely, it does not prescribe rules of substantive tax law. Moreover, MITT’s mezzanine loans may not meet all of the requirements for reliance on the safe harbor. To the extent any mezzanine loans that MITT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In the event that MITT owns a mezzanine loan or similar debt that does not meet the safe harbor, the IRS could challenge the treatment of the income from such loan or debt as qualifying income for the 75% gross income test and, if such a challenge were sustained, MITT could fail to qualify as a REIT. MITT intends to invest in mezzanine loans in a manner that will enable it to continue to satisfy the REIT gross income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also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Accordingly, a distressed mortgage loan that is secured by real property and other property may produce a significant amount of non-qualifying income for purposes of the 75% gross income test once the loan increases in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applicable Treasury Regulations require the apportionment of interest for purposes of the 75% gross income test only if the mortgage loan in question is secured by both real property and other property. MITT believes that all or most of its distressed residential mortgage loans are secured only by real property and no other property value will be taken into account in its underwriting process. Accordingly, MITT does not own and does not anticipate regularly investing in residential mortgage loans to which the interest apportionment rules described above would apply, but MITT may acquire commercial real estate loans to which the interest apportionment rules may apply. It is unclear how the interest apportionment rules are affected by the recent legislative changes regarding the treatment of loans secured by both real property and personal property where the fair market value of the personal property does not exceed 15% of the sum of the fair market values of the real property and personal property securing the loan. If the IRS were to assert successfully that MITT’s distressed residential mortgage loans were secured by property other than real property, then a significant portion of MITT’s interest income from any distressed residential mortgage loans it owns could be treated as non-qualifying income for the 75% gross income test, which could cause it to fail to satisfy that test. If MITT did not satisfy the 75% gross income test, MITT could fail to qualify as a REIT or be required to pay a penalty to the IRS. MITT intends to invest in distressed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modify the term of its residential or commercial mortgage loans. Under the Code, if the terms of a loan are modified in a manner constituting a “significant modification,” such modification triggers a deemed exchange of the original loan for the modified loan. Revenue Procedure 2014-51 provides a safe harbor pursuant to which MITT will not be required to redetermine the fair market value of the real property securing a loan for purposes of the gross income and asset tests in connection with a loan modification that is (i) occasioned by a borrower default or (ii) made at a time when MITT reasonably believes that the modification to the loan will substantially reduce a significant risk of default on the original loan. To the extent MITT significantly modifies loans in a manner that does not qualify for that safe harbor, MITT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MITT’s interest in the loan being treated as a nonqualifying asset for the 75% asset test. In determining the value of the real property securing such a loan, MITT generally will not obtain third-party appraisals but rather will rely on internal valuations.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also invested in excess MSRs, which represent the portion of the servicing fee paid to mortgage servicers in excess of the reasonable compensation that would be charged for mortgage servicing in an arm’s-length transaction. In private letter rulings issued to other taxpayers, the IRS ruled substantially to the effect that interest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88"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received in respect of an excess MSR will be considered interest on obligations secured by mortgages on real property for purposes of the 75% gross income test. Private letter rulings cannot be relied upon by persons other than the taxpayer to which they were issued. Nonetheless, MITT intends to treat income from its excess MSRs that have terms consistent with those described in the private letter rulings (namely, excess MSRs (A) from which the income does not depend in whole or in part on the income or profits of the mortgage servicers, and (B) that MITT treats as “stripped bonds” that are ownership interests in the mortgages underlying such excess MSRs, providing MITT rights to the interest income generated by such mortgages) as qualifying income for purposes of the 75% gross income test. In the event that such income were determined not to be qualifying for the 75% gross income test, MITT could be subject to a penalty tax or MITT could fail to qualify as a REIT if such income together with its non-qualifying income for the 75% gross income test exceeds 25% of its gross income for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opportunistically in other types of mortgage and real estate‐related assets. To the extent MITT invests in such assets, it intends to do so in a manner that will enable it to satisfy the 75% and 95% gross income tests described above.</w:t>
      </w:r>
    </w:p>
    <w:p>
      <w:pPr>
        <w:pStyle w:val="TextBody"/>
        <w:bidi w:val="0"/>
        <w:spacing w:lineRule="auto" w:line="288" w:before="0" w:after="180"/>
        <w:jc w:val="both"/>
        <w:rPr>
          <w:rFonts w:ascii="Times New Roman;serif" w:hAnsi="Times New Roman;serif"/>
          <w:b/>
          <w:i/>
          <w:color w:val="000000"/>
          <w:sz w:val="20"/>
        </w:rPr>
      </w:pPr>
      <w:bookmarkStart w:id="140" w:name="ia5081db2f66044a1943dfba1b29e2743"/>
      <w:bookmarkEnd w:id="140"/>
      <w:r>
        <w:rPr>
          <w:rFonts w:ascii="Times New Roman;serif" w:hAnsi="Times New Roman;serif"/>
          <w:b/>
          <w:i/>
          <w:color w:val="000000"/>
          <w:sz w:val="20"/>
        </w:rPr>
        <w:t>Hedging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MITT may enter into hedging transactions with respect to one or more of its assets or liabilities. MITT’s hedging activities may include entering into interest rate swaps, caps, and floors, options to purchase these items, short U.S. treasury positions, futures and forward contracts, short TBAs, and currency forward contracts. Income and gain from “hedging transactions” will be excluded from gross income for purposes of both the 75% and 95% gross income tests provided MITT satisfies the identification requirements and other requirements discussed below. A “hedging transaction” includes (i) any transaction entered into in the normal course of MITT’s trade or business primarily to manage the risk of interest rate changes, price changes, or currency fluctuations with respect to borrowings made or to be made, or ordinary obligations incurred or to be incurred, to acquire or carry real estate assets, or a “liability hedge,” which is clearly identified as specified in Treasury Regulations before the close of the day on which it was acquired, originated or entered into, including gain from the sale or disposition of such a transaction, (ii) any transaction entered into primarily to manage risk of currency fluctuations with respect to any item of income or gain that is qualifying income for purposes of the 75% or 95% gross income test (or any property which generates such income or gain) or (iii) any transaction entered into to “offset” a transaction described in (i) or (ii) if a portion of the hedged indebtedness is extinguished or the related property is disposed. MITT is required to clearly identify any such hedging transaction before the close of the day on which it was acquired, originated, or entered into and satisfy other identification requirements. To the extent that MITT hedges for other purposes, or to the extent that a portion of the hedged assets are not treated as “real estate assets” (as described below under “—Asset Tests”) or MITT enters into derivative transactions that are not liability hedges, or MITT fails to satisfy the identification requirements with respect to a hedging transaction, the income from those transactions will likely be treated as nonqualifying income for purposes of both gross income tests, and thus cannot exceed 5% of MITT’s annual gross income. MITT intends to structure any hedging transactions in a manner that does not jeopardize MITT’s qualification as a REIT. MITT may conduct some or all of MITT’s hedging activities through a TRS or other corporate entity, the income from which may be subject to federal income tax, rather than by participating in the arrangements directly or through pass-through subsidiaries. No assurance can be given, however, that MITT’s hedging activities will not give rise to income that does not qualify for purposes of either or both of the REIT gross income tests, or that its hedging activities will not adversely affect its ability to satisfy the REIT qualification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the income from MITT’s hedging transactions is excluded from gross income for purposes of the 75% and 95% gross income tests, such income and any loss will be taken into account in determining its REIT taxable income and its distribution requirement. If the IRS disagrees with MITT’s calculation of the amount or timing of recognition of gain or loss with respect to its hedging transactions, MITT’s distribution requirement could increase, which could require that it correct any shortfall in distributions by paying deficiency dividends to its stockholders in a later year.</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89"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41" w:name="ic75a8f055b1049ee9dc33723d66e4086"/>
      <w:bookmarkEnd w:id="141"/>
      <w:r>
        <w:rPr>
          <w:rFonts w:ascii="Times New Roman;serif" w:hAnsi="Times New Roman;serif"/>
          <w:b/>
          <w:i/>
          <w:color w:val="000000"/>
          <w:sz w:val="20"/>
        </w:rPr>
        <w:t>Fee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earn income from fees in certain circumstances. Fee income generally will be qualifying income for purposes of both the 75% and 95% gross income tests if it is received in consideration for entering into an agreement to make a loan secured by real property, the fees are not determined by income and profits and the fees are not compensation for services. Other fees, including certain amounts received in connection with MSRs, generally are not qualifying income for purposes of either gross income test. MITT may conduct some or all of its fee‐generating activities through a TRS or other corporate entity, the income from which may be subject to U.S. federal income tax. Any fees earned by a TRS, like other income earned by a TRS, will not be included in MITT’s gross income for purposes of the gross income tests.</w:t>
      </w:r>
    </w:p>
    <w:p>
      <w:pPr>
        <w:pStyle w:val="TextBody"/>
        <w:bidi w:val="0"/>
        <w:spacing w:lineRule="auto" w:line="288" w:before="0" w:after="180"/>
        <w:jc w:val="both"/>
        <w:rPr>
          <w:rFonts w:ascii="Times New Roman;serif" w:hAnsi="Times New Roman;serif"/>
          <w:b/>
          <w:i/>
          <w:color w:val="000000"/>
          <w:sz w:val="20"/>
        </w:rPr>
      </w:pPr>
      <w:bookmarkStart w:id="142" w:name="i9745d2c5e06445ef9b957c6df95646ff"/>
      <w:bookmarkEnd w:id="142"/>
      <w:r>
        <w:rPr>
          <w:rFonts w:ascii="Times New Roman;serif" w:hAnsi="Times New Roman;serif"/>
          <w:b/>
          <w:i/>
          <w:color w:val="000000"/>
          <w:sz w:val="20"/>
        </w:rPr>
        <w:t>COD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time-to-time, MITT may recognize COD income in connection with repurchasing its debt at a discount. COD income is excluded from gross income for purposes of both the 75% and 95% gross income tests, and thus cannot exceed 5% of MITT’s annual gross income. Any COD income that MITT recognizes would be subject to the distribution requirements, subject to certain rules that apply to excess non-cash income, or MITT will incur corporate income tax and a 4% nondeductible excise tax with respect to any COD income.</w:t>
      </w:r>
    </w:p>
    <w:p>
      <w:pPr>
        <w:pStyle w:val="TextBody"/>
        <w:bidi w:val="0"/>
        <w:spacing w:lineRule="auto" w:line="288" w:before="0" w:after="180"/>
        <w:jc w:val="both"/>
        <w:rPr>
          <w:rFonts w:ascii="Times New Roman;serif" w:hAnsi="Times New Roman;serif"/>
          <w:b/>
          <w:i/>
          <w:color w:val="000000"/>
          <w:sz w:val="20"/>
        </w:rPr>
      </w:pPr>
      <w:bookmarkStart w:id="143" w:name="i373a6ab907d5422492635e60a93c63d2"/>
      <w:bookmarkEnd w:id="143"/>
      <w:r>
        <w:rPr>
          <w:rFonts w:ascii="Times New Roman;serif" w:hAnsi="Times New Roman;serif"/>
          <w:b/>
          <w:i/>
          <w:color w:val="000000"/>
          <w:sz w:val="20"/>
        </w:rPr>
        <w:t>Foreign Currency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an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any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lineRule="auto" w:line="288" w:before="0" w:after="180"/>
        <w:jc w:val="both"/>
        <w:rPr>
          <w:rFonts w:ascii="Times New Roman;serif" w:hAnsi="Times New Roman;serif"/>
          <w:b/>
          <w:i/>
          <w:color w:val="000000"/>
          <w:sz w:val="20"/>
        </w:rPr>
      </w:pPr>
      <w:bookmarkStart w:id="144" w:name="i1877ea534bf54683b8b10d5fe999e621"/>
      <w:bookmarkEnd w:id="144"/>
      <w:r>
        <w:rPr>
          <w:rFonts w:ascii="Times New Roman;serif" w:hAnsi="Times New Roman;serif"/>
          <w:b/>
          <w:i/>
          <w:color w:val="000000"/>
          <w:sz w:val="20"/>
        </w:rPr>
        <w:t>Rents from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does not currently own any real property for the production of rental income. If MITT were to acquire real property or an interest therein for the production of rental income, rents MITT receives would qualify as “rents from real property” in satisfying the gross income requirements for a REIT described above only if the following conditions are met: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First, the amount of rent must not be based in whole or in part on the income or profits of any person. An amount received or accrued generally will not be excluded, however, from rents from real property solely by reason of being based on fixed percentages of receipts or sales.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Second, rents MITT receives from a “related party tenant” will not qualify as rents from real property in satisfying the gross income tests unless the 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MITT owns directly or indirectly more than 50% of the voting power or value of the stock). A tenant is a related party tenant if the REIT, or an actual or constructive owner of 10% or more of the REIT, actually or constructively owns 10% or more of the tenant.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90"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Fourth, MITT generally must not operate or manage its real property or furnish or render services to its tenants, other than through an “independent contractor” who is adequately compensated and from whom it does not derive revenue. MITT may, however, provide services directly to tenants if the services are “usually or customarily rendered” in connection with the rental of space for occupancy only and are not considered to be provided for the tenants’ convenience. In addition, MITT may provide a minimal amount of “non-customary” services to the tenants of a property, other than through an independent contractor, if the greater of (i) the amounts received or accrued, directly or indirectly, or deemed received by the REIT with respect to such services, or (ii) 150% of MITT’s direct cost in furnishing or rendering the services during a taxable year is not more than 1% of its income from the related property. Furthermore, MITT may own up to 100% of the stock of a TRS, which may provide customary and non-customary services to tenants without tainting its rental income from the related properties.</w:t>
      </w:r>
    </w:p>
    <w:p>
      <w:pPr>
        <w:pStyle w:val="TextBody"/>
        <w:bidi w:val="0"/>
        <w:spacing w:lineRule="auto" w:line="288" w:before="0" w:after="180"/>
        <w:jc w:val="both"/>
        <w:rPr>
          <w:rFonts w:ascii="Times New Roman;serif" w:hAnsi="Times New Roman;serif"/>
          <w:b/>
          <w:i/>
          <w:color w:val="000000"/>
          <w:sz w:val="20"/>
        </w:rPr>
      </w:pPr>
      <w:bookmarkStart w:id="145" w:name="i8d74069a712a41668cb804b3e06f89fe"/>
      <w:bookmarkEnd w:id="145"/>
      <w:r>
        <w:rPr>
          <w:rFonts w:ascii="Times New Roman;serif" w:hAnsi="Times New Roman;serif"/>
          <w:b/>
          <w:i/>
          <w:color w:val="000000"/>
          <w:sz w:val="20"/>
        </w:rPr>
        <w:t>Prohibited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incur a 100% tax on the net income (including foreign currency gain) derived from any sale or other disposition of property, other than foreclosure property, but including mortgage loans,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MITT believes that none of its assets will be held primarily for sale to customers and that a sale of any of its assets will not be in the ordinary course of MITT’s business. No assurance, however, can be given that the IRS will not successfully assert a contrary position, in which case MITT would be subject to the prohibited transaction tax on the sale of those assets.</w:t>
      </w:r>
    </w:p>
    <w:p>
      <w:pPr>
        <w:pStyle w:val="TextBody"/>
        <w:bidi w:val="0"/>
        <w:spacing w:lineRule="auto" w:line="288" w:before="0" w:after="180"/>
        <w:jc w:val="both"/>
        <w:rPr>
          <w:rFonts w:ascii="Times New Roman;serif" w:hAnsi="Times New Roman;serif"/>
          <w:b/>
          <w:i/>
          <w:color w:val="000000"/>
          <w:sz w:val="20"/>
        </w:rPr>
      </w:pPr>
      <w:bookmarkStart w:id="146" w:name="i5bd7058742294f1cb10b951310ff07d0"/>
      <w:bookmarkEnd w:id="146"/>
      <w:r>
        <w:rPr>
          <w:rFonts w:ascii="Times New Roman;serif" w:hAnsi="Times New Roman;serif"/>
          <w:b/>
          <w:i/>
          <w:color w:val="000000"/>
          <w:sz w:val="20"/>
        </w:rPr>
        <w:t>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be subject to U.S. federal income tax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related loan or lease was acquired by the REIT at a time when the default was not imminent or anticipated;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REIT makes a proper election to treat the property as 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91"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will give rise to income that does not qualify for purposes of the 75% gross income test (disregarding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which any construction takes place on the property, other than completion of a building or any other improvement, where more than 10% of the construction was completed before default became imminent;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which is more than 90 days after the day on which the REIT acquired the property and the property is used in a trade or business that is conducted by the REIT, other than through an independent contractor from whom the REIT itself does not derive or receive any income or a TRS.</w:t>
      </w:r>
    </w:p>
    <w:p>
      <w:pPr>
        <w:pStyle w:val="TextBody"/>
        <w:bidi w:val="0"/>
        <w:spacing w:lineRule="auto" w:line="288" w:before="0" w:after="180"/>
        <w:jc w:val="both"/>
        <w:rPr>
          <w:rFonts w:ascii="Times New Roman;serif" w:hAnsi="Times New Roman;serif"/>
          <w:b/>
          <w:i/>
          <w:color w:val="000000"/>
          <w:sz w:val="20"/>
        </w:rPr>
      </w:pPr>
      <w:bookmarkStart w:id="147" w:name="i000bd4340df34be5b0fee0d92821f3cc"/>
      <w:bookmarkEnd w:id="147"/>
      <w:r>
        <w:rPr>
          <w:rFonts w:ascii="Times New Roman;serif" w:hAnsi="Times New Roman;serif"/>
          <w:b/>
          <w:i/>
          <w:color w:val="000000"/>
          <w:sz w:val="20"/>
        </w:rPr>
        <w:t>Failure to Satisfy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both of the gross income tests for any taxable year, it nevertheless may qualify as a REIT for that year if it is entitled to qualify for relief under certain provisions of the federal income tax laws. Those relief provisions generally will be available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its failure to meet those tests is due to reasonable cause and not to willful neglect;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such failure for any taxable year, a schedule of the sources of its income is filed with the IRS in accordance with regulations prescribed by the Secretary of the U.S. Treasury.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cannot with certainty predict whether any failure to meet these tests will qualify for the relief provisions. If these relief provisions are inapplicable to a particular set of circumstances involving MITT, it will not qualify as a REIT. As discussed above in “—Taxation of MITT,” even if the relief provisions apply, MITT would incur a 100% tax on the gross income attributable to the greater of (i) the amount by which it fails the 75% gross income test, or (ii) the excess of 95% of its gross income over the amount of gross income attributable to sources that qualify under the 95% gross income test, multiplied, in either case, by a fraction intended to reflect its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8" w:name="i0a38b42a40514cb1b08a8f4cf33e3ca8"/>
      <w:bookmarkEnd w:id="148"/>
      <w:r>
        <w:rPr>
          <w:rFonts w:ascii="Times New Roman;serif" w:hAnsi="Times New Roman;serif"/>
          <w:b/>
          <w:color w:val="000000"/>
          <w:sz w:val="20"/>
        </w:rPr>
        <w:t>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also must satisfy the following asset tests at the end of each quarter of each taxable year.</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First</w:t>
      </w:r>
      <w:r>
        <w:rPr>
          <w:rFonts w:ascii="Times New Roman;serif" w:hAnsi="Times New Roman;serif"/>
          <w:b w:val="false"/>
          <w:color w:val="000000"/>
          <w:sz w:val="20"/>
        </w:rPr>
        <w:t>, at least 75% of the value of its total assets must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or cash items, including certain receivables and investments in money market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 securities;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real property, including leaseholds and options to acquire real property and leaseholds, and personal property to the extent such personal property is leased in connection with real property and rents attributable to such personal property are treated as “rents from real property” as a result of such rents not exceeding 15% of the total rent attributable to personal property and real property under such lease;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mortgage loans secured by real property and interests in mortgage loans secured by real property and personal property if the fair market value of the personal property does not exceed 15% of the total fair market value of all such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stock in other REITs and debt instruments issued by “publicly offered REITs” (however, see the Sixth asset test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stock or debt instruments during the one-year period following MITT’s receipt of new capital that it raises through equity offerings or public offerings of debt with at least a five-year term;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regular or residual interests in a REMIC. However, if less than 95% of the assets of a REMIC consist of assets that are qualifying real estate-related assets under the U.S. federal income tax laws, determined as if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92"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held such assets, MITT will be treated as holding directly its proportionate share of the assets of such REMIC.</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Second, </w:t>
      </w:r>
      <w:r>
        <w:rPr>
          <w:rFonts w:ascii="Times New Roman;serif" w:hAnsi="Times New Roman;serif"/>
          <w:b w:val="false"/>
          <w:color w:val="000000"/>
          <w:sz w:val="20"/>
        </w:rPr>
        <w:t>of MITT’s investments not included in the 75% asset class, the value of its interest in any one issuer’s securities (other than any TRS MITT may own) may not exceed 5% of the value of its total assets, which we refer to as “5% asset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Third, </w:t>
      </w:r>
      <w:r>
        <w:rPr>
          <w:rFonts w:ascii="Times New Roman;serif" w:hAnsi="Times New Roman;serif"/>
          <w:b w:val="false"/>
          <w:color w:val="000000"/>
          <w:sz w:val="20"/>
        </w:rPr>
        <w:t>of its investments not included in the 75% asset class, MITT may not own more than 10% of the total voting power or 10% of the total value of any one issuer’s outstanding securities, which we refer to as “10% vote test” and the “10% value test,”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Fourth, </w:t>
      </w:r>
      <w:r>
        <w:rPr>
          <w:rFonts w:ascii="Times New Roman;serif" w:hAnsi="Times New Roman;serif"/>
          <w:b w:val="false"/>
          <w:color w:val="000000"/>
          <w:sz w:val="20"/>
        </w:rPr>
        <w:t>no more than 25% (20% for taxable years beginning before January 1, 2026) of the value of MITT’s total assets may consist of the securities of one or more TRSs.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Fifth, </w:t>
      </w:r>
      <w:r>
        <w:rPr>
          <w:rFonts w:ascii="Times New Roman;serif" w:hAnsi="Times New Roman;serif"/>
          <w:b w:val="false"/>
          <w:color w:val="000000"/>
          <w:sz w:val="20"/>
        </w:rPr>
        <w:t>no more than 25% of the value of MITT’s total assets may consist of the securities of TRSs and other non-TRS taxable subsidiaries and other assets that are not qualifying assets for purposes of the 75% asset test, which we refer to as “25% securities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Sixth, </w:t>
      </w:r>
      <w:r>
        <w:rPr>
          <w:rFonts w:ascii="Times New Roman;serif" w:hAnsi="Times New Roman;serif"/>
          <w:b w:val="false"/>
          <w:color w:val="000000"/>
          <w:sz w:val="20"/>
        </w:rPr>
        <w:t>no more than 25% of the value of MITT’s total assets may consist of debt instruments issued by “publicly offered REITs” to the extent such debt instruments are not secured by real property or interests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these asset tests, MITT is treated as holding its proportionate share of the assets of any partnership and disregarded entity that MITT owns. For purposes of the 5% asset test, the 10% vote test and the 10% value test, the term “securities” does not include stock in another REIT, debt of “publicly offered REITs,” equity or debt securities of a qualified REIT subsidiary or TRS, mortgage loans or MBS that constitute real estate assets, or equity interests in a partnership. The term “securities,” however, generally includes debt securities issued by a partnership or another REIT (other than a “publicly offered REIT”), except that, for purposes of the 10% value test, the term “securities” does not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straight debt” securities, which is defined as a written unconditional promise to pay on demand or on a specified date a sum certain in money if (i)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MITT or any “controlled TRS” hold non-“straight” debt securities that have an aggregate value of more than 1% of the issuer’s outstanding securities. However, “straight debt” securities include debt subject to the following contingencies: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MITT exceeds $1 million and no more than twelve months of unaccrued interest on the debt obligations can be required to be prepaid;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or amount of payment upon a default or prepayment of a debt obligation, as long as the contingency is consistent with customary commercial practice;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loan to an individual or an estate;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“section 467 rental agreement,” other than an agreement with a related party tenant;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obligation to pay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securities issued by governmental entities that are not dependent in whole or in part on the profits of (or payments made by) a non-governmental entity;</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93"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security (including debt securities) issued by another REIT;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in which MITT is a partner to the extent of its proportionate interest in the equity and certain debt securities issued by that partnership;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owns RMBS, including non-Agency RMBS and Agency RMBS that are pass-through certificates in entities treated as grantor trusts for U.S. federal income tax purposes. MITT will be treated as owning an undivided beneficial ownership interest in the mortgage loans held by the grantor trust. MITT has also invested in Agency RMBS that are CMOs, CMBS, ABS, residential and commercial mortgage loans, and excess MSRs. MITT expects that its investments in Agency RMBS that are CMOs, non-Agency RMBS and CMBS will generally be treated as interests in REMICs for U.S. federal income tax purposes.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MITT’s interest in the REMIC and income derived from the interest qualifies for purposes of the REIT asset and income tests. To the extent any of its investments in Agency RMBS are not treated as real estate assets, MITT expects such Agency RMBS will be treated as government securities (and, therefore, as qualifying assets for purposes of the 75% asset test) because they are issued or guaranteed as to principal or interest by the United States or by a person controlled or supervised by and acting as an instrumentality of the government of the United States pursuant to authority granted by the Congress of the United States. MITT’s investments in ABS and non-Agency RMBS or CMBS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directly in residential and commercial mortgage loans, including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(including, for loans secured by real property and personal property where the fair market value of the personal property is less than 15% of the total fair market value of all such property, such personal property) securing the loan as of (i) the date MITT agreed to acquire or originate the loan or (ii) in the event of a significant modification, the date MITT modified the loan, then a portion of the interest income from such a loan will not be qualifying income for purposes of the 75% gross income test but will be qualifying income for purposes of the 95% gross income test. Although the law is unclear, a portion of the loan will also likely be a non-qualifying asset for purposes of the 75% asset test. The non-qualifying portion of such a loan would be subject to, among other requirements, the 10% vote test and the 10%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on the date the REIT committed to originate or acquire the loan. MITT intends to continue to invest in residential and commercial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invests in mezzanine loans. As described above in “—Gross Income Tests,”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test or value test). Although the mezzanine loans MITT acquires may not qualify for that safe harbor, MITT expects any mezzanine loans it acquires generally will be treated as qualifying assets for the 75% asset test or should be excluded from the definition of securities for purposes of the 10% value test. In the event that MITT owns a mezzanine loan or similar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94"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that does not meet the safe harbor, the IRS could challenge such loan’s treatment as a real estate asset for purposes of the REIT asset tests, and if such a challenge were sustained, MITT could fail to qualify as a REIT. MITT intends to continue to invest in mezzanine loans in a manner that will enable it to continue to satisfy the REIT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sale and repurchase agreements under which it nominally sold certain of its assets to a counterparty and simultaneously entered into an agreement to repurchase the sold assets in exchange for a purchase price that reflects a financing charge. Based on positions the IRS has taken in analogous situations, MITT believes that these transactions would be treated as secured debt, and that MITT is treated for REIT asset and income test purposes as the owner of the assets that are the subject of such agreements notwithstanding that such agreements may transfer record ownership of the assets to the counterparty during the term of the agreement. It is possible, however, that the IRS could assert that MITT does not own its assets subject to sale and repurchase agreements during the term of such agreements, in which case MITT could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purchased, and may purchase in the future, Agency RMBS through TBAs. While there is no direct authority with respect to the qualification of TBAs as real estate assets or Government securities for purposes of the 75% asset test, MITT treats its long TBAs as qualifying assets for purposes of the REIT asset tests, based on an opinion of Hunton Andrews Kurth LLP substantially to the effect that for purposes of the REIT asset tests, its ownership of a long TBA should be treated as ownership of real estate assets. The opinion of Hunton Andrews Kurth LLP is based on various assumptions related to MITT’s long TBAs and is conditioned on fact‐based representations and covenants made by MITT’s management regarding its long TBAs. No assurance can be given that the IRS would not assert that MITT’s long TBAs are not qualifying assets. If the IRS were to successfully challenge the opinion of Hunton Andrews Kurth LLP, MITT could be subject to a penalty tax or it could fail to remain qualified as a REIT if a sufficient portion of its assets consists of TBAs.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acquired and may acquire in the future excess MSRs. In private letter rulings to other taxpayers, the IRS ruled substantially to the effect that excess MSRs represent interests in mortgages on real property and thus are qualifying “real estate assets” for purposes of the 75% asset test. Private letter rulings cannot be relied upon by persons other than the taxpayer to which they were issued. Nonetheless, MITT intends to treat excess MSRs that have terms consistent with those described in the private letter rulings (namely, excess MSRs (A) from which the income does not depend in whole or in part on the income or profits of the mortgage servicers, and (B)that MITT treats as “stripped bonds” that are ownership interests in the mortgage underlying excess MSRs, providing MITT rights to the interest income generated by such mortgages) as “real estate assets” for purposes of the 75% asset test. In the event that such assets were determined not to be qualifying for the 75% asset test, MITT could be subject to a penalty tax or MITT could fail to qualify as a REIT if the value of MITT’s excess MSRs and any non-qualifying assets exceeds 25% of MITT’s total assets at the end of any calendar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MITT may invest opportunistically in other types of assets. To the extent MITT invests in such assets, MITT intends to do so in a manner that will enable it to satisfy each of the asset tests described above. However, MITT cannot assure you that it will be able to satisfy the asset tests described above. MITT monitors the status of its assets for purposes of the various asset tests and seeks to manage its portfolio to comply at all times with such tests. No assurance, however, can be given that MITT will continue to be successful in this effort. In this regard, to determine its compliance with these requirements, MITT will have to value its investment in its assets to ensure compliance with the asset tests. Although MITT seeks to be prudent in making these estimates, no assurances can be given that the IRS would not disagree with these determinations and assert that a different value is applicable, in which case MITT may not satisfy the 75% asset test and the other asset tests and, thus, would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the asset tests at the end of a calendar quarter, it will not lose its REIT qualification so long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satisfied the asset tests at the end of the preceding calendar quarter; and</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95"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discrepancy between the value of its assets and the asset test requirements arose from changes in the market values of its assets and was not wholly or partly caused by the acquisition of one or more non-qualifying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did not satisfy the condition described in the second item, above, it still could avoid disqualification by eliminating any discrepancy within 30 days after the close of the calendar quarter in which it arose.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MITT violates the 5% asset test, the 10% vote test or the 10% value test described above at the end of any calendar quarter, it will not lose its REIT qualification if (i) the failure is de minimis (up to the lesser of 1% of the total value of its assets or $10 million) and (ii) it disposes of assets causing the failure or otherwise comply with the asset tests within six months after the last day of the quarter in which it identified such failure. In the event of a more than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failure of any of the asset tests, as long as the failure was due to reasonable cause and not to willful neglect, MITT will not lose its REIT qualification if it (i) disposes of assets or otherwise comply with the asset tests within six months after the last day of the quarter in which it identified such failure, (ii) files a schedule with the IRS describing the assets that caused such failure in accordance with regulations promulgated by the Secretary of the U.S. Treasury and (iii) pay a tax equal to the greater of $50,000 or the highest corporate tax rate applied to the net income from the nonqualifying assets during the period in which MITT failed to satisfy the asset tests. If these relief provisions are inapplicable to a particular set of circumstances involving MITT, it will not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the Agency RMBS, non-Agency RMBS, CMBS, ABS, residential and commercial mortgage loans, excess MSRs and other assets that it holds will satisfy the foregoing asset test requirements. MITT will monitor the status of its assets and its future acquisition of assets to ensure that it continues to comply with those requirements, but it cannot assure you that it will be successful in this effort. No independent appraisals have been or will be obtained to support its estimates of and conclusions as to the value of its assets and securities, or in many cases, the real estate collateral for the mortgage loans that support its Agency RMBS and non-Agency RMBS.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As a result, no assurance can be given that the IRS will not contend that MITT’s ownership of securities and other assets violates one or more of the asset tests applicable to REITs.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9" w:name="id026fcbf9f814a24a5ba93262ef0b91c"/>
      <w:bookmarkEnd w:id="149"/>
      <w:r>
        <w:rPr>
          <w:rFonts w:ascii="Times New Roman;serif" w:hAnsi="Times New Roman;serif"/>
          <w:b/>
          <w:color w:val="000000"/>
          <w:sz w:val="20"/>
        </w:rPr>
        <w:t>Distribution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taxable year, MITT must distribute dividends, other than capital gain dividends and deemed distributions of retained capital gain, to its stockholders in an aggregate amount at least equal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“REIT taxable income,” computed without regard to the dividends paid deduction and its net capital gain,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after-tax net income, if any, from foreclosure property, minus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 certain items of non-cash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make such distributions in the taxable year to which they relate, or in the following taxable year if either (i) it declares the distribution before it timely files its U.S. federal income tax return for the year and pays the distribution on or before the first regular dividend payment date after such declaration or (ii) it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to the extent of undistributed earnings and profits as of December 31 of the prior taxable year. In both instances, these distributions relate to MITT’s prior taxable year for purposes of the 90% distribution requirement.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96"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MITT ceases to be a “publicly offered REIT,” then in order for distributions to be counted as satisfying the annual distribution requirements for REITs, and to provide it with a REIT-level tax deduction, the distributions must not be considered “preferential dividends.” A dividend is not a preferential dividend if the distribution is (i) pro-rata among all outstanding shares of stock within a particular class and (ii) in accordance with the preferences among different classes of stock as set forth in its 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federal income tax on taxable income, including net capital gain, that it does not distribute to stockholders. Furthermore, if MITT fails to distribute during a calendar year, or by the end of January following the calendar year in the case of distributions with declaration and record dates falling in the last three months of the calendar year, at least the sum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85% of its REIT ordinary income for such 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95% of its REIT capital gain income for such year;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undistributed taxable income from prior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incur a 4% nondeductible excise tax on the excess of such required distribution over the amounts it actually distributes.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income tax on the net long-term capital gain it recognizes in a taxable year. See “— Taxation of U.S. Holders— Taxation of U.S. Holders on Distributions on MITT Stock.” If it so elect, MITT will be treated as having distributed any such retained amount for purposes of the REIT distribution requirements and the 4% nondeductible excise tax described above. MITT intends to continue to make timely distributions in the future sufficient to satisfy the annual distribution requirements and to avoid corporate income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from time to time, MITT may experience timing differences between the actual receipt of cash, including distributions from its subsidiaries, and actual payment of deductible expenses and the inclusion of that income and deduction of such expenses in arriving at its REIT taxable income. Possible examples of those timing differences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Because MITT may deduct capital losses only to the extent of its capital gains, MITT may have taxable income that exceeds its economic income.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will recognize taxable income in advance of the related cash flow with respect to its investments that are deemed to have original issue discount. MITT generally must accrue original issue discount based on a constant yield method that takes into account projected prepayments but that defers taking into account credit losses until they are actually incurred.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acquired investments that are treated as having “market discount” for U.S. federal income tax purposes, because the investments are debt instruments that MITT acquired for an amount less than their principal amount. MITT has not elected, and does not intend to elect, to recognize market discount currently. Under the market discount rules, MITT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income. Further, to the extent that such an investment does not fully amortize according to its terms, MITT may never receive the economic income attributable to previously recognized market discount.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recognize phantom taxable income from any residual interests in REMICs or retained ownership interests in mortgage loans subject to CMO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several types of non-cash income are excluded in determining the annual distribution requirement, MITT will incur corporate income tax and the 4% nondeductible excise tax with respect to those non-cash income items if MITT does not distribute those items on a current basis. As a result of the foregoing, MITT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97"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may have less cash than is necessary to distribute all of its taxable income and thereby avoid corporate income tax and the excise tax imposed on certain undistributed income. In such a situation, MITT may need to borrow funds, sell assets or make taxable distributions of its capital stock or debt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satisfy the REIT annual distribution requirements by making taxable distributions of its stock or debt securities. Revenue Procedure 2017-45 authorizes publicly offered REITs to treat certain distributions that are paid partly in cash and partly in stock as dividends that would satisfy the REIT annual distribution requirement and qualify for the dividends paid deduction for U.S. federal income tax purposes. As a publicly offered REIT, as long as at least 20% of the total dividend is available in cash and certain other requirements are satisfied, the IRS will treat the stock distribution as a dividend (to the extent applicable rules treat such distribution as being made out of its earnings and profits). MITT currently does not intend to pay taxable dividends payable in cash and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Determination of MITT’s REIT taxable income involves the application of highly technical and complex Code provisions for which only limited judicial and administrative authorities exist. If the IRS disagrees with MITT’s determination, it could affect MITT’s satisfaction of the distribution requirements. Under certain circumstances, MITT may be able to correct a failure to meet the distribution requirement for a year by paying “deficiency dividends” to its stockholders in a later year. MITT may include such deficiency dividends in its deduction for dividends paid for the earlier year. Although MITT may be able to avoid income tax on amounts distributed as deficiency dividends, it will be required to pay interest and a penalty to the IRS based upon the amount of any deduction it takes for deficiency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0" w:name="i6ae212f4eb3142ab9b0326196dd72397"/>
      <w:bookmarkEnd w:id="150"/>
      <w:r>
        <w:rPr>
          <w:rFonts w:ascii="Times New Roman;serif" w:hAnsi="Times New Roman;serif"/>
          <w:b/>
          <w:color w:val="000000"/>
          <w:sz w:val="20"/>
        </w:rPr>
        <w:t>Recordkeeping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maintain certain records in order to maintain its qualification as a REIT. In addition, to avoid a monetary penalty, MITT must request on an annual basis information from its stockholders designed to disclose the actual ownership of its outstanding stock. MITT intends to continue to comply with these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1" w:name="i9a9e3afc33b8455b9c1ac534e6c70b92"/>
      <w:bookmarkEnd w:id="151"/>
      <w:r>
        <w:rPr>
          <w:rFonts w:ascii="Times New Roman;serif" w:hAnsi="Times New Roman;serif"/>
          <w:b/>
          <w:color w:val="000000"/>
          <w:sz w:val="20"/>
        </w:rPr>
        <w:t>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more requirements for REIT qualification, other than the gross income tests and the asset tests, it could avoid disqualification if its failure is due to reasonable cause and not to willful neglect and it pays a penalty of $50,000 for each such failure. In addition, there are relief provisions for a failure of the gross income tests and asset tests, as described in “—Gross Income Tests”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taxable year, and no relief provision applies, it would be subject to U.S. federal income tax on its taxable income at regular corporate rates. Further, if MITT fails to qualify as a REIT, it may need to borrow money or sell assets in order to pay any resulting tax. MITT’s payment of income tax would decrease the amount of its income available for distribution to its stockholders. In calculating its taxable income in a year in which it fails to qualify as a REIT, MITT would not be able to deduct amounts paid out to stockholders. In fact, MITT would not be required to distribute any amounts to stockholders in that year. In such event, to the extent of its current and accumulated earnings and profits, all distributions to stockholders would be taxable as ordinary income. Subject to certain limitations of the U.S. federal income tax laws, corporate stockholders may be eligible for the dividends received deduction and stockholders taxed at individual rates may be eligible for the reduced U.S. federal income tax rate of 20% on such dividends. MITT’s failure to qualify as a REIT could impair its ability to expand its business and raise capital, and it would adversely affect the value of MITT Stock. Unless MITT qualified for relief under specific statutory provisions, it also would be disqualified from taxation as a REIT for the four taxable years following the year during which it ceased to qualify as a REIT. MITT cannot predict whether in all circumstances it would qualify for such statutory relief.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2" w:name="i2908ebfa4fae4b549643cb7ba4f39138"/>
      <w:bookmarkEnd w:id="152"/>
      <w:r>
        <w:rPr>
          <w:rFonts w:ascii="Times New Roman;serif" w:hAnsi="Times New Roman;serif"/>
          <w:b/>
          <w:color w:val="000000"/>
          <w:sz w:val="20"/>
        </w:rPr>
        <w:t>Taxation of U.S. Holders</w:t>
      </w:r>
    </w:p>
    <w:p>
      <w:pPr>
        <w:pStyle w:val="TextBody"/>
        <w:bidi w:val="0"/>
        <w:spacing w:lineRule="auto" w:line="288" w:before="0" w:after="180"/>
        <w:jc w:val="both"/>
        <w:rPr>
          <w:rFonts w:ascii="Times New Roman;serif" w:hAnsi="Times New Roman;serif"/>
          <w:b/>
          <w:i/>
          <w:color w:val="000000"/>
          <w:sz w:val="20"/>
        </w:rPr>
      </w:pPr>
      <w:bookmarkStart w:id="153" w:name="i15860cafc7364eb3990504ff8e2f9b5f"/>
      <w:bookmarkEnd w:id="153"/>
      <w:r>
        <w:rPr>
          <w:rFonts w:ascii="Times New Roman;serif" w:hAnsi="Times New Roman;serif"/>
          <w:b/>
          <w:i/>
          <w:color w:val="000000"/>
          <w:sz w:val="20"/>
        </w:rPr>
        <w:t>Taxation of U.S. Holders on Distributions on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long as MITT qualifies as a REIT, a taxable U.S. holder must generally take into account as ordinary income distributions made out of its current or accumulated earnings and profits that it does not designate as capital gain dividends or retained long-term capital gain. For purposes of determining whether a distribution is made out of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98"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MITT’s current or accumulated earnings and profits, its earnings and profits will be allocated first to its preferred stock dividends and then to its common stock dividends. Dividends we pay to corporate U.S. holders will not qualify for the dividends received deduction generally available to corporations.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Individuals, trusts and estates may deduct up to 20% of certain pass-through income, including ordinary REIT dividends that are not “capital gain dividends” or “qualified dividend income,” subject to certain limitations, which we refer to as “pass-through deduction.” The maximum U.S. federal income tax rate for U.S. holders taxed at individual rates is currently 37%. For taxpayers qualifying for the full pass-through deduction, the effective maximum U.S. federal tax rate on ordinary REIT dividends would be 29.6% (exclusive of the 3.8% Medicare tax). To qualify for the pass‐through deduction, the stockholder receiving such dividend must hold the dividend‐paying REIT shares for at least 46 days (taking into account certain special holding period rules) of the 91‐day period beginning 45 days before the shares become ex‐dividend, and cannot be under an obligation to make related payments with respect to a position in substantially similar or related property.</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maximum U.S. federal income tax rate for “qualified dividend income” received by taxpayers taxed at individual rates is 20%. Qualified dividend income generally includes dividends paid to U.S. holders taxed at individual rates by domestic C corporations and certain qualified foreign corporations. Because MITT is not generally subject to U.S. federal income tax on the portion of its REIT taxable income distributed to its stockholders (see “—Taxation of MITT” above), MITT’s dividends generally will not be eligible for the 20% rate on qualified dividend income. As a result, MITT’s ordinary REIT dividends will be taxed at a higher tax rate as described above. However, the 20% tax rate for qualified dividend income will apply to MITT’s ordinary REIT dividends (i) attributable to dividends received by it from certain non-REIT corporations (e.g., dividends from any domestic TRSs), (ii) to the extent attributable to income upon which it has paid corporate income tax (</w:t>
      </w:r>
      <w:r>
        <w:rPr>
          <w:rFonts w:ascii="Times New Roman;serif" w:hAnsi="Times New Roman;serif"/>
          <w:b w:val="false"/>
          <w:i/>
          <w:color w:val="000000"/>
          <w:sz w:val="20"/>
        </w:rPr>
        <w:t>e.g.</w:t>
      </w:r>
      <w:r>
        <w:rPr>
          <w:rFonts w:ascii="Times New Roman;serif" w:hAnsi="Times New Roman;serif"/>
          <w:b w:val="false"/>
          <w:color w:val="000000"/>
          <w:sz w:val="20"/>
        </w:rPr>
        <w:t>, to the extent that MITT distributes less than 100% of its taxable income) and (iii) attributable to income in the prior taxable year from the sales of “built-in gain” property acquired by MITT from C corporations in carryover basis transactions (less the amount of corporate tax on such income). In general, to qualify for the reduced tax rate on qualified dividend income, a U.S. holder must hold MITT Stock for more than 60 days during the 121-day period beginning on the date that is 60 days before the date on which MITT Stock becomes ex-dividend.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generally will take into account distributions that MITT properly designates as capital gain dividends as long-term capital gain, to the extent that they do not exceed MITT’s actual net capital gain for the taxable year, without regard to the period for which the U.S. holder has held MITT Stock. A corporate U.S. holder may, however, be required to treat up to 20% of certain capital gain dividends as ordinary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U.S. federal income tax on the net long‐term capital gain that it recognizes in a taxable year. In that case, to the extent MITT designates such amount on a timely notice to such stockholder, a U.S. holder would be taxed on its proportionate share of its undistributed long‐term capital gain. The U.S. holder would receive a credit or refund for its proportionate share of the tax MITT paid. The U.S. holder would increase the basis in MITT Stock by the amount of its proportionate share of MITT’s undistributed long‐term capital gain, minus its share of the tax it paid.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will not incur tax on a distribution in excess of MITT’s current and accumulated earnings and profits if the distribution does not exceed the adjusted basis of the U.S. holder’s MITT Stock. As stated above, for purposes of determining whether a distribution is made out of MITT’s current or accumulated earnings and profits, MITT’s earnings and profits will be allocated first to MITT Preferred Stock dividends, and then to MITT Common Stock dividends. Instead, the distribution will reduce the adjusted basis of such MITT Stock. A U.S. holder will recognize a distribution in excess of both MITT’s current and accumulated earnings and profits and the U.S. holder’s adjusted basis in his or her MITT Stock as long-term capital gain, or short-term capital gain if the shares of MITT Stock have been held for one year or less. In addition, if MITT declares a distribution in October, November or December of any year that is payable to a U.S. holder of record on a specified date in any such month, such distribution, to the extent of undistributed earnings and profits as of December 31 of such year, shall be treated as both paid by MITT and received by the U.S. holder on December 31 of such year, provided that MITT actually pays the distribution during January of the following calendar year, as described in “—Distribution Requirements.”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99"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may not include in their individual income tax returns any of MITT’s net operating losses or capital losses. Instead, these losses are generally carried over by MITT for potential offset against its future income or capital gains. Such carry forwards do not reduce earnings and profits in the year of offset.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Taxable distributions from MITT and gain from the disposition of MITT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MITT and gain from the disposition of MITT Stock generally will be treated as investment income for purposes of the investment interest limitations. MITT will notify stockholders after the close of its taxable year as to the portions of the distributions attributable to that year that constitute ordinary income, return of capital, qualified dividend income and capital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U.S. holders who are individuals, estates or trusts and whose income exceeds certain thresholds will be required to pay a 3.8% Medicare tax. The Medicare tax will apply to, among other things, dividends and other income derived from certain trades or business and net gains from the sale or other disposition of property, such as MITT Stock, subject to certain exceptions. MITT’s dividends and any gain from the disposition of MITT Stock generally will be the type of gain that is subject to the Medicare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recognize taxable income in excess of its economic income, known as phantom income, in the first years that it holds certain investments or in the year that it modifies certain loan investments, and it may only experience an offsetting excess of economic income over its taxable income in later years, if at all. As a result, U.S. holders at times may be required to pay U.S.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or increase of U.S. federal income tax liabilities may reduce a U.S. holder’s after-tax return on his or her investment to an amount less than the after-tax return on an investment with an identical before-tax rate of return that did not generate phantom income. In general, as the ratio of MITT’s phantom income to its total income increases, the after-tax rate of return received by a taxable stockholder will decrease.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MITT has available net operating losses and capital losses carried forward from prior tax years, such losses may, subject to limitations, reduce the amount of distributions that must be made in order to comply with the REIT distribution requirements. See “‐Taxation of MITT” and “‐Distribution Requirements.” Such losses, however, are not passed through to U.S. holders and do not offset income of U.S. holders from other sources, nor do they affect the character of any distributions that are actually made by MITT, which are generally subject to tax in the hands of U.S. holders to the extent that MITT have current or accumulated earnings and profits.</w:t>
      </w:r>
    </w:p>
    <w:p>
      <w:pPr>
        <w:pStyle w:val="TextBody"/>
        <w:bidi w:val="0"/>
        <w:spacing w:lineRule="auto" w:line="288" w:before="0" w:after="180"/>
        <w:jc w:val="both"/>
        <w:rPr>
          <w:rFonts w:ascii="Times New Roman;serif" w:hAnsi="Times New Roman;serif"/>
          <w:b/>
          <w:i/>
          <w:color w:val="000000"/>
          <w:sz w:val="20"/>
        </w:rPr>
      </w:pPr>
      <w:bookmarkStart w:id="154" w:name="i1ceb5634f3b44e839aa7b44d80b3b687"/>
      <w:bookmarkEnd w:id="154"/>
      <w:r>
        <w:rPr>
          <w:rFonts w:ascii="Times New Roman;serif" w:hAnsi="Times New Roman;serif"/>
          <w:b/>
          <w:i/>
          <w:color w:val="000000"/>
          <w:sz w:val="20"/>
        </w:rPr>
        <w:t>Taxation of U.S. Holders on the Disposition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a U.S. holder who is not a dealer in securities must treat any gain or loss realized upon a taxable disposition of MITT Stock as long-term capital gain or loss if the U.S. holder has held such MITT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U.S. holder’s adjusted tax basis generally will equal the U.S. holder’s acquisition cost, increased by the excess of net capital gains deemed distributed to the U.S. holder less tax deemed paid by it and reduced by any returns of capital. However, a U.S. holder must treat any loss upon a sale or exchange of MITT Stock held by such holder for six months or less as a long-term capital loss to the extent of capital gain dividends and any other actual or deemed distributions from MITT that such U.S. holder treats as long term capital gain. All or a portion of any loss that a U.S. holder realizes upon a taxable disposition of MITT Stock may be disallowed if the U.S. holder purchases other MITT Stock within 30 days before or after the disposition.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redemption of MITT Preferred Stock will be treated under Section 302 of the Code as a distribution that is taxable as dividend income (to the extent of MITT’s current or accumulated earnings and profits), unless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00"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redemption satisfies certain tests set forth in Section 302(b) of the Code enabling the redemption to be treated as a sale of the MITT Preferred Stock (in which case the redemption will be treated in the same manner as a sale described above in “—Taxation of U.S. Holders on the Disposition of MITT Stock”). The redemption will satisfy such tests if it (i) is “substantially disproportionate” with respect to the U.S. holder’s interest in MITT Stock, (ii) results in a “complete termination” of the U.S. holder’s interest in all classes of MITT Stock or (iii) is “not essentially equivalent to a dividend” with respect to the U.S. holder, all within the meaning of Section 302(b) of the Code. In determining whether any of these tests have been met, stock considered to be owned by the U.S.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MITT Preferred Stock depends upon the facts and circumstances at the time that the determination must be made, prospective investors are urged to consult their tax advisors to determine such tax treatment. If a redemption of MITT Preferred Stock does not meet any of the three tests described above, the redemption proceeds will be taxable as a dividend, as described above in “—Taxation of U.S. Holders.” In that case, a U.S. holder’s adjusted tax basis in the redeemed MITT Preferred Stock will be transferred to such U.S. holder’s remaining stockholdings in MITT. If the U.S. holder does not retain any of MITT Stock, such basis could be transferred to a related person that holds MITT Stock or it may be lost.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provided below, (i) a U.S. holder generally will not recognize gain or loss upon the conversion of MITT Preferred Stock into MITT Common Stock, and (ii) a U.S. holder’s basis and holding period in MITT Common Stock received upon conversion generally will be the same as those of the converted MITT Preferred Stock (but the basis will be reduced by the portion of adjusted tax basis allocated to any fractional share exchanged for cash). Any shares of MITT Common Stock received in a conversion that are attributable to accumulated and unpaid dividends on the converted MITT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MITT Preferred Stock for more than one year at the time of conversion. U.S. holders are urged to consult with their tax advisors regarding the federal income tax consequences of any transaction by which such holder exchanges shares of MITT Common Stock received on a conversion of MITT Preferred Stock for cash or other property.</w:t>
      </w:r>
    </w:p>
    <w:p>
      <w:pPr>
        <w:pStyle w:val="TextBody"/>
        <w:bidi w:val="0"/>
        <w:spacing w:lineRule="auto" w:line="288" w:before="0" w:after="180"/>
        <w:jc w:val="both"/>
        <w:rPr>
          <w:rFonts w:ascii="Times New Roman;serif" w:hAnsi="Times New Roman;serif"/>
          <w:b/>
          <w:i/>
          <w:color w:val="000000"/>
          <w:sz w:val="20"/>
        </w:rPr>
      </w:pPr>
      <w:bookmarkStart w:id="155" w:name="ic9eebdb14410416bb0d6e2ef26e5dea3"/>
      <w:bookmarkEnd w:id="155"/>
      <w:r>
        <w:rPr>
          <w:rFonts w:ascii="Times New Roman;serif" w:hAnsi="Times New Roman;serif"/>
          <w:b/>
          <w:i/>
          <w:color w:val="000000"/>
          <w:sz w:val="20"/>
        </w:rPr>
        <w:t>Capital Gains and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taxpayer generally must hold a capital asset for more than one year for gain or loss derived from its sale or exchange to be treated as long-term capital gain or loss. The highest marginal individual income tax rate is currently 37%.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MITT must classify portions of its designated capital gain dividend as either a distribution taxable to non-corporate U.S. holders at long-term capital gains rates or as unrecaptured section 1250 gain distribution taxable at the rate then applicable to unrecaptured depreciation. The IRS currently requires that distributions made to different classes of stock be composed proportionately of dividends of a particular type. Individuals, trusts and estates whose income exceeds certain thresholds are also subject to a 3.8% Medicare tax on gain from the sale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distributions that MITT designates as capital gain dividends and any retained capital gain that it is deemed to distribute, it will designate whether such a distribution is taxable to non-corporate U.S. 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MITT Stock. A non-corporate U.S. holder may deduct capital losses not offset by capital gains against its ordinary income only up to a maximum annual amount of $3,000. A non-corporate U.S. holder may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01"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carry forward unused capital losses indefinitely. A corporate U.S. holder must pay tax on its net capital gain at ordinary corporate rates. A corporate U.S. holder may deduct capital losses only to the extent of capital gains, with unused losses being carried back three years and forward five years.</w:t>
      </w:r>
    </w:p>
    <w:p>
      <w:pPr>
        <w:pStyle w:val="TextBody"/>
        <w:bidi w:val="0"/>
        <w:spacing w:lineRule="auto" w:line="288" w:before="0" w:after="180"/>
        <w:jc w:val="both"/>
        <w:rPr>
          <w:rFonts w:ascii="Times New Roman;serif" w:hAnsi="Times New Roman;serif"/>
          <w:b/>
          <w:i/>
          <w:color w:val="000000"/>
          <w:sz w:val="20"/>
        </w:rPr>
      </w:pPr>
      <w:bookmarkStart w:id="156" w:name="i71824a0de628461a96544c9aeb2dc0d5"/>
      <w:bookmarkEnd w:id="156"/>
      <w:r>
        <w:rPr>
          <w:rFonts w:ascii="Times New Roman;serif" w:hAnsi="Times New Roman;serif"/>
          <w:b/>
          <w:i/>
          <w:color w:val="000000"/>
          <w:sz w:val="20"/>
        </w:rPr>
        <w:t>Taxation of Tax-Exempt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Tax-exempt entities, including qualified employee pension and profit sharing trusts and individual retirement accounts, generally are exempt from U.S.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MITT distributes to tax-exempt stockholders generally should not constitute UBTI so long as shares of MITT Stock are not otherwise used in an unrelated trade or business. However, if a tax-exempt stockholder were to finance its acquisition of MITT Stock with debt, a portion of the income that it receives from MITT would constitute UBTI pursuant to the “debt-financed property” rules. Although MITT’s dividends that are attributable to excess inclusion income will constitute UBTI in the hands of most tax-exempt stockholders, MITT will not generate excess inclusion income for its stockholders. Specifically, to the extent that MITT forms, purchases or holds any equity interest in taxable mortgage pools or REMIC residual interests, any excess inclusion income generated by such interest will be blocked by its existing TRS or a future TRS. Tax-exempt stockholders that are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MITT as UBTI. In certain circumstances, a qualified employee pension or profit sharing trust that owns more than 10% of MITT Stock (by value) must treat a percentage of the dividends that it receives from MITT as UBTI. Such percentage is equal to the gross income MITT derives from an unrelated trade or business, determined as if MITT were a pension trust, divided by MITT’s total gross income for the year in which MITT pay the dividends. That rule applies to a pension trust holding more than 10% of MITT’s stock only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percentage of MITT’s dividends that the tax-exempt trust must treat as UBTI is at least 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qualifies as a REIT by reason of the modification of the rule requiring that no more than 50% of MITT’s stock be owned by five or fewer individuals that allows the beneficiaries of the pension trust to be treated as holding MITT stock in proportion to their actuarial interests in the pension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oone pension trust owns more than 25% of the value of MITT’s stock;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group of pension trusts individually holding more than 10% of the value of MITT’s stock collectively owns more than 50% of the value of MITT’s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7" w:name="if65d3937d4e74d67870ec0b3161b0553"/>
      <w:bookmarkEnd w:id="157"/>
      <w:r>
        <w:rPr>
          <w:rFonts w:ascii="Times New Roman;serif" w:hAnsi="Times New Roman;serif"/>
          <w:b/>
          <w:color w:val="000000"/>
          <w:sz w:val="20"/>
        </w:rPr>
        <w:t>Taxation of Non-U.S. 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rules governing U.S. federal income taxation of non-U.S. holders are complex. This section is only a summary of such rules. </w:t>
      </w:r>
      <w:r>
        <w:rPr>
          <w:rFonts w:ascii="Times New Roman;serif" w:hAnsi="Times New Roman;serif"/>
          <w:b/>
          <w:color w:val="000000"/>
          <w:sz w:val="20"/>
        </w:rPr>
        <w:t>MITT urges non-U.S. holders to consult their tax advisors to determine the impact of U.S. federal, state and local income tax laws on ownership of MITT Stock, including any reporting requirements.</w:t>
      </w:r>
    </w:p>
    <w:p>
      <w:pPr>
        <w:pStyle w:val="TextBody"/>
        <w:bidi w:val="0"/>
        <w:spacing w:lineRule="auto" w:line="288" w:before="0" w:after="180"/>
        <w:jc w:val="both"/>
        <w:rPr>
          <w:rFonts w:ascii="Times New Roman;serif" w:hAnsi="Times New Roman;serif"/>
          <w:b/>
          <w:i/>
          <w:color w:val="000000"/>
          <w:sz w:val="20"/>
        </w:rPr>
      </w:pPr>
      <w:bookmarkStart w:id="158" w:name="i3ac7b618126d44339da06f65cd293b69"/>
      <w:bookmarkEnd w:id="158"/>
      <w:r>
        <w:rPr>
          <w:rFonts w:ascii="Times New Roman;serif" w:hAnsi="Times New Roman;serif"/>
          <w:b/>
          <w:i/>
          <w:color w:val="000000"/>
          <w:sz w:val="20"/>
        </w:rPr>
        <w:t>Distributions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that receives a distribution that is not attributable to gain from MITT’s sale or exchange of a USRPI, and that MITT does not designate as a capital gain dividend or retained capital gain will recognize ordinary income to the extent that MITT pays the distribution out of its current or accumulated earnings and profits. A withholding tax equal to 30% of the gross amount of the distribution ordinarily will apply unless an applicable tax treaty reduces or eliminates the tax. Under some treaties, however, lower rates generally applicable to dividends do not apply to dividends from REITs. If a distribution is treated as effectively connected with the non-U.S. holder’s conduct of a U.S. trade or business, the non-U.S. holder generally will be subject to U.S. federal income tax on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02"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MITT Stock. MITT plans to withhold U.S. income tax at the rate of 30% on the gross amount of any distribution that MITT does not designate as a capital gain distribution or retained capital gain and is paid to a non-U.S. holder unless either: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lower treaty rate applies and the non-U.S. holder files an IRS Form W-8BEN or IRS Form W-8BEN-E evidencing eligibility for that reduced rate with MITT,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files an IRS Form W-8ECI with MITT certifying that the distribution is effectively connected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gain dividends received or deemed received by a non‐U.S. holder from MITT that are not attributable to gain from MITT’s sale or exchange of USRPIs, are generally not subject to U.S. federal income or withholding tax, unless either (1) the non‐U.S. holder’s investment in MITT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will not incur tax on a distribution on the MITT Stock in excess of MITT’s current and accumulated earnings and profits if the excess portion of the distribution does not exceed the adjusted basis of MITT Stock. Instead, the excess portion of the distribution will reduce the adjusted basis of that MITT Stock. A non-U.S. holder will be subject to tax on a distribution that exceeds both MITT’s current and accumulated earnings and profits and the adjusted basis of the MITT Stock, if the non-U.S. holder otherwise would be subject to tax on gain from the sale or disposition of MITT Stock, as described below. Because MITT generally cannot determine at the time it make a distribution whether the distribution will exceed its current and accumulated earnings and profits, MITT normally will withhold tax on the entire amount of any distribution at the same rate as it would withhold on a dividend. However, a non-U.S. holder may obtain a refund of amounts that MITT withholds if MITT later determines that a distribution in fact exceeded MITT’s current and accumulated earnings and profits.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withholding tax at a 30% rate will also be imposed on dividends paid to certain non-U.S. holders if certain disclosure requirements related to U.S. accounts or ownership are not satisfied. If payment of withholding taxes is required, non-U.S. holders that are otherwise eligible for an exemption from, or reduction of, U.S. withholding taxes with respect to such dividends and proceeds will be required to seek a refund from the IRS to obtain the benefit or such exemption or reduction. MITT will not pay any additional amounts in respect of any amounts withheld.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any year in which MITT qualifies as a REIT, a non-U.S. holder may incur tax on distributions that are attributable to gain from its sale or exchange of USRPIs under FIRPTA. USRPIs generally do not include mortgage loans or mortgage-backed securities such as non-Agency RMBS or Agency RMBS. As a result, MITT does not anticipate that it will generate material amounts of gain that would be subject to FIRPTA. Under the FIRPTA rules, subject to exceptions discussed below, a non-U.S. holder is taxed on distributions attributable to gain from sales of USRPIs as if the gain were effectively connected with a U.S. business of the non-U.S. holder. A non-U.S. holder thus would be taxed on such a distribution at the normal capital gain rates applicable to U.S. holders. A non-U.S. corporate holder not entitled to treaty relief or exemption also may be subject to the 30% branch profits tax on such a distribution. Unless a non-U.S. holder qualifies for the exception described in the next paragraph, MITT must withhold 21% of any such distribution that it could designate as a capital gain dividend. A non-U.S. holder may receive a credit against such holder’s tax liability for the amount MITT withholds.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gain distributions on MITT Stock that are attributable to its sale of real property will be treated as ordinary dividends rather than as gain from the sale of a USRPI, as long as (i) (a) MITT Stock is “regularly traded” on an established securities market in the United States and (b) the non-U.S. holder does not own more than 10% of MITT’s capital stock during the one-year period preceding the distribution date or (ii) the non-U.S. holder was treated as a “qualified shareholder” or a “qualified foreign pension fund” (each, as defined in the Code). As a result,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03"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non-U.S. holders generally would be subject to withholding tax on such capital gain distributions in the same manner as they are subject to withholding tax on ordinary dividends. MITT believes that its stock is regularly traded on an established securities market. If MITT Stock is not regularly traded on an established securities market in the United States or the non-U.S. holder owned more than 10% of MITT Stock any time during the one-year period prior to the distribution, capital gain distributions that are attributable to its sale of real property would be subject to tax under FIRPTA. Moreover, if a non-U.S. holder disposes of MITT Stock during the 30-day period preceding a dividend payment, and such non-U.S. holder (or a person related to such non-U.S. holder) acquires or enters into a contract or option to acquire MITT Stock within 61 days of the 1st day of the 30 day period described above, and any portion of such dividend payment would, but for the disposition, be treated as a USRPI capital gain to such non-U.S. holder, then such non-U.S. holder shall be treated as having USRPI capital gain in an amount that, but for the disposition, would have been treated as USRPI capital gain.</w:t>
      </w:r>
    </w:p>
    <w:p>
      <w:pPr>
        <w:pStyle w:val="TextBody"/>
        <w:bidi w:val="0"/>
        <w:spacing w:lineRule="auto" w:line="288" w:before="0" w:after="180"/>
        <w:jc w:val="both"/>
        <w:rPr>
          <w:rFonts w:ascii="Times New Roman;serif" w:hAnsi="Times New Roman;serif"/>
          <w:b/>
          <w:i/>
          <w:color w:val="000000"/>
          <w:sz w:val="20"/>
        </w:rPr>
      </w:pPr>
      <w:bookmarkStart w:id="159" w:name="i7892f8ed77634367846d18b59a32d8a9"/>
      <w:bookmarkEnd w:id="159"/>
      <w:r>
        <w:rPr>
          <w:rFonts w:ascii="Times New Roman;serif" w:hAnsi="Times New Roman;serif"/>
          <w:b/>
          <w:i/>
          <w:color w:val="000000"/>
          <w:sz w:val="20"/>
        </w:rPr>
        <w:t>Dispositions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generally will not incur tax under FIRPTA with respect to gain realized upon a disposition of shares of MITT Stock as long as MITT is not a United States real property holding corporation during a specified testing period. If at least 50% of a REIT’s assets are USRPIs, then the REIT will be a United States real property holding corporation. MITT does not anticipate that it will be a United States real property holding corporation based on its investment strategy. In the unlikely event that at least 50% of the assets MITT holds were determined to be USRPIs, gains from the sale of MITT Stock by a non-U.S. holder could be subject to a FIRPTA tax. However, even if that event were to occur, a non-U.S. holder generally would not incur tax under FIRPTA on gain from the sale of MITT Stock if MITT were a “domestically controlled qualified investment entity.” A domestically controlled qualified investment entity includes a REIT in which, at all times during a specified testing period, less than 50% in value of its shares are held directly or indirectly by non-U.S. holders. MITT believes that it is a domestically controlled qualified investment entity, and that a sale of MITT Stock should not be subject to taxation under FIRPTA. However, MITT does not intend to maintain records to determine whether it is a domestically controlled qualified investment entity for this purpose and no assurance can be given that MITT is or will remain a domestically controlled qualified investment entity.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Stock is regularly traded on an established securities market in the United States, an additional exception to the tax under FIRPTA will be available, even if MITT does not qualify as a domestically controlled qualified investment entity at the time the non-U.S. holder sells MITT Stock. Under that exception, the gain from such a sale by such a non-U.S. holder will not be subject to tax under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 is considered regularly traded under applicable Treasury Regulations on an established securities market, such as the NYSE;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owned, actually or constructively, 10% or less of MITT Stock at all times during a specified testing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MITT believes that MITT Stock is currently treated as being regularly traded on an established securities market.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gain on the sale of MITT Stock were taxed under FIRPTA, a non-U.S. holder would be taxed on that gain in the same manner as U.S. holders. Furthermore, a non-U.S. holder generally will incur tax on gain not subject to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gain is effectively connected with the non-U.S. holder’s U.S. trade or business, in which case the non-U.S. holder will be subject to the same treatment as U.S. holders with respect to such gain,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is a nonresident alien individual who was present in the U.S. for 183 days or more during the taxable year and has a “tax home” in the United States, in which case the non-U.S. holder will incur a 30% tax on his or her capital gains.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04"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60" w:name="i09d9f09dd1ec455aa1d829266db8c39d"/>
      <w:bookmarkEnd w:id="160"/>
      <w:r>
        <w:rPr>
          <w:rFonts w:ascii="Times New Roman;serif" w:hAnsi="Times New Roman;serif"/>
          <w:b/>
          <w:i/>
          <w:color w:val="000000"/>
          <w:sz w:val="20"/>
        </w:rPr>
        <w:t>Qualified Shareholders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Subject to the exception discussed below, any distribution to a “qualified shareholder” who holds REIT stock directly or indirectly (through one or more partnerships) will not be subject to U.S. federal income taxation under FIRPTA and thus will not be subject to special withholding rules under FIRPTA. While a “qualified shareholder” will not be subject to FIRPTA withholding on REIT distributions, the portion of REIT distributions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FIRPTA withholding. REIT distributions received by a “qualified shareholder” that are exempt from FIRPTA withholding may still be subject to regular U.S. withholding tax.</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addition, a sale of MITT’s capital stock by a “qualified shareholder” who holds such capital stock directly or indirectly (through one or more partnerships) generally will not be subject to U.S. federal income taxation under FIRPTA. As with distributions, the portion of amounts realized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federal income taxation and FIRPTA withholding on a sale of MITT’s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shareholder” is a non-U.S. holder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is regularly traded on the NYSE or Nasdaq markets, (ii) is a qualified collective investment vehicle (defined below), and (iii) maintains records on the identity of each person who, at any time during the non-U.S. holder’s taxable year, is the direct owner of 5% or more of the class of interests or units (as applicable) described in (i),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collective investment vehicle is a non-U.S. holder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U.S. Treasury and is either (a) “fiscally transparent” within the meaning of Section 894 of the Code, or (b) required to include dividends in its gross income, but is entitled to a deduction for distributions to its investors.</w:t>
      </w:r>
    </w:p>
    <w:p>
      <w:pPr>
        <w:pStyle w:val="TextBody"/>
        <w:bidi w:val="0"/>
        <w:spacing w:lineRule="auto" w:line="288" w:before="0" w:after="180"/>
        <w:jc w:val="both"/>
        <w:rPr>
          <w:rFonts w:ascii="Times New Roman;serif" w:hAnsi="Times New Roman;serif"/>
          <w:b/>
          <w:i/>
          <w:color w:val="000000"/>
          <w:sz w:val="20"/>
        </w:rPr>
      </w:pPr>
      <w:bookmarkStart w:id="161" w:name="i35a25bb4d54a41849b1f7fda8b39d84f"/>
      <w:bookmarkEnd w:id="161"/>
      <w:r>
        <w:rPr>
          <w:rFonts w:ascii="Times New Roman;serif" w:hAnsi="Times New Roman;serif"/>
          <w:b/>
          <w:i/>
          <w:color w:val="000000"/>
          <w:sz w:val="20"/>
        </w:rPr>
        <w:t>Qualified Foreign Pension Funds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to a “qualified foreign pension fund” (or an entity all of the interests of which are held by a “qualified foreign pension fund”) who holds REIT stock directly or indirectly (through one or more partnerships) will not be subject to U.S. federal income taxation under FIRPTA and thus will not be subject to special withholding rules under FIRPTA. REIT distributions received by a “qualified foreign pension fund” that are exempt from FIRPTA withholding may still be subject to regular U.S. withholding tax. In addition, a sale of MITT’s capital stock by a “qualified foreign pension fund” that holds such capital stock directly or indirectly (through one or more partnerships) will not be subject to U.S. federal income taxation under FIRPTA.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qualified foreign pension fund is any trust, corporation, or other organization or arrangement (i) which is created or organized under the law of a country other than the United States, (ii) which is established by such country or an employer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with respect to which annual information reporting about its beneficiaries is provided or otherwise available to the relevant tax authorities in the country in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05"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2" w:name="ib98f28c0209c44eab302818dd0816fda"/>
      <w:bookmarkEnd w:id="162"/>
      <w:r>
        <w:rPr>
          <w:rFonts w:ascii="Times New Roman;serif" w:hAnsi="Times New Roman;serif"/>
          <w:b/>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of MITT Preferred Stock into MITT Common Stock may be a taxable exchange for a non-U.S. holder if MITT Preferred Stock constitutes a United States real property interest. Even if MITT Preferred Stock constitutes a United States real property interest, provided MITT Common Stock also constitutes a United States real property interest, a non-U.S. holder generally will not recognize gain or loss upon a conversion of MITT Preferred Stock into MITT Common Stock so long as certain FIRPTA-related reporting requirements are satisfied. If MITT Preferred Stock constitutes a United States real property interest and such requirements are not satisfied, however, a conversion will be treated as a taxable exchange of MITT Preferred Stock for MITT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MITT Preferred Stock. Collection of such tax will be enforced by a refundable withholding tax at a rate of 15% of the value of the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Non-U.S. holders are urged to consult with their tax advisors regarding the U.S. federal income tax consequences of any transaction by which such non-U.S. holder exchanges shares of MITT Common Stock received on a conversion of MITT Preferred Stock for cash or other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3" w:name="ie0633d8ecd0b42d1ada845339d16d974"/>
      <w:bookmarkEnd w:id="163"/>
      <w:r>
        <w:rPr>
          <w:rFonts w:ascii="Times New Roman;serif" w:hAnsi="Times New Roman;serif"/>
          <w:b/>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the treatment of a redemption of MITT Preferred Stock, see “Taxation of U.S. Holders—Redemption of MITT Preferred Stock.” Non-U.S. holders are urged to consult with their tax advisors regarding the U.S. federal income tax consequences of any transaction by which such non-U.S. holder redeems MITT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4" w:name="i09d8bbe5055640f6a58727eab4b6521b"/>
      <w:bookmarkEnd w:id="164"/>
      <w:r>
        <w:rPr>
          <w:rFonts w:ascii="Times New Roman;serif" w:hAnsi="Times New Roman;serif"/>
          <w:b/>
          <w:color w:val="000000"/>
          <w:sz w:val="20"/>
        </w:rPr>
        <w:t>Legislative or Other Actions Affecting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Additional changes to the tax laws are likely to continue to occur. MITT cannot predict the long-term effect of any recent or future tax law changes on REITs and their stockholders. Prospective investors are urged to consult with their tax advisors regarding the effect of potential changes to the federal tax laws 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5" w:name="ic811af8cdd5d4cb284adaa058bb76de6"/>
      <w:bookmarkEnd w:id="165"/>
      <w:r>
        <w:rPr>
          <w:rFonts w:ascii="Times New Roman;serif" w:hAnsi="Times New Roman;serif"/>
          <w:b/>
          <w:color w:val="000000"/>
          <w:sz w:val="20"/>
        </w:rPr>
        <w:t>State, Local and Foreign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and/or its stockholders may be subject to taxation by various states, localities or foreign jurisdictions, including those in which MITT or a holder of its stock transacts business, owns property or resides. MITT may own properties located in numerous jurisdictions and may be required to file tax returns in some or all of those jurisdictions. The state, local and foreign tax treatment may differ from the federal income tax treatment described above. Consequently, MITT stockholders should consult their tax advisors regarding the effect of state, local and foreign income and other tax laws upon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6" w:name="i1bd0bbc1482c4dcfb4c2756439c87c44"/>
      <w:bookmarkEnd w:id="166"/>
      <w:r>
        <w:rPr>
          <w:rFonts w:ascii="Times New Roman;serif" w:hAnsi="Times New Roman;serif"/>
          <w:b/>
          <w:color w:val="000000"/>
          <w:sz w:val="20"/>
        </w:rPr>
        <w:t>Tax Shelter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 stockholder recognizes a loss with respect to stock of $2 million or more for an individual stockholder or $10 million or more for a corporate stockholder, the stockholder must file a disclosure statement with the IRS on Form 8886. Direct stockholders of portfolio securities are in many cases exempt from this reporting requirement, but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06"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of a REIT currently are not exempt from this requirement. The fact that a 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pStyle w:val="TextBody"/>
        <w:bidi w:val="0"/>
        <w:spacing w:lineRule="auto" w:line="288" w:before="0" w:after="180"/>
        <w:jc w:val="both"/>
        <w:rPr>
          <w:rFonts w:ascii="Times New Roman;serif" w:hAnsi="Times New Roman;serif"/>
          <w:b/>
          <w:i/>
          <w:color w:val="000000"/>
          <w:sz w:val="20"/>
        </w:rPr>
      </w:pPr>
      <w:bookmarkStart w:id="167" w:name="iac5d70ec72cb425e87e713ff47dc23dc"/>
      <w:bookmarkEnd w:id="167"/>
      <w:r>
        <w:rPr>
          <w:rFonts w:ascii="Times New Roman;serif" w:hAnsi="Times New Roman;serif"/>
          <w:b/>
          <w:i/>
          <w:color w:val="000000"/>
          <w:sz w:val="20"/>
        </w:rPr>
        <w:t>Information Reporting Requirements and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report to its stockholders and to the IRS the amount and the tax character of distributions it pays during each calendar year, and the amount of tax it withholds, if any. Under the backup withholding rules, a stockholder may be subject to backup withholding with respect to distributions unless such stockholder: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is a corporation or qualifies for certain other exempt categories and, when required, demonstrates this fact;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provides a taxpayer identification number, certifies as to no loss of exemption from backup withholding, and otherwise complies with the applicable requirements of the backup withholding rules.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who does not provide MITT with its correct taxpayer identification number also may be subject to penalties imposed by the IRS. Any amount paid as backup withholding will be creditable against the stockholder’s income tax liability. In addition, MITT may be required to withhold a portion of capital gain distributions to any stockholders who fail to certify their non-foreign status to 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Backup withholding will generally not apply to payments of dividends made by MITT or its paying agents, in their capacities as such, to a non-U.S. holder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non-U.S. holder furnishes to MITT or its paying agent the required certification as to its non-U.S. status, such as providing a valid IRS Form W-8BEN, W-8BEN-E or W-8ECI, or certain other requirements are met. Notwithstanding the foregoing, backup withholding may apply if either MITT or its paying agent has actual knowledge, or reason to know, that the holder is a U.S. person that is not an exempt recipient. Payments of the net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United States unless the broker has documentary evidence in its records that the beneficial owner is a non-U.S. holder and specified conditions are met or an exemption is otherwise established. Payment of the net proceeds from a disposition by a non-U.S. holder of MITT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refunded or credited against the stockholder’s federal income tax liability if certain required information is furnished to the IRS. Stockholders are urged to consult their tax advisors regarding application of backup withholding to them and the availability of, and procedure for obtaining an exemption from, backup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8" w:name="if1eff6a659a44095a4b332f38060a8ba"/>
      <w:bookmarkEnd w:id="168"/>
      <w:r>
        <w:rPr>
          <w:rFonts w:ascii="Times New Roman;serif" w:hAnsi="Times New Roman;serif"/>
          <w:b/>
          <w:color w:val="000000"/>
          <w:sz w:val="20"/>
        </w:rPr>
        <w:t>FATCA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Foreign Account Tax Compliance Act, or “FATCA,” withholding at a rate of 30% generally will be required on dividends in respect of shares of MITT Stock held by or through certain foreign financial institutions (including investment funds), unless such institution (i)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MITT Stock is held will affect the determination of whether such withholding is required. Similarly, dividends in respect of shares of MITT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07"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entity’s “substantial United States owners,” which MITT or the applicable withholding agent will in turn provide to the Secretary of the Treasury. An intergovernmental agreement between the United States and an applicable foreign country, or future Treasury Regulations or other guidance, may modify these requirements. MITT will not pay any additional amounts to holders in respect of any amounts withheld. Holders are encouraged to consult their tax advisors regarding the possible implications of the legislation on their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08"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69" w:name="id0f000353ae4420eba5726767e74f80a"/>
      <w:bookmarkEnd w:id="169"/>
      <w:r>
        <w:rPr>
          <w:rFonts w:ascii="Times New Roman;serif" w:hAnsi="Times New Roman;serif"/>
          <w:b/>
          <w:color w:val="000000"/>
          <w:sz w:val="20"/>
        </w:rPr>
        <w:t>DESCRIPTION OF MITT CAPITAL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0" w:name="id3b49117e2a44afcab974b5ea55bd475"/>
      <w:bookmarkEnd w:id="17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brief summary of the material terms of the MITT capital stock, the MITT Charter, the MITT Bylaws and certain provisions of the MGCL. You should read the MITT Charter (including, without limitation, the articles supplementary with respect to the MITT Preferred Stock) and the MITT Bylaws and the applicable provisions of the MGCL for complete information on MITT capital stock. The following summary is not complete and is subject to, and qualified in its entirety by reference to, the MGCL and the provisions of the MITT Charter and the MITT Bylaws. To obtain copies of these documents, see “Where You Can Find More Information and Incorporation by Reference” beginning on page 215.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description of MITT capital stock in this section applies to the capital stock of MITT after the Company Merger. For additional information, see “Comparison of Rights of MITT Stockholders and CHMI Stockholders” beginning on page 199.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1" w:name="ifcc93685c5254b828b26a5807efe6ac6"/>
      <w:bookmarkEnd w:id="171"/>
      <w:r>
        <w:rPr>
          <w:rFonts w:ascii="Times New Roman;serif" w:hAnsi="Times New Roman;serif"/>
          <w:b/>
          <w:color w:val="000000"/>
          <w:sz w:val="20"/>
        </w:rPr>
        <w:t>Authorized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MITT may issue up to 450,000,000 shares of MITT Common Stock and 50,000,000 shares of MITT Preferred Stock, of which 3,000,000 shares were initially classified as MITT Series A Preferred Stock, 6,000,000 shares were initially classified as MITT Series B Preferred Stock and 4,600,000 shares were initially classified as MITT Series C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2" w:name="ib3341c73a0ba49879a2174e873c5f482"/>
      <w:bookmarkEnd w:id="172"/>
      <w:r>
        <w:rPr>
          <w:rFonts w:ascii="Times New Roman;serif" w:hAnsi="Times New Roman;serif"/>
          <w:b/>
          <w:color w:val="000000"/>
          <w:sz w:val="20"/>
        </w:rPr>
        <w:t xml:space="preserve">Shares Outstanding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2, 2026, there were (i) 31,803,475 shares of MITT Common Stock outstanding and (ii) 9,119,629 shares of MITT Preferred Stock outstanding, (a) 1,663,193 of which are shares of MITT Series A Preferred Stock, (b) 3,727,641 of which are shares of MITT Series B Preferred Stock and (c) 3,728,795 of which are shares of MITT Series C Preferred Stock.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Power to Reclassify Unissued Shares of Stock and to Increase or Decrease Authorized Shares of Stock and Issue Additional Shares of MITT Common Stock and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the MITT Board to amend the MITT Charter to increase or decrease the aggregate number of authorized shares of stock or the number of shares of any class or series that MITT has authority to issue without MITT stockholder approval. The MITT Board may classify any unissued shares of MITT Preferred Stock, and reclassify any unissued shares of MITT Common Stock or any previously classified but unissued shares of MITT Preferred Stock, into other classes or series of stock, and establish the preferences, conversion or other rights, voting powers, restrictions, limitations as to dividends, qualifications and terms or conditions of redemption of such stock, including one or more classes or series of stock that have priority over the MITT Common Stock with respect to distributions or upon liquidation, and authorizes MITT to issue the newly classified shares. Prior to the issuance of shares of each class or series, the MITT Board is required by the MGCL and the MITT Charter to set, subject to the provisions of the MITT Charter regarding the restrictions on ownership and transfer of MITT stock, the preferences, conversion or other rights, voting powers, restrictions, limitations as to dividends and other distributions, qualifications and terms or conditions of redemption for each such class or series and file Articles Supplementary with the State of Maryland with respect thereto. These actions can be taken without MITT stockholder approval, unless MITT stockholder approval is required by applicable law, the terms of any other class or series of MITT’s stock or the rules of any stock exchange or automated quotation system on which MITT securities may be listed or traded.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Maryland law, MITT stockholders are not personally liable for the obligations of a corporation solely as a result of their status as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09"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73" w:name="ifb2703b3b2d9411b9256fa0650d090cc"/>
      <w:bookmarkEnd w:id="173"/>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i/>
          <w:color w:val="000000"/>
          <w:sz w:val="20"/>
        </w:rPr>
      </w:pPr>
      <w:bookmarkStart w:id="174" w:name="ifb70b2c5db1048d3998c8edc46fa491e"/>
      <w:bookmarkEnd w:id="174"/>
      <w:r>
        <w:rPr>
          <w:rFonts w:ascii="Times New Roman;serif" w:hAnsi="Times New Roman;serif"/>
          <w:b/>
          <w:i/>
          <w:color w:val="000000"/>
          <w:sz w:val="20"/>
        </w:rPr>
        <w:t>Voting Rights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 xml:space="preserve">Each share of MITT Common Stock generally entitles the holder to one vote per share on all matters upon which MITT stockholders are entitled to vote and, except as provided with respect to any class or series of MITT preferred stock that MITT may issue, the holders of MITT Common Stock will possess exclusive voting power on all matters as to which MITT stockholders have voting rights. </w:t>
      </w:r>
      <w:r>
        <w:rPr>
          <w:rFonts w:ascii="Times New Roman;serif" w:hAnsi="Times New Roman;serif"/>
          <w:b w:val="false"/>
          <w:color w:val="000000"/>
          <w:sz w:val="20"/>
        </w:rPr>
        <w:t>Generally, all matters to be voted on by MITT stockholders must be approved by a majority (or, in the case of election of directors, by a plurality) of the votes cast by the holders of MITT Common Stock present in person or represented by proxy, voting together as a group, except for most charter amendments, mergers and other similar fundamental business transactions and dissolution, which must be approved by a majority of the votes entitled to be cast. There is no cumulative voting in the election of directors.</w:t>
      </w:r>
    </w:p>
    <w:p>
      <w:pPr>
        <w:pStyle w:val="TextBody"/>
        <w:bidi w:val="0"/>
        <w:spacing w:lineRule="auto" w:line="288" w:before="0" w:after="180"/>
        <w:jc w:val="both"/>
        <w:rPr>
          <w:rFonts w:ascii="Times New Roman;serif" w:hAnsi="Times New Roman;serif"/>
          <w:b/>
          <w:i/>
          <w:color w:val="000000"/>
          <w:sz w:val="20"/>
        </w:rPr>
      </w:pPr>
      <w:bookmarkStart w:id="175" w:name="i2c9a25e81b7e4c96a9e83612571b8872"/>
      <w:bookmarkEnd w:id="175"/>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outstanding shares of MITT Common Stock are duly authorized, fully paid and nonassessable. Holders of MITT Common Stock are entitled to receive dividends when authorized by the MITT Board and declared by MITT out of assets legally available for the payment of dividends.</w:t>
      </w:r>
    </w:p>
    <w:p>
      <w:pPr>
        <w:pStyle w:val="TextBody"/>
        <w:bidi w:val="0"/>
        <w:spacing w:lineRule="auto" w:line="288" w:before="0" w:after="180"/>
        <w:jc w:val="both"/>
        <w:rPr>
          <w:rFonts w:ascii="Times New Roman;serif" w:hAnsi="Times New Roman;serif"/>
          <w:b/>
          <w:i/>
          <w:color w:val="000000"/>
          <w:sz w:val="20"/>
        </w:rPr>
      </w:pPr>
      <w:bookmarkStart w:id="176" w:name="iff6cd2b6bc934deea570bfb1b20dd9c1"/>
      <w:bookmarkEnd w:id="176"/>
      <w:r>
        <w:rPr>
          <w:rFonts w:ascii="Times New Roman;serif" w:hAnsi="Times New Roman;serif"/>
          <w:b/>
          <w:i/>
          <w:color w:val="000000"/>
          <w:sz w:val="20"/>
        </w:rPr>
        <w:t xml:space="preserve">Liquidation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any dissolution, liquidation or winding up of MITT, after payment or provision for payment of the debts and other liabilities of MITT and subject to the rights, if any, of the holders of any outstanding series of preferred stock or any class or series of MITT stock having liquidation preferences, if any, the holders of MITT Common Stock will be entitled to receive MITT’s remaining assets available for distribution ratably in proportion with the number of shares of MITT Common Stock held by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MITT Common Stock have no appraisal, preference, conversion, exchange, sinking fund, redemption rights or preemptive rights upon liquidation, dissolution, or the winding up of MITT.</w:t>
      </w:r>
    </w:p>
    <w:p>
      <w:pPr>
        <w:pStyle w:val="TextBody"/>
        <w:bidi w:val="0"/>
        <w:spacing w:lineRule="auto" w:line="288" w:before="0" w:after="180"/>
        <w:jc w:val="both"/>
        <w:rPr>
          <w:rFonts w:ascii="Times New Roman;serif" w:hAnsi="Times New Roman;serif"/>
          <w:b/>
          <w:i/>
          <w:color w:val="000000"/>
          <w:sz w:val="20"/>
        </w:rPr>
      </w:pPr>
      <w:bookmarkStart w:id="177" w:name="i692f14739eec4b4da6a3d848d202b319"/>
      <w:bookmarkEnd w:id="177"/>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“Certain Provisions of the MGCL, the MITT Charter and the MITT Bylaws—Restrictions on Transfer” below for a description of restrictions on transfers of MITT’s capital stock, including MITT Common Stock.</w:t>
      </w:r>
    </w:p>
    <w:p>
      <w:pPr>
        <w:pStyle w:val="TextBody"/>
        <w:bidi w:val="0"/>
        <w:spacing w:lineRule="auto" w:line="288" w:before="0" w:after="180"/>
        <w:jc w:val="both"/>
        <w:rPr>
          <w:rFonts w:ascii="Times New Roman;serif" w:hAnsi="Times New Roman;serif"/>
          <w:b/>
          <w:i/>
          <w:color w:val="000000"/>
          <w:sz w:val="20"/>
        </w:rPr>
      </w:pPr>
      <w:bookmarkStart w:id="178" w:name="iabb3a3df95f84c77bb956f9c01a8095e"/>
      <w:bookmarkEnd w:id="178"/>
      <w:r>
        <w:rPr>
          <w:rFonts w:ascii="Times New Roman;serif" w:hAnsi="Times New Roman;serif"/>
          <w:b/>
          <w:i/>
          <w:color w:val="000000"/>
          <w:sz w:val="20"/>
        </w:rPr>
        <w:t>Transfer Agent and Registrar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MITT Common Stock is Equiniti Trust Company, LLC, which also serves as the dividend and redemption price disbursing agent for the MITT Series A Preferred Stock, the MITT Series B Preferred Stock and the MITT Series C Preferred Stock.</w:t>
      </w:r>
    </w:p>
    <w:p>
      <w:pPr>
        <w:pStyle w:val="TextBody"/>
        <w:bidi w:val="0"/>
        <w:spacing w:lineRule="auto" w:line="288" w:before="0" w:after="180"/>
        <w:jc w:val="both"/>
        <w:rPr>
          <w:rFonts w:ascii="Times New Roman;serif" w:hAnsi="Times New Roman;serif"/>
          <w:b/>
          <w:i/>
          <w:color w:val="000000"/>
          <w:sz w:val="20"/>
        </w:rPr>
      </w:pPr>
      <w:bookmarkStart w:id="179" w:name="i1b376e081965483396be8c8ae86917bc"/>
      <w:bookmarkEnd w:id="179"/>
      <w:r>
        <w:rPr>
          <w:rFonts w:ascii="Times New Roman;serif" w:hAnsi="Times New Roman;serif"/>
          <w:b/>
          <w:i/>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 is listed on the NYSE under the symbol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80" w:name="ia8bc31fe17f84d31ab57d0325801ba57"/>
      <w:bookmarkEnd w:id="180"/>
      <w:r>
        <w:rPr>
          <w:rFonts w:ascii="Times New Roman;serif" w:hAnsi="Times New Roman;serif"/>
          <w:b/>
          <w:color w:val="000000"/>
          <w:sz w:val="20"/>
        </w:rPr>
        <w:t>Preferred Stock</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MITT Charter authorizes the MITT Board, without any approval of the MITT stockholders, to issue shares of preferred stock in one or more classes or series, to establish the number of shares in each class or series, and to set the preferences, conversion or other rights, voting powers, restrictions, limitations as to dividends or other distributions, qualifications or terms or conditions of redemption of each such class or series. The terms of the MITT Series A Preferred Stock, the MITT Series B Preferred Stock and the MITT Series C Preferred Stock are set forth in the articles supplementary applicable to each class, which have been filed as exhibits to the registration statement of which this joint proxy statement/prospectus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10"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81" w:name="id13219c2f6e34e6c9051979250640a04"/>
      <w:bookmarkEnd w:id="181"/>
      <w:r>
        <w:rPr>
          <w:rFonts w:ascii="Times New Roman;serif" w:hAnsi="Times New Roman;serif"/>
          <w:b/>
          <w:color w:val="000000"/>
          <w:sz w:val="20"/>
        </w:rPr>
        <w:t>Certain Provisions of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the MGCL, the MITT Charter and the MITT Bylaws may delay, defer or prevent a change of control or other transaction in which holders of some, or a majority, of the shares of MITT Common Stock might receive a premium for their shares over the then prevailing market price of those shares or which such holders might believe to be otherwise in their best interests. The following paragraphs summarize a number of these provisions.</w:t>
      </w:r>
    </w:p>
    <w:p>
      <w:pPr>
        <w:pStyle w:val="TextBody"/>
        <w:bidi w:val="0"/>
        <w:spacing w:lineRule="auto" w:line="288" w:before="0" w:after="180"/>
        <w:jc w:val="both"/>
        <w:rPr>
          <w:rFonts w:ascii="Times New Roman;serif" w:hAnsi="Times New Roman;serif"/>
          <w:b/>
          <w:i/>
          <w:color w:val="000000"/>
          <w:sz w:val="20"/>
        </w:rPr>
      </w:pPr>
      <w:bookmarkStart w:id="182" w:name="i8f4a407177f74972a141f9e8bd024626"/>
      <w:bookmarkEnd w:id="182"/>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qualify as a REIT under the Code, MITT capital stock must be beneficially owned by 100 or more persons during at least 335 days of a taxable year of 12 months or during a proportionate part of a shorter taxable year. Also, not more than 50% of the value of the outstanding MITT capital stock may be owned, directly or indirectly, by five or fewer individuals (as defined in the Code to include certain entities) during the last half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contains restrictions on the ownership and transfer of MITT capital stock. The relevant sections of the MITT Charter provide that, subject to the exceptions described below, no person or entity may beneficially own, or be deemed to own, by virtue of the applicable constructive ownership provisions of the Code, either (i) more than 9.8% in value or in number of shares, whichever is more restrictive, of the outstanding MITT Common Stock, or (ii) more than 9.8% in value or in number of shares, whichever is more restrictive, of MITT outstanding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constructive ownership rules under the Code are complex and may cause MITT capital stock owned actually or constructively by a group of related individuals and/or entities to be owned constructively by one individual or entity. As a result, the acquisition of less than 9.8% in value or in number of shares (or the acquisition of an interest in an entity that owns, actually or constructively, MITT capital stock) could, nevertheless, cause an individual or entity to own constructively in excess of 9.8% in value or in number of shares, whichever is more restrictive, and thereby violate the applicable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upon receipt of certain representations and undertakings and in its sole discretion, exempt (prospectively or retroactively) any person, in whole or in part, from the above-referenced stock ownership limits or establish or increase a limit, or excepted holder limit, for a particular stockholder if the person’s ownership in excess of the stock ownership limits will not then or in the future result in MITT being “closely held” under Section 856(h) of the Code (without regard to whether the stockholder’s interest is held during the last half of a taxable year) or otherwise jeopardize MITT’s qualification as a REIT. As a condition of its exemption, creation or increase of an excepted holder limit, the MITT Board may, but is not required to, require an opinion of counsel or IRS ruling satisfactory to the MITT Board with respect to MITT qualification as a REIT. The MITT Board may only reduce the excepted holder limit with the written consent of the related excepted holder at any time, or pursuant to the terms and conditions of the agreements entered into in connection with the establishment of the excepted holder limit for such excepted holder. No excepted holder limit may be reduced to a percentage that is less than the common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an exemption from the stock ownership limits, establishing an excepted holder limit or at any other time, the MITT Board may from time to time increase or decrease the stock ownership limits for all other persons and entities; provided, however, that any decrease in the stock ownership limits will not be effective for any person whose percentage ownership of MITT shares of capital stock is in excess of such decreased limits until such time as such person’s percentage ownership of MITT shares of capital stock equals or falls below such decreased limits, but any further acquisition of MITT shares of capital stock in excess of such person’s percentage ownership of MITT shares of capital stock will be in violation of the applicable limits; and provided, further, that the stock ownership limits may not be increased if, after giving effect to such increase or decrease, five or fewer individuals could beneficially own or constructively own in the aggregate more than 49.9% in value of the shares then outstanding.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further prohibits: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11"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beneficially or constructively owning, applying certain attribution rules of the Code, MITT capital stock that would result in MITT being “closely held” under Section 856(h) of the Code (without regard to whether the stockholder’s interest is held during the last half of a taxable year) or otherwise cause MITT to fail to qualify as a REIT;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transferring MITT capital stock if such transfer would result in MITT capital stock being beneficially owned by fewer than 100 persons (determined without reference to any rules of attribution).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who acquires, attempts or intends to acquire beneficial or constructive ownership of MITT capital stock that will or may violate the stock ownership limits or any of the other foregoing restrictions on ownership and transfer of MITT capital stock is required to immediately give written notice to MITT or, in the case of such a proposed or attempted transaction, give at least 15 days’ prior written notice to MITT, and provide MITT with such other information as MITT may request in order to determine the effect of such transfer on MITT qualification as a REIT. The stock ownership limits and the other restrictions on ownership and transfer of MITT capital stock will not apply if the MITT Board determines that it is no longer in MITT’s best interest to attempt to qualify, or to continue to qualify, as a REIT, and the MITT Board determines that compliance with such limits and other restrictions is no longer required.</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Pursuant to the MITT Charter, if any transfer of MITT capital stock would result in MITT capital stock being beneficially owned by fewer than 100 persons, such transfer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and the intended transferee will acquire no rights in such shares. In addition, if any purported transfer of MITT capital stock or any other event would otherwise result 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violating the stock ownership limits or such other limit established by the MITT Board;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being “closely held” under Section 856(h) of the Code (without regard to whether the stockholder’s interest is held during the last half of a taxable year) or otherwise failing to qualify as a REIT, then that number of shares (rounded to the nearest whole share) that would cause MITT to violate such restrictions will automatically be deemed to be transferred to, and held by, a charitable trust for the exclusive benefit of one or more charitable organizations selected by MITT, and the intended transferee will acquire no rights in such shares. The deemed transfer will be effective as of the close of business on the business day prior to the date of the violative transfer or other event that results in a deemed transfer to the charitable trust. A person who, but for the deemed transfer of the shares to the charitable trust, would have beneficially or constructively owned the shares so transferred is referred to as a “prohibited owner,” which, if appropriate in the context, also means any person who would have been the record owner of the shares that the prohibited owner would have so owned.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made to the prohibited owner, prior to MITT discovery that the shares had been deemed to be transferred to the charitable trust as described above, must be repaid to the trustee of the charitable trust upon demand for distribution to the beneficiary by the charitable trust. If the transfer to the charitable trust as described above would not be effective, for any reason, to prevent violation of the applicable restriction on ownership and transfer contained in the MITT Charter, then the MITT Charter provides that the transfer of the shares will be void ab initio, and the intended transferee will acquire no rights in such shares. These rights will be exercised for the exclusive benefit of the charitable beneficiary. Any distribution authorized but unpaid will be paid when due to the trustee.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stock transferred to the trustee of a charitable trust are deemed offered for sale to MITT, or a designee, at a price per share equal to the lesser of (i) the price paid per share in the transaction that resulted in such transfer to the charitable trust (or, if the event that resulted in the transfer to the charitable trust did not involve a purchase of such capital stock at market price, the last reported sales price reported on the NYSE (or other applicable exchange) on the trading day immediately preceding the day of the event which resulted in the transfer of such capital stock to the charitable trust) and (ii) the market price on the date MITT, or its designee, accepts such offer. MITT has the right to accept such offer until the trustee has sold the shares held in the charitable trust as discussed below. Upon a sale to MITT, the interest of the charitable beneficiary in the shares sold terminates, the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12"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trustee must distribute the net proceeds of the sale to the prohibited owner and any distributions held by the trustee with respect to such capital stock will be made to the charitable beneficiary.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does not buy the shares, the trustee must, within 20 days of receiving notice from MITT of the transfer of shares to the charitable trust, sell the shares to a person or entity designated by the trustee who could own the shares without violating the stock ownership limits or the other restrictions on ownership and transfer of shares of MITT capital stock described above. After that, the trustee must distribute to the prohibited owner an amount equal to the lesser of (i) the price paid by the prohibited owner for the shares in the transaction that resulted in the transfer to the charitable trust (or, if the event which resulted in the transfer to the charitable trust did not involve a purchase of such shares at market price, the last reported sales price reported on the NYSE (or other applicable exchange) on the trading day immediately preceding the relevant date) and (ii) the sales proceeds (net of commissions and other expenses of sale) received by the charitable trust for the shares. Any net sales proceeds in excess of the amount payable to the prohibited owner will be immediately paid to the charitable beneficiary, together with any distributions thereon. In addition, if, prior to discovery by MITT that MITT capital stock has been transferred to a charitable trust, such capital stock is sold by a prohibited owner, then such shares will be deemed to have been sold on behalf of the charitable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trustee of the charitable trust will be designated by MITT and will be unaffiliated with MITT and with any prohibited owner. Prior to the sale of any shares by the charitable trust, the trustee will receive, in trust for the charitable beneficiary, all distributions made by MITT with respect to such shares and may also exercise all voting rights with respect to such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Maryland law, effective as of the date that the shares have been transferred to the charitable trust, the trustee will have the authority, at the trustee’s sole discretion: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rescind as void any vote cast by a purported record transferee prior to MITT discovery that the shares have been transferred to the charitable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recast the vote in accordance with the desires of the trustee acting for the benefit of the beneficiary of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if MITT has already taken irreversible corporate action, then the trustee may not rescind and recast the vote.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MITT Board determines in good faith that a proposed transfer would violate the restrictions on ownership and transfer of MITT capital stock set forth in the MITT Charter, the MITT Board will take such action as it deems advisable to refuse to give effect to or to prevent such transfer, including, but not limited to, causing MITT to redeem capital stock, refusing to give effect to the transfer on MITT books or instituting proceedings to enjoin the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Every owner of more than 5% (or such lower percentage as required by the Code or the regulations promulgated thereunder) of all classes or series of MITT shares of capital stock is required to give written notice to MITT within 30 days after the end of each taxable year stating the name and address of such owner, the number of shares of each class and series of shares that the owner beneficially owns and a description of the manner in which such shares are held. Each such owner will be required to provide to MITT such additional information as MITT may request in order to determine the effect, if any, of such beneficial ownership on MITT’s qualification as a REIT and to ensure compliance with the stock ownership limits. In addition, each stockholder is, upon demand, required to provide to MITT such information as we may request, in good faith, in order to determine MITT’s qualification as a REIT and to comply with the requirements of any taxing authority or governmental authority or to determine such compliance.</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13"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83" w:name="if008c6adaeb04bedb56f4d997c038bb1"/>
      <w:bookmarkEnd w:id="183"/>
      <w:r>
        <w:rPr>
          <w:rFonts w:ascii="Times New Roman;serif" w:hAnsi="Times New Roman;serif"/>
          <w:b/>
          <w:i/>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voting stock of such corporation and (2) 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 The super-majority vote requirements do not apply if the corporation’s common stockholders receive a minimum price (as defined in the MGCL) for their shares and the consideration is received in cash or in the same form as previously paid by the interested stockholder for its shares. Under the MGCL, a person is not an “interested stockholder” if the board of directors approved in advance the transaction by which the person otherwise would have become an interested stockholder. A corporation’s board of directors may provide that its approval is subject to compliance with any terms and conditions determined by it. The MITT Board </w:t>
      </w:r>
      <w:r>
        <w:rPr>
          <w:rFonts w:ascii="Times New Roman;serif" w:hAnsi="Times New Roman;serif"/>
          <w:b w:val="false"/>
          <w:color w:val="000000"/>
          <w:sz w:val="20"/>
          <w:shd w:fill="FFFFFF" w:val="clear"/>
        </w:rPr>
        <w:t xml:space="preserve">has, by resolution, exempted business combinations between MITT and any other person, </w:t>
      </w:r>
      <w:r>
        <w:rPr>
          <w:rFonts w:ascii="Times New Roman;serif" w:hAnsi="Times New Roman;serif"/>
          <w:b w:val="false"/>
          <w:i/>
          <w:color w:val="000000"/>
          <w:sz w:val="20"/>
          <w:shd w:fill="FFFFFF" w:val="clear"/>
        </w:rPr>
        <w:t>provided that</w:t>
      </w:r>
      <w:r>
        <w:rPr>
          <w:color w:val="000000"/>
          <w:shd w:fill="FFFFFF" w:val="clear"/>
        </w:rPr>
        <w:t xml:space="preserve"> </w:t>
      </w:r>
      <w:r>
        <w:rPr>
          <w:rFonts w:ascii="Times New Roman;serif" w:hAnsi="Times New Roman;serif"/>
          <w:b w:val="false"/>
          <w:color w:val="000000"/>
          <w:sz w:val="20"/>
          <w:shd w:fill="FFFFFF" w:val="clear"/>
        </w:rPr>
        <w:t>the business combination is first approved by the MITT Board. This resolution, however, may be altered or repealed in whole or in part at any time.</w:t>
      </w:r>
    </w:p>
    <w:p>
      <w:pPr>
        <w:pStyle w:val="TextBody"/>
        <w:bidi w:val="0"/>
        <w:spacing w:lineRule="auto" w:line="288" w:before="0" w:after="180"/>
        <w:jc w:val="both"/>
        <w:rPr>
          <w:rFonts w:ascii="Times New Roman;serif" w:hAnsi="Times New Roman;serif"/>
          <w:b/>
          <w:i/>
          <w:color w:val="000000"/>
          <w:sz w:val="20"/>
        </w:rPr>
      </w:pPr>
      <w:bookmarkStart w:id="184" w:name="i2f4409b878784c8fbc14dcd61a8cb889"/>
      <w:bookmarkEnd w:id="184"/>
      <w:r>
        <w:rPr>
          <w:rFonts w:ascii="Times New Roman;serif" w:hAnsi="Times New Roman;serif"/>
          <w:b/>
          <w:i/>
          <w:color w:val="000000"/>
          <w:sz w:val="20"/>
        </w:rPr>
        <w:t>Control Share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provides that a holder of “control shares” of a Maryland corporation acquired in a “control share acquisition” has no voting rights with respect to those shares except to the extent approved by the affirmative vote of stockholders entitled to cast at least two-thirds of the votes entitled to be cast on the matter, excluding shares of stock in respect of which any of the following persons is entitled to exercise or direct the exercise of the voting power of such shares in the election of directors: (1) the person that has made or proposed to make the control share acquisition, (2) an officer of the corporation or (3) an employee of the corporation who is also a director of the corporation. “Control shares” are outstanding shares of voting stock which, if aggregated with all other such shares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stockholder approval or shares acquired directly from the corporation. A “control share acquisition” means the acquisition of issued and outstanding control shares, subject to certain exceptions.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upon satisfaction of certain conditions (including an undertaking to pay expenses and making an “acquiring person statement” as described in MGCL),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voting rights are not approved at the meeting or if the acquirer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acquirer.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14"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control share acquisition statute does not apply to (1) shares acquired in a merger, consolidation or statutory share exchange if the corporation is a party to the transaction or (2) acquisitions approved or exempted by the charter or bylaws of the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contain a provision exempting from the control share acquisition statute any and all acquisitions by any person of MITT stock. There is no assurance that such provision will not be amended or eliminated at any time in the future.</w:t>
      </w:r>
    </w:p>
    <w:p>
      <w:pPr>
        <w:pStyle w:val="TextBody"/>
        <w:bidi w:val="0"/>
        <w:spacing w:lineRule="auto" w:line="288" w:before="0" w:after="180"/>
        <w:jc w:val="both"/>
        <w:rPr>
          <w:rFonts w:ascii="Times New Roman;serif" w:hAnsi="Times New Roman;serif"/>
          <w:b/>
          <w:i/>
          <w:color w:val="000000"/>
          <w:sz w:val="20"/>
        </w:rPr>
      </w:pPr>
      <w:bookmarkStart w:id="185" w:name="i9e9cc536a5b34bf8862f92feac559c94"/>
      <w:bookmarkEnd w:id="185"/>
      <w:r>
        <w:rPr>
          <w:rFonts w:ascii="Times New Roman;serif" w:hAnsi="Times New Roman;serif"/>
          <w:b/>
          <w:i/>
          <w:color w:val="000000"/>
          <w:sz w:val="20"/>
        </w:rPr>
        <w:t>Subtitle 8</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Subtitle 8 of Title 3 of the MGCL permits the board of directors of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classified board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two-thirds vote requirement for removing a director;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the number of directors be fixed only by vote of the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a vacancy on the board of directors be filled only by the remaining directors and, if the board of directors is classified, for the remainder of the full term of the class of directors in which the vacancy occurred;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majority requirement for the calling of a stockholder-requested special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MITT has elected to be subject to the provision of Subtitle 8 relating to the filling of vacancies on the MITT Board, but has not taken any action to preclude the MITT Board from electing to be subject to any of the other provisions of Subtitle 8 summarized immediately above. Through provisions in the MITT Charter and the MITT Bylaws unrelated to Subtitle 8, MITT already (1) requires a two-thirds vote for the removal of any director from the MITT Board, which removal will be allowed only for cause, (2) provides the MITT Board the exclusive power to fix the number of directorships, and (3) require, unless called by the chairman of the MITT Board, MITT president, MITT chief executive officer or the MITT Board, the written request of stockholders entitled to cast not less than a majority of all votes entitled to be cast on any matter that may properly be considered at a meeting of stockholders in order to call a special meeting to act on such matter.</w:t>
      </w:r>
    </w:p>
    <w:p>
      <w:pPr>
        <w:pStyle w:val="TextBody"/>
        <w:bidi w:val="0"/>
        <w:spacing w:lineRule="auto" w:line="288" w:before="0" w:after="180"/>
        <w:jc w:val="both"/>
        <w:rPr>
          <w:rFonts w:ascii="Times New Roman;serif" w:hAnsi="Times New Roman;serif"/>
          <w:b/>
          <w:i/>
          <w:color w:val="000000"/>
          <w:sz w:val="20"/>
        </w:rPr>
      </w:pPr>
      <w:bookmarkStart w:id="186" w:name="if1fa71d5a7384553ab40dbb1b09023cf"/>
      <w:bookmarkEnd w:id="186"/>
      <w:r>
        <w:rPr>
          <w:rFonts w:ascii="Times New Roman;serif" w:hAnsi="Times New Roman;serif"/>
          <w:b/>
          <w:i/>
          <w:color w:val="000000"/>
          <w:sz w:val="20"/>
        </w:rPr>
        <w:t>Meetings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 meeting of MITT stockholders for the election of directors and the transaction of any business will be held annually on a date and at the time and place set by the MITT Board. The chairman of the MITT Board, MITT chief executive officer, MITT president or the MITT Board may call a special meeting of MITT stockholders. Subject to the provisions of the MITT Bylaws, a special meeting of MITT stockholders to act on any matter that may properly be brought before a meeting of MITT stockholders must also be called by the MITT secretary upon the written request of the stockholders entitled to cast a majority of all the votes entitled to be cast on such matter at the meeting and containing the information required by the MITT Bylaws. MITT’s secretary will inform the requesting stockholders of the reasonably estimated cost of preparing and delivering the notice of meeting (including the MITT proxy materials), and the requesting stockholder must pay such estimated cost before the MITT secretary is required to prepare and deliver the notice of the special meeting.</w:t>
      </w:r>
    </w:p>
    <w:p>
      <w:pPr>
        <w:pStyle w:val="TextBody"/>
        <w:bidi w:val="0"/>
        <w:spacing w:lineRule="auto" w:line="288" w:before="0" w:after="180"/>
        <w:jc w:val="both"/>
        <w:rPr>
          <w:rFonts w:ascii="Times New Roman;serif" w:hAnsi="Times New Roman;serif"/>
          <w:b/>
          <w:i/>
          <w:color w:val="000000"/>
          <w:sz w:val="20"/>
        </w:rPr>
      </w:pPr>
      <w:bookmarkStart w:id="187" w:name="i9eceb41940b4449b913c883941f4b2f5"/>
      <w:bookmarkEnd w:id="187"/>
      <w:r>
        <w:rPr>
          <w:rFonts w:ascii="Times New Roman;serif" w:hAnsi="Times New Roman;serif"/>
          <w:b/>
          <w:i/>
          <w:color w:val="000000"/>
          <w:sz w:val="20"/>
        </w:rPr>
        <w:t>Amendment to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MGCL, a Maryland corporation generally cannot amend its charter unless advised by its board of directors and approved by the affirmative vote of its stockholders entitled to cast at least two-thirds of the votes entitled to be cast on the matter unless a different percentage (but not less than a majority of all of the votes entitled to be cast on the matter) is set forth in its charter.</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15"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MITT Charter related to the removal of directors, the vote required to amend the provision regarding amendments to the removal provisions itself, and amendments to the provisions regarding restrictions on transfer and ownership of shares (each of which require the affirmative vote of the holders of shares entitled to cast not less than two-thirds of all the votes entitled to be cast on the matter) and certain non-substantive amendments to the MITT Charter that require only approval by the MITT Board under the MGCL, the MITT Charter may be amended only with the approval of the MITT Board and the affirmative vote of the holders of shares of MITT stock entitled to cast not less than a majority of all of the votes entitled to be cast on the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MITT Board has the exclusive power to adopt, alter or repeal any provision of the MITT Bylaws and to make new bylaws.</w:t>
      </w:r>
    </w:p>
    <w:p>
      <w:pPr>
        <w:pStyle w:val="TextBody"/>
        <w:bidi w:val="0"/>
        <w:spacing w:lineRule="auto" w:line="288" w:before="0" w:after="180"/>
        <w:jc w:val="both"/>
        <w:rPr>
          <w:rFonts w:ascii="Times New Roman;serif" w:hAnsi="Times New Roman;serif"/>
          <w:b/>
          <w:i/>
          <w:color w:val="000000"/>
          <w:sz w:val="20"/>
        </w:rPr>
      </w:pPr>
      <w:bookmarkStart w:id="188" w:name="i7eed4acb40cd468386826cbda0af8b47"/>
      <w:bookmarkEnd w:id="188"/>
      <w:r>
        <w:rPr>
          <w:rFonts w:ascii="Times New Roman;serif" w:hAnsi="Times New Roman;serif"/>
          <w:b/>
          <w:i/>
          <w:color w:val="000000"/>
          <w:sz w:val="20"/>
        </w:rPr>
        <w:t>Advance Notice of Director Nominations and New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nominations of individuals for election to the board of directors or proposals of other business may be made at an annual meeting (1) pursuant to MITT notice of meeting, (2) by or at the direction of the MITT Board or (3) by any stockholder of record who is a stockholder at the record date for the meeting, at the time of giving of notice pursuant to the MITT Bylaws and at the time of the annual meeting (and any postponement or adjournment thereof), who is entitled to vote at the meeting in the election of each individual so nominated or on any such other business and who has complied with the advance notice procedures set forth in the MITT Bylaws. The MITT Bylaws currently require the stockholder to provide notice to the secretary containing the information required by the MITT Bylaws not less than 120 days nor more than 150 days prior to the first anniversary of the date of MITT proxy statement for the solicitation of proxies for election of directors at the preceding year’s annual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With respect to special meetings of MITT stockholders, only the business specified in MITT’s notice of meeting may be brought before the meeting. Nominations of individuals for election to the MITT Board may be made at a special meeting, (1) by or at the direction of the board of directors, or (2)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MITT Board has determined that directors shall be elected at that special meeting, by any stockholder who is a holder of record at the record date for the meeting, at the time of giving of notice and at the time of the special meeting (and any postponement or adjournment thereof) who is entitled to vote at the meeting in the election of each individual so nominated and who complies with the notice procedures set forth in the MITT Bylaws. Such stockholder may nominate one or more individuals, as the case may be, for election as a director if the stockholder’s notice containing the information required by the MITT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the MITT Board to be elected at the meeting.</w:t>
      </w:r>
    </w:p>
    <w:p>
      <w:pPr>
        <w:pStyle w:val="TextBody"/>
        <w:bidi w:val="0"/>
        <w:spacing w:lineRule="auto" w:line="288" w:before="0" w:after="180"/>
        <w:jc w:val="both"/>
        <w:rPr>
          <w:rFonts w:ascii="Times New Roman;serif" w:hAnsi="Times New Roman;serif"/>
          <w:b/>
          <w:i/>
          <w:color w:val="000000"/>
          <w:sz w:val="20"/>
        </w:rPr>
      </w:pPr>
      <w:bookmarkStart w:id="189" w:name="i98cfc8ada22f4e538e20ffd520c8906d"/>
      <w:bookmarkEnd w:id="189"/>
      <w:r>
        <w:rPr>
          <w:rFonts w:ascii="Times New Roman;serif" w:hAnsi="Times New Roman;serif"/>
          <w:b/>
          <w:i/>
          <w:color w:val="000000"/>
          <w:sz w:val="20"/>
        </w:rPr>
        <w:t>Anti-takeover Effect of Certain Provisions of Maryland Law and of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applicable exemption in the MITT Bylaws is repealed and the applicable resolution of the MITT Board is repealed, or the MITT Board elects to be bound by one or more of the remaining provisions of Subtitle 8 of the MGCL, the control share acquisition provisions, the business combination provisions of the MGCL, and the remaining provisions of Subtitle 8, respectively, as well as the provisions in the MITT Bylaws on removal of directors and filling director vacancies, together with the advance notice and stockholder-requested special meeting provisions of the MITT Bylaws, alone or in combination, could serve to delay, deter or prevent a transaction or a change in MITT’s control that might involve a premium price for holders of MITT Common Stock or otherwise be in their best interests.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share ownership limits described above under “—Restrictions on Transfer” might also delay, deter or prevent a transaction or a change in MITT’s control that might involve a premium price for holders of MITT Common Stock or otherwise be in their best interests.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Limitation of Directors’ and Officers’ Liability</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16"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MITT’s charter contains a provision that eliminates such liability to the maximum extent permitted by Maryland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requires a Maryland corporation (unless its charter provides otherwise, which MITT’s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(1) the act or omission of the director or officer was 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a director or officer for an adverse judgment in a suit by or in the right of the corporation or for a judgment of liability on the basis that a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MITT or in MITT’s right, or for a judgment of liability on the basis that personal benefit was improperly received, is limited to expenses. In addition, the MGCL permits a corporation to advance reasonable expenses to a director or officer upon the corporation’s receipt of  (1) a written affirmation by the director or officer of his or her good faith belief that he or she has met the standard of conduct necessary for indemnification by the corporation and (2) a written undertaking by him or her or on his or her behalf to repay the amount paid or reimbursed by the corporation if it is ultimately determined that the appropriate standard of conduct was not met.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authorizes MITT to obligate itself and MITT’s bylaws obligate MITT,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present or former director or officer;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individual who, while MITT’s director or officer and at MITT’s request, serves or has served as a director, officer, partner or trustee of another corporation, partnership, joint venture, trust, employee benefit plan or other enterprise.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and bylaws also permit MITT to indemnify and advance expenses to any person who served a predecessor of MITT’s in any of the capacities described above and to any employee or agent of MITT or a predecessor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indemnification agreements with each of its directors and executive officers that provide for indemnification to the maximum extent permitted by Maryland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17"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0" w:name="ifb1874158d94497e8abb88a96ffab8aa"/>
      <w:bookmarkEnd w:id="190"/>
      <w:r>
        <w:rPr>
          <w:rFonts w:ascii="Times New Roman;serif" w:hAnsi="Times New Roman;serif"/>
          <w:b/>
          <w:color w:val="000000"/>
          <w:sz w:val="20"/>
        </w:rPr>
        <w:t>COMPARISON OF RIGHTS OF MITT STOCKHOLDERS AND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incorporated under Maryland law and MITT is incorporated under Maryland law. The rights of CHMI stockholders are governed by the MGCL, the CHMI Charter and the CHMI Bylaws. The rights of MITT stockholders are governed by the MGCL, the MITT Charter and the MITT Bylaws. Upon consummation of the Mergers, the rights of the CHMI stockholders who receive MITT Common Stock will be governed by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differences, as of the date of this joint proxy statement/prospectus, between the rights of CHMI stockholders and the rights of MITT stockholders under the governing documents of CHMI and MITT and the above-described laws which govern CHMI and MITT, respectively. The following summary is qualified in its entirety by reference to the relevant provisions of the (i) MGCL, (ii) CHMI Charter, (iii) MITT Charter, (iv) CHMI Bylaws and (v)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does not include a complete description of all differences between the rights of CHMI stockholders and MITT stockholders, nor does it include a complete description of the specific rights of such holders. Furthermore, the identification of some of the differences in the rights of such holders is not intended to indicate that other differences that may be equally important do not exist. You are urged to read carefully the relevant provisions of Maryland law, as well as the governing documents of each of CHMI and MITT, each as amended, restated, supplemented or otherwise modified from time to time, copies of which are available, without charge, to any person, including any beneficial owner to whom this joint proxy statement/prospectus is delivered, by following the instructions listed under “Where You Can Find More Information and Incorporation by Reference” beginning on page 215.</w:t>
      </w:r>
    </w:p>
    <w:tbl>
      <w:tblPr>
        <w:tblW w:w="10205" w:type="dxa"/>
        <w:jc w:val="left"/>
        <w:tblInd w:w="0" w:type="dxa"/>
        <w:tblLayout w:type="fixed"/>
        <w:tblCellMar>
          <w:top w:w="28" w:type="dxa"/>
          <w:left w:w="28" w:type="dxa"/>
          <w:bottom w:w="28" w:type="dxa"/>
          <w:right w:w="28" w:type="dxa"/>
        </w:tblCellMar>
      </w:tblPr>
      <w:tblGrid>
        <w:gridCol w:w="446"/>
        <w:gridCol w:w="391"/>
        <w:gridCol w:w="394"/>
        <w:gridCol w:w="1444"/>
        <w:gridCol w:w="1431"/>
        <w:gridCol w:w="1435"/>
        <w:gridCol w:w="1364"/>
        <w:gridCol w:w="1364"/>
        <w:gridCol w:w="193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Authorized Capital Stock</w:t>
            </w:r>
          </w:p>
        </w:tc>
        <w:tc>
          <w:tcPr>
            <w:tcW w:w="431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CHMI is authorized to issue 600,000,000 shares of stock, consisting of (i) 500,000,000 shares of CHMI Common Stock and (ii) 100,000,000 shares of CHMI Preferred Stock.</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2, 2026, there were (i) 36,947,394 shares of CHMI Common Stock outstanding, (ii) 2,781,635 shares of CHMI Series A Preferred Stock outstanding, and (iii) 1,604,103 shares of CHMI Series B Preferred Stock outstanding.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MITT is authorized to issue 500,000,000 shares of stock, consisting of (i) 450,000,000 shares of MITT Common Stock and (ii) 50,000,000 shares of preferred stock, $0.01 par value per share.</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As of October 2, 2026, there were (i) 31,803,475 shares of MITT Common Stock outstanding and (ii) 1,663,193 shares of MITT Series A Preferred Stock outstanding, 3,727,641 shares of MITT Series B Preferred Stock outstanding and 3,728,795 shares of MITT Series C Preferred Stock outstanding.</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Size of Board</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the number of directors may not be less than the minimum number required under the MGCL nor more than 15. The number of directors may be increased or decreased by a majority of the CHMI Board. The CHMI Board currently consists of five directors.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number of directors may not be less than the minimum number required under the MGCL (currently one) and not more than 15. The number of directors may be increased or decreased only by a majority vote of the MITT Board. The MITT Board currently consists of six directors.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Election of Directors</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a plurality of all votes cast at the annual meeting of stockholders duly called at which a quorum is present is sufficient to elect a director.</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a plurality of all the votes cast at the annual meeting of stockholders duly called at which a quorum is present is sufficient to elect a director.</w:t>
            </w:r>
          </w:p>
        </w:tc>
      </w:tr>
    </w:tbl>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18"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8"/>
        <w:gridCol w:w="312"/>
        <w:gridCol w:w="314"/>
        <w:gridCol w:w="1381"/>
        <w:gridCol w:w="1127"/>
        <w:gridCol w:w="1130"/>
        <w:gridCol w:w="1602"/>
        <w:gridCol w:w="1560"/>
        <w:gridCol w:w="2211"/>
      </w:tblGrid>
      <w:tr>
        <w:trPr/>
        <w:tc>
          <w:tcPr>
            <w:tcW w:w="5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Removal of Directors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the rights of holders of one or more classes or series of preferred stock, any director, or the entire CHMI Board, may be removed at any time, but only for cause, and then only by the affirmative vote of stockholders entitled to cast at least two-thirds of all votes entitled to be cast generally in the election of directors.</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 of this provision of the CHMI Charter, “cause” means, with respect to any particular director, conviction of a felony or a final judgment of a court of competent jurisdiction holding that such director caused demonstrable, material harm to CHMI through bad faith or active and deliberate dishonesty.</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subject to the rights of holders of one or more classes or series of preferred stock, any or all directors may be removed from office only for “cause” by the affirmative vote of the stockholders entitled to cast at least two-thirds of the votes entitled to be cast generally in the election of directors. For the purpose of this provision of the MITT Charter, “cause” means, with respect to any particular director, conviction of a felony or a final judgment of a court of competent jurisdiction holding that such director caused demonstrable, material harm to MITT through bad faith or active and deliberate dishonesty.</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Charter</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CHMI Charter relating to the removal of directors or restrictions on transfer and ownership of shares of CHMI stock (which requires the affirmative vote of stockholders entitled to cast at least two-thirds of all the votes entitled to be cast on the matter), the CHMI Charter generally may be amended if approved by the CHMI Board and CHMI stockholders entitled to cast a majority of all votes entitled to be cast on the matter.</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for (i) amendments pe</w:t>
            </w:r>
            <w:r>
              <w:rPr>
                <w:rFonts w:ascii="Times New Roman;serif" w:hAnsi="Times New Roman;serif"/>
                <w:b w:val="false"/>
                <w:color w:val="000000"/>
                <w:sz w:val="20"/>
                <w:shd w:fill="FFFFFF" w:val="clear"/>
              </w:rPr>
              <w:t xml:space="preserve">rmitted to be made without stockholder approval under Maryland law or by specific provision in the MITT Charter and (ii) provisions of the MITT Charter relating to (A) the removal of directors or (B) restrictions on transfer and ownership of shares of MITT stock, </w:t>
            </w:r>
            <w:r>
              <w:rPr>
                <w:rFonts w:ascii="Times New Roman;serif" w:hAnsi="Times New Roman;serif"/>
                <w:b w:val="false"/>
                <w:color w:val="000000"/>
                <w:sz w:val="20"/>
              </w:rPr>
              <w:t>t</w:t>
            </w:r>
            <w:r>
              <w:rPr>
                <w:rFonts w:ascii="Times New Roman;serif" w:hAnsi="Times New Roman;serif"/>
                <w:b w:val="false"/>
                <w:color w:val="000000"/>
                <w:sz w:val="20"/>
                <w:shd w:fill="FFFFFF" w:val="clear"/>
              </w:rPr>
              <w:t>he MITT Charter may only be amended if (i) declared advisable by the MITT Board and</w:t>
            </w:r>
            <w:r>
              <w:rPr>
                <w:color w:val="000000"/>
              </w:rPr>
              <w:t xml:space="preserve"> </w:t>
            </w:r>
            <w:r>
              <w:rPr>
                <w:rFonts w:ascii="Times New Roman;serif" w:hAnsi="Times New Roman;serif"/>
                <w:b w:val="false"/>
                <w:color w:val="000000"/>
                <w:sz w:val="20"/>
              </w:rPr>
              <w:t xml:space="preserve">(ii) approved by the MITT stockholders entitled to cast a majority of all the votes entitled to be cast on the matter. Any amendment to </w:t>
            </w:r>
            <w:r>
              <w:rPr>
                <w:rFonts w:ascii="Times New Roman;serif" w:hAnsi="Times New Roman;serif"/>
                <w:b w:val="false"/>
                <w:color w:val="000000"/>
                <w:sz w:val="20"/>
                <w:shd w:fill="FFFFFF" w:val="clear"/>
              </w:rPr>
              <w:t>a provision of the MITT Charter relating to (A) the removal of directors or (B) restrictions on transfer and ownership of shares of MITT stock may only be amended if (i)</w:t>
            </w:r>
            <w:r>
              <w:rPr>
                <w:color w:val="000000"/>
              </w:rPr>
              <w:t xml:space="preserve"> </w:t>
            </w:r>
            <w:r>
              <w:rPr>
                <w:rFonts w:ascii="Times New Roman;serif" w:hAnsi="Times New Roman;serif"/>
                <w:b w:val="false"/>
                <w:color w:val="000000"/>
                <w:sz w:val="20"/>
              </w:rPr>
              <w:t>declared advisable by the MITT Board and (ii) approved by the affirmative stockholder vote of at least two-thirds of all the votes of MITT stockholders entitled to be cast on the matter.</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Bylaws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in the CHMI Bylaws to the contrary, the CHMI Charter gives the CHMI Board the exclusive power to adopt, alter or repeal any provision of the CHMI Bylaws and to make new Bylaws.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the MITT Board has the exclusive power to adopt, alter or repeal any provision of the MITT Bylaws and to make new bylaws.</w:t>
            </w:r>
          </w:p>
        </w:tc>
      </w:tr>
    </w:tbl>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19"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2"/>
        <w:gridCol w:w="397"/>
        <w:gridCol w:w="399"/>
        <w:gridCol w:w="2071"/>
        <w:gridCol w:w="2001"/>
        <w:gridCol w:w="2005"/>
        <w:gridCol w:w="892"/>
        <w:gridCol w:w="822"/>
        <w:gridCol w:w="1166"/>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607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4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Ownership and Transfer Restrictions</w:t>
            </w:r>
          </w:p>
        </w:tc>
        <w:tc>
          <w:tcPr>
            <w:tcW w:w="607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certain exceptions, no person may beneficially or constructively own more than 9.0% in value or in number of shares, whichever is more restrictive, of the outstanding shares of any class or series of CHMI’s capital stock. In addition, the CHMI Charter also prohibits any person from: (1) beneficially owning shares of CHMI capital stock to the extent such beneficial ownership would result in CHMI being “closely held” under Section 856(h) of the Code (without regard to whether the ownership interest is held during the last half of a taxable year); (2) transferring shares of CHMI capital stock to the extent such transfer would result in CHMI’s capital stock being beneficially owned by fewer than 100 stockholders (determined under the principles of Section 856(a)(5) of the Code); and (3) beneficially or constructively owning shares of CHMI’s capital stock to the extent that such beneficial or constructive ownership would otherwise cause CHMI to fail to qualify as a REIT under the Code.</w:t>
            </w:r>
          </w:p>
          <w:p>
            <w:pPr>
              <w:pStyle w:val="TableContents"/>
              <w:bidi w:val="0"/>
              <w:spacing w:lineRule="auto" w:line="288" w:before="0" w:after="180"/>
              <w:jc w:val="both"/>
              <w:rPr/>
            </w:pPr>
            <w:r>
              <w:rPr>
                <w:rFonts w:ascii="Times New Roman;serif" w:hAnsi="Times New Roman;serif"/>
                <w:b w:val="false"/>
                <w:color w:val="000000"/>
                <w:sz w:val="20"/>
              </w:rPr>
              <w:t xml:space="preserve">The CHMI Charter provides that if any transfer of CHMI capital stock would result in a person beneficially or constructively owning shares of CHMI capital stock in violation of such restrictions, such shares will be transferred to, and held by a charitable trust, or, in the case of any transfer that, if effective, would result in the violation of the restriction relating to shares of CHMI capital stock being beneficially owned by fewer than 100 persons, will be void </w:t>
            </w:r>
            <w:r>
              <w:rPr>
                <w:rFonts w:ascii="Times New Roman;serif" w:hAnsi="Times New Roman;serif"/>
                <w:b w:val="false"/>
                <w:i/>
                <w:color w:val="000000"/>
                <w:sz w:val="20"/>
              </w:rPr>
              <w:t>ab initio</w:t>
            </w:r>
            <w:r>
              <w:rPr>
                <w:rFonts w:ascii="Times New Roman;serif" w:hAnsi="Times New Roman;serif"/>
                <w:b w:val="false"/>
                <w:color w:val="000000"/>
                <w:sz w:val="20"/>
              </w:rPr>
              <w:t>.</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the MITT Charter restricts ownership of more than 9.8% in value or in number of shares, whichever is more restrictive, of outstanding MITT Common Stock or MITT capital stock.</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person may beneficially or constructively own, applying certain attribution rules of the Code, MITT capital that would result in MITT being “closely held” under Section 856(h) of the Code (without regard to whether the stockholder’s interest is held during the last half of a taxable year) or otherwise causing MITT to fail to qualify as a REIT.</w:t>
            </w:r>
          </w:p>
          <w:p>
            <w:pPr>
              <w:pStyle w:val="TableContents"/>
              <w:bidi w:val="0"/>
              <w:spacing w:lineRule="auto" w:line="288" w:before="0" w:after="240"/>
              <w:jc w:val="both"/>
              <w:rPr/>
            </w:pPr>
            <w:r>
              <w:rPr>
                <w:rFonts w:ascii="Times New Roman;serif" w:hAnsi="Times New Roman;serif"/>
                <w:b w:val="false"/>
                <w:color w:val="000000"/>
                <w:sz w:val="20"/>
              </w:rPr>
              <w:t xml:space="preserve">The MITT Charter provides that if any transfer of MITT capital stock would result in a person beneficially owning shares of MITT capital stock in violation of such restrictions, such shares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or transferred to, and held by, a charitable trust.</w:t>
            </w:r>
          </w:p>
        </w:tc>
      </w:tr>
    </w:tbl>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20"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2"/>
        <w:gridCol w:w="608"/>
        <w:gridCol w:w="610"/>
        <w:gridCol w:w="1371"/>
        <w:gridCol w:w="1371"/>
        <w:gridCol w:w="1375"/>
        <w:gridCol w:w="1222"/>
        <w:gridCol w:w="1222"/>
        <w:gridCol w:w="1734"/>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11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17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 of Liability and Indemnification of Directors and Officers</w:t>
            </w:r>
          </w:p>
        </w:tc>
        <w:tc>
          <w:tcPr>
            <w:tcW w:w="411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contains a provision which eliminates the personal liability of its directors and officers to CHMI or its stockholders for money damages except for liability resulting from (i) actual receipt of an improper benefit or profit in money, property or services or (ii) active and deliberate dishonesty established by a final judgment as being material to the cause of action.</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CHMI Charter authorizes, and the CHMI Bylaws obligate, CHMI to indemnify its present or former directors and officers, among others, including the advancement of reasonable expenses to a person who served a predecessor of CHMI in any of the capacities described above and to any employee or agent of CHMI or a predecessor of CHMI. </w:t>
            </w:r>
          </w:p>
          <w:p>
            <w:pPr>
              <w:pStyle w:val="TableContents"/>
              <w:bidi w:val="0"/>
              <w:spacing w:before="0" w:after="240"/>
              <w:jc w:val="both"/>
              <w:rPr/>
            </w:pPr>
            <w:r>
              <w:rPr/>
            </w:r>
          </w:p>
        </w:tc>
        <w:tc>
          <w:tcPr>
            <w:tcW w:w="417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contains a provision which eliminates the liability of its directors and officers to the corporation and its stockholders for money damages except for liability resulting from (i) actual receipt of an improper benefit or profit in money, property or services or (ii) active and deliberate dishonesty established by a final judgment as being material to the cause of action.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MITT, and the MITT Bylaws obligate MITT, to indemnify its present and former directors and officers, among others, including the advancement of expenses to a person who served a predecessor of MITT in any of the capacities described above and to any employee or agent of MITT or a predecessor of MITT.</w:t>
            </w:r>
          </w:p>
        </w:tc>
      </w:tr>
    </w:tbl>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21"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9"/>
        <w:gridCol w:w="245"/>
        <w:gridCol w:w="246"/>
        <w:gridCol w:w="1779"/>
        <w:gridCol w:w="1574"/>
        <w:gridCol w:w="1341"/>
        <w:gridCol w:w="1572"/>
        <w:gridCol w:w="1483"/>
        <w:gridCol w:w="1686"/>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69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Subtitle 8</w:t>
            </w:r>
          </w:p>
        </w:tc>
        <w:tc>
          <w:tcPr>
            <w:tcW w:w="46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resolutions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Without CHMI having elected to be subject to Subtitle 8, the CHMI Charter and CHMI Bylaws already (1) require the affirmative vote of holders of shares entitled to cast at least two-thirds of all the votes entitled to be cast generally in the election of directors to remove a director from the CHMI Board, (2) vest in the CHMI Board the exclusive power to fix the number of directors, by vote of a majority of the entire board of directors, and (3) require, unless called by certain specified persons or the CHMI Board, the request of stockholders entitled to cast not less than a majority of all the votes entitled to be cast at the meeting to call a special meeting of CHMI stockholders. CHMI has elected by provision in the CHMI Charter to be subject to the provisions of Subtitle 8 relating to the filling of vacancies.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0"/>
              <w:jc w:val="both"/>
              <w:rPr/>
            </w:pPr>
            <w:r>
              <w:rPr>
                <w:rFonts w:ascii="Times New Roman;serif" w:hAnsi="Times New Roman;serif"/>
                <w:b w:val="false"/>
                <w:color w:val="000000"/>
                <w:sz w:val="20"/>
              </w:rPr>
              <w:t xml:space="preserve">Pursuant to Subtitle 8, MITT has elected in the MITT Charter to provide that vacancies on the MITT Board may be filled only by an affirmative vote of a majority of the remaining directors, even if the remaining directors do not constitute a quorum, and any director elected to fill a vacancy will serve the remainder of the full term of the directorship in which the vacancy occurred </w:t>
            </w:r>
            <w:r>
              <w:rPr>
                <w:rFonts w:ascii="Times New Roman;serif" w:hAnsi="Times New Roman;serif"/>
                <w:b w:val="false"/>
                <w:color w:val="000000"/>
                <w:sz w:val="20"/>
                <w:shd w:fill="FFFFFF" w:val="clear"/>
              </w:rPr>
              <w:t xml:space="preserve">and until a successor is elected and qualifies. Pursuant to provisions of the MITT Charter and MITT Bylaws unrelated to Subtitle 8, MITT requires a two-thirds vote for removal of directors, that the number of directors be fixed only by </w:t>
            </w:r>
            <w:r>
              <w:rPr>
                <w:rFonts w:ascii="Times New Roman;serif" w:hAnsi="Times New Roman;serif"/>
                <w:b w:val="false"/>
                <w:color w:val="000000"/>
                <w:sz w:val="20"/>
              </w:rPr>
              <w:t>the MITT Board, and a majority of stockholders for calling a stockholder-requested special meeting of stockholders. MITT has not taken any action to preclude the MITT Board from electing to be subject to any of the other provisions of Subtitle 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22"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1" w:name="i3518c5e6370047d1984a5909af7ae641"/>
      <w:bookmarkEnd w:id="191"/>
      <w:r>
        <w:rPr>
          <w:rFonts w:ascii="Times New Roman;serif" w:hAnsi="Times New Roman;serif"/>
          <w:b/>
          <w:color w:val="000000"/>
          <w:sz w:val="20"/>
        </w:rPr>
        <w:t>DESCRIPTION OF POLICIES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MITT’s investment policies and its policies with respect to certain other activities. These policies may be amended or revised from time to time at the discretion of the MITT Board without MITT stockholder approval. No assurance can be given that MITT’s investment objectives will be attained. Since MITT entered into the Merger Agreement, its ability to pursue and implement certain of the objectives and policies described below have been constrained by the restrictions contained in the covenants of the Merger Agreement. See “The Merger Agreement—Conduct of Business by MITT Pending the Company Merger” beginning on page 134.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policies include the following guidelines,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fail to qualify as a REIT for federal income tax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be regulated as an investment company under the Investment Company Act;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investments will be in MITT’s target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2" w:name="i042afb298bd741f88e8e35e7082fea7b"/>
      <w:bookmarkEnd w:id="192"/>
      <w:r>
        <w:rPr>
          <w:rFonts w:ascii="Times New Roman;serif" w:hAnsi="Times New Roman;serif"/>
          <w:b/>
          <w:color w:val="000000"/>
          <w:sz w:val="20"/>
        </w:rPr>
        <w:t>Investment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relies on the experience of MITT Manager’s personnel to direct MITT’s investments. MITT Manager’s investment philosophy is based on a rigorous and disciplined approach to credit analysis and is focused on fundamental in-depth research. MITT Manager makes investment decisions based on a variety of factors, including expected risk-adjusted returns, yields, relative value, credit fundamentals, vintage of collateral, prepayment speeds, supply and demand trends, general economic and market sector trends, the shape of the yield curve, liquidity, availability of adequate financing, borrowing costs, macroeconomic conditions and maintaining MITT’s REIT qualification and MITT’s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investment guidelines adopted by the MITT Board, MITT Manager evaluates specific investment opportunities as well as MITT’s overall portfolio composition. MITT Manager makes day-to-day determinations as to the timing and allocations of MITT’s investment portfolio. These decisions depend upon prevailing market conditions and may change over time in response to opportunities available in different interest rate, economic and credit environments. As a result, MITT cannot predict the percentage of MITT’s assets that will be invested in any one of MITT’s approved asset classes at any given time. MITT may change its strategy and policies without a vote of MITT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3" w:name="ibec5a35e8eb64be490674c4193b28fe9"/>
      <w:bookmarkEnd w:id="193"/>
      <w:r>
        <w:rPr>
          <w:rFonts w:ascii="Times New Roman;serif" w:hAnsi="Times New Roman;serif"/>
          <w:b/>
          <w:color w:val="000000"/>
          <w:sz w:val="20"/>
        </w:rPr>
        <w:t>Financing and Hedging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uses leverage to increase potential returns to MITT stockholders and to fund the acquisition of MITT’s investment portfolio. MITT’s financing strategy is designed to increase the size of its investment portfolio by borrowing against the fair value of the assets in MITT’s portfolio. When acquiring residential mortgage loans and other assets, MITT finances its investments using repurchase agreements or similar financing arrangements, which MITT refers to collectively as “financing arrangements.” Upon accumulating a targeted amount of residential mortgage loans, MITT finances these assets utilizing long-term, non-recourse, non-mark-to-market securitizations as market conditions permit.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MITT’s financing arrangements mature or roll and are sensitive to governmental regulations. Interest rates for MITT’s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MITT.</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23"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MITT fails to comply with the covenants contained in these financing arrangements or are otherwise found to be in default under the terms of such agreements, the counterparty has the right to accelerate amounts due under the associated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maintaining MITT’s qualification as a REIT and MITT’s Investment Company Act exemption, MITT utilizes derivative instruments in an effort to hedge certain interest rate risk associated with the financing of MITT’s investment portfolio. Specifically, MITT seeks to hedge its exposure to potential interest rate mismatches between the interest MITT earns on its investments and MITT’s borrowing costs caused by fluctuations in short-term interest rates. MITT may utilize interest rate swaps, swaption agreements, and other financial instruments such as short positions in to-be-announced securities. In utilizing leverage and interest rate derivatives, MITT’s objectives are to improve risk-adjusted returns and, where possible, to lock in, on a long-term basis, a spread between the yield on MITT’s assets and the costs of its financing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4" w:name="i7dff86095b7442a8ab1360f120c02834"/>
      <w:bookmarkEnd w:id="194"/>
      <w:r>
        <w:rPr>
          <w:rFonts w:ascii="Times New Roman;serif" w:hAnsi="Times New Roman;serif"/>
          <w:b/>
          <w:color w:val="000000"/>
          <w:sz w:val="20"/>
        </w:rPr>
        <w:t>Risk Management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components of MITT’s risk management strategy 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Disciplined adherence to risk-adjusted return. MITT Manager deploys capital when it believes that risk-adjusted returns are attractive. In this analysis, MITT Manager considers the initial net interest spread of the investment, the cost of hedging and MITT’s ability to optimize returns over time through rebalancing activities. MITT Manager’s investment team has extensive experience implementing this approach.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Concurrent evaluation of interest rate and credit risk. MITT Manager seeks to balance MITT’s portfolio with both credit risk-intensive assets and interest rate risk-intensive assets. Both of these primary risk types are evaluated against a common risk-adjusted return framework.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Active hedging and rebalancing of portfolio. MITT Manager periodically evaluates MITT’s portfolio against pre-established risk tolerances and will take corrective action through asset sales, asset acquisitions, and dynamic hedging activities to bring the portfolio back within these risk tolerances. MITT believes this approach generates more attractive long-term returns than an approach that either attempts to hedge away a majority of the interest rate or credit risk in the portfolio at the time of acquisition, on the one end of the risk spectrum, or a highly speculative approach that does not attempt to hedge any of the interest rate or credit risk in the portfolio, on the other end of the risk spectrum.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approach to increased risk. MITT Manager’s investment strategy is to preserve MITT’s ability to extend its risk-taking capacity during periods of changing market fundamentals.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5" w:name="i0a7856de28d24003bdf11486ccb1b00c"/>
      <w:bookmarkEnd w:id="195"/>
      <w:r>
        <w:rPr>
          <w:rFonts w:ascii="Times New Roman;serif" w:hAnsi="Times New Roman;serif"/>
          <w:b/>
          <w:color w:val="000000"/>
          <w:sz w:val="20"/>
        </w:rPr>
        <w:t>Investment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process benefits from the resources and professionals of MITT Manager. MITT’s investment policies and procedures and investment guidelines are approved by the MITT Board and implemented by MITT Manager. MITT Manager reports on MITT’s investment portfolio at each regularly scheduled meeting of the MITT Board. MITT’s independent directors do not review or approve individual investment, leverage or hedging decisions made by MITT Manager made in accordance with MITT’s investment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6" w:name="idcc01fd4f34e469d8aad0f285597a792"/>
      <w:bookmarkEnd w:id="196"/>
      <w:r>
        <w:rPr>
          <w:rFonts w:ascii="Times New Roman;serif" w:hAnsi="Times New Roman;serif"/>
          <w:b/>
          <w:color w:val="000000"/>
          <w:sz w:val="20"/>
        </w:rPr>
        <w:t>Other Policies and Investments</w:t>
      </w:r>
    </w:p>
    <w:p>
      <w:pPr>
        <w:pStyle w:val="TextBody"/>
        <w:bidi w:val="0"/>
        <w:spacing w:lineRule="auto" w:line="288" w:before="0" w:after="180"/>
        <w:jc w:val="both"/>
        <w:rPr>
          <w:rFonts w:ascii="Times New Roman;serif" w:hAnsi="Times New Roman;serif"/>
          <w:b/>
          <w:i/>
          <w:color w:val="000000"/>
          <w:sz w:val="20"/>
        </w:rPr>
      </w:pPr>
      <w:bookmarkStart w:id="197" w:name="ifa64cefb6eca402c97eee495a7eb4938"/>
      <w:bookmarkEnd w:id="197"/>
      <w:r>
        <w:rPr>
          <w:rFonts w:ascii="Times New Roman;serif" w:hAnsi="Times New Roman;serif"/>
          <w:b/>
          <w:i/>
          <w:color w:val="000000"/>
          <w:sz w:val="20"/>
        </w:rPr>
        <w:t>Allocation Policy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its duties as a registered investment adviser, TPG has an investment allocation policy that governs the allocations of investment opportunities among itself and its clients, and this investment allocation policy also applies to MITT Manager and MITT. Pursuant to this policy, TPG and MITT Manager allocate investment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24"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opportunities among their clients in a manner which is fair and equitable over time and does not favor one client or group of clients.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opportunities in MITT’s target assets may be allocated among MITT and TPG funds and accounts that are eligible to purchase such target assets. TPG considers the following factors, among others, when assigning investment opportunities among MITT and its other clients: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available for new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Existing ownership and target position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 objective or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or investment concentration parameters;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Supply or demand for an investment at a given price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availability and liquidity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restrictions;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Minimum investment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Relative size or “buying power”;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tax considerations, including the impact on MITT’s status under the Investment Company Act and REIT status;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Such other factors as may be relevant to a particular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 Manager may be precluded from transacting in particular investments in certain situations, including but not limited to situations where TPG or its affiliates may have a prior contractual commitment with other accounts or clients or as to which TPG or any of its affiliates possesses material, non-public information. Consistent with TPG’s fiduciary duty to all of its clients, it may give priority in the allocation of investment opportunities to certain clients to the extent necessary to meet regulatory requirements, client guidelines and/or contractual obligations. TPG or MITT Manager may determine that an investment opportunity is appropriate for a particular account, but not for another. In addition, TPG or its employees may invest in opportunities declined by MITT Manager for MITT. The investment allocation policy may be amended by TPG at any time without MITT’s consent. As the investment programs of the various entities and accounts managed by TPG change and develop over time, additional issues and considerations may affect TPG’s allocation policy and its expectations with respect to the allocation of investment opportunities. To the extent permitted by law, TPG is permitted to bunch or aggregate orders or to elect not to bunch or aggregate orders for a particular client account with orders for other accounts, notwithstanding that the effect of such bunching, aggregation or lack thereof may operate to the disadvantage of some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8" w:name="i9d9048fe5c1f45b1941deb2ff113c133"/>
      <w:bookmarkEnd w:id="198"/>
      <w:r>
        <w:rPr>
          <w:rFonts w:ascii="Times New Roman;serif" w:hAnsi="Times New Roman;serif"/>
          <w:b/>
          <w:color w:val="000000"/>
          <w:sz w:val="20"/>
        </w:rPr>
        <w:t>Changes in Strategies and Policies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strategies and policies may be amended or waived at the discretion of the MITT Board without a vote of MITT’s stockholders. MITT has no present intention to modify any of these objectives and policies, and it is anticipated that any modification would occur only if business and economic factors affecting MITT make its stated strategies and policies unworkable or imprudent.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25"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9" w:name="i99fec22f116845b1b7e9d026083c746a"/>
      <w:bookmarkEnd w:id="199"/>
      <w:r>
        <w:rPr>
          <w:rFonts w:ascii="Times New Roman;serif" w:hAnsi="Times New Roman;serif"/>
          <w:b/>
          <w:color w:val="000000"/>
          <w:sz w:val="20"/>
        </w:rPr>
        <w:t xml:space="preserve">PRINCIPAL AND MANAGEMENT STOCKHOLDERS OF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October 2, 2026, unless otherwise noted, regarding the beneficial ownership of MITT Common Stock by (i) each of MITT’s named executive officers, (ii) each of MITT’s directors, (iii) all of MITT’s directors and named executive officers as a group and (iv) each person known to MITT to be the beneficial owner of five percent or more of the outstanding MITT Common Stock. Beneficial ownership includes any shares over which the beneficial owner has sole or shared voting or investment power and also any shares that the beneficial owner has the right to acquire within 60 days of such date through the exercise of options or other rights. The percentages below are based on 31,803,475 shares of MITT Common Stock outstanding as of October 2,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all shares are owned directly, and the indicated person has sole voting and investment power. Except as indicated in the footnotes to the table below, the business address of the stockholders listed below is the address of MITT’s principal executive office, 245 Park Avenue, 26th Floor, New York, New York 10167. </w:t>
      </w:r>
    </w:p>
    <w:tbl>
      <w:tblPr>
        <w:tblW w:w="10205" w:type="dxa"/>
        <w:jc w:val="left"/>
        <w:tblInd w:w="0" w:type="dxa"/>
        <w:tblLayout w:type="fixed"/>
        <w:tblCellMar>
          <w:top w:w="28" w:type="dxa"/>
          <w:left w:w="28" w:type="dxa"/>
          <w:bottom w:w="28" w:type="dxa"/>
          <w:right w:w="28" w:type="dxa"/>
        </w:tblCellMar>
      </w:tblPr>
      <w:tblGrid>
        <w:gridCol w:w="1364"/>
        <w:gridCol w:w="1121"/>
        <w:gridCol w:w="1129"/>
        <w:gridCol w:w="109"/>
        <w:gridCol w:w="109"/>
        <w:gridCol w:w="109"/>
        <w:gridCol w:w="568"/>
        <w:gridCol w:w="408"/>
        <w:gridCol w:w="308"/>
        <w:gridCol w:w="308"/>
        <w:gridCol w:w="308"/>
        <w:gridCol w:w="308"/>
        <w:gridCol w:w="1190"/>
        <w:gridCol w:w="1190"/>
        <w:gridCol w:w="1676"/>
      </w:tblGrid>
      <w:tr>
        <w:trPr/>
        <w:tc>
          <w:tcPr>
            <w:tcW w:w="136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 Beneficially Owned</w:t>
            </w:r>
          </w:p>
        </w:tc>
      </w:tr>
      <w:tr>
        <w:trPr/>
        <w:tc>
          <w:tcPr>
            <w:tcW w:w="3614"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and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9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Percentage of Outstanding Shares of MITT Common Stock(1)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T.J. Durkin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372,832 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Debra Hess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Dianne Hurley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Matthew Jozoff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M. Christian Mitchell(2)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Nicholas Smith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Anthony Rossiello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Jenny B. Neslin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Parks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(9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BlackRock, Inc.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lineRule="auto" w:line="288" w:before="0" w:after="180"/>
        <w:jc w:val="both"/>
        <w:rPr/>
      </w:pPr>
      <w:r>
        <w:rPr>
          <w:rFonts w:ascii="Times New Roman;serif" w:hAnsi="Times New Roman;serif"/>
          <w:b/>
          <w:color w:val="000000"/>
          <w:sz w:val="20"/>
        </w:rPr>
        <w:t>* </w:t>
      </w:r>
      <w:r>
        <w:rPr>
          <w:rFonts w:ascii="Times New Roman;serif" w:hAnsi="Times New Roman;serif"/>
          <w:b w:val="false"/>
          <w:color w:val="000000"/>
          <w:sz w:val="20"/>
        </w:rPr>
        <w:t>Represents ownership of less than one percent.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Based on an aggregate amount of 31,803,475 shares of MITT Common Stock issued and outstanding as of October 2, 2026 (including 139,169 shares of MITT Common Stock subject to outstanding unvested restricted stock awards of MITT).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Includes 69,429 shares of common stock and 17,386 shares of vested restricted stock units.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26"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 Information obtained solely by reference to the Form 13F-HR filed with the SEC on August 7, 2026 by BlackRock, Inc., which we refer to as “BlackRock.” Of the reported shares, BlackRock reported that it has sole voting power for 2,567,485 shares, shared voting power for 0 shares, sole dispositive power for 2,618,326 shares and shared dispositive power for 0 shares. The address of BlackRock is 50 Hudson Yards, New York, NY 10001.</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27"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0" w:name="i0e4aefc15c914617a642bffdc74e8ce2"/>
      <w:bookmarkEnd w:id="200"/>
      <w:r>
        <w:rPr>
          <w:rFonts w:ascii="Times New Roman;serif" w:hAnsi="Times New Roman;serif"/>
          <w:b/>
          <w:color w:val="000000"/>
          <w:sz w:val="20"/>
        </w:rPr>
        <w:t>PRINCIPAL AND MANAGEMENT STOCKHOLDERS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October 2, 2026, unless otherwise noted, regarding the beneficial ownership of CHMI Common Stock by (i) each person known to CHMI to be the beneficial owner of five percent or more of the outstanding CHMI Common Stock, (ii) CHMI’s named executive officers, (iii) CHMI’s directors and (iv) all of CHMI’s directors and executive officers as a group. Beneficial ownership includes any shares of CHMI Common Stock over which the beneficial owner has sole or shared voting or investment power and also any shares of CHMI Common Stock that the beneficial owner has the right to acquire within 60 days of such date through the exercise of options or other rights. The percentages below are based on 38,632,814 shares of CHMI Common Stock, which includes (i) 436,654 shares of CHMI Common Stock subject to unvested CHMI RSU Awards, (ii) 717,054 shares of CHMI Common Stock subject to unvested CHMI PSU Awards and (iii) 531,712 shares of CHMI Common Stock subject to vested and unvested CHMI LTIP Units, all of which were outstanding as of October 2, 2026. For a discussion of the treatment of outstanding CHMI Equity Awards and CHMI LTIP Units pursuant to the Merger Agreement, see “Interests of CHMI’s Directors and Executive Officers in the Mergers—Treatment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not aware of any persons who beneficially own more than 5% of its outstanding common stock as of the date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shares are owned directly, and the indicated person has sole voting and investment power. Except as indicated in the footnotes to the table below, the business address of the stockholders listed below is the address of CHMI’s principal executive office, 4000 Route 66, Suite 310, Tinton Falls, New Jersey 07753.</w:t>
      </w:r>
    </w:p>
    <w:tbl>
      <w:tblPr>
        <w:tblW w:w="10205" w:type="dxa"/>
        <w:jc w:val="left"/>
        <w:tblInd w:w="0" w:type="dxa"/>
        <w:tblLayout w:type="fixed"/>
        <w:tblCellMar>
          <w:top w:w="28" w:type="dxa"/>
          <w:left w:w="28" w:type="dxa"/>
          <w:bottom w:w="28" w:type="dxa"/>
          <w:right w:w="28" w:type="dxa"/>
        </w:tblCellMar>
      </w:tblPr>
      <w:tblGrid>
        <w:gridCol w:w="1476"/>
        <w:gridCol w:w="1284"/>
        <w:gridCol w:w="1294"/>
        <w:gridCol w:w="578"/>
        <w:gridCol w:w="578"/>
        <w:gridCol w:w="563"/>
        <w:gridCol w:w="1331"/>
        <w:gridCol w:w="1290"/>
        <w:gridCol w:w="1811"/>
      </w:tblGrid>
      <w:tr>
        <w:trPr/>
        <w:tc>
          <w:tcPr>
            <w:tcW w:w="14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6"/>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CHMI Common Stock Beneficially Owned</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 and Address</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Number</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Percentage of Outstanding Shares of CHMI Common Stock</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i/>
                <w:color w:val="000000"/>
                <w:sz w:val="20"/>
              </w:rPr>
            </w:pPr>
            <w:r>
              <w:rPr>
                <w:rFonts w:ascii="Times New Roman;serif" w:hAnsi="Times New Roman;serif"/>
                <w:b w:val="false"/>
                <w:i/>
                <w:color w:val="000000"/>
                <w:sz w:val="20"/>
              </w:rPr>
              <w:t>Directors and named executive officers</w:t>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Jeffrey B. Lown</w:t>
            </w:r>
            <w:r>
              <w:rPr>
                <w:rFonts w:ascii="Times New Roman;serif" w:hAnsi="Times New Roman;serif"/>
                <w:b w:val="false"/>
                <w:color w:val="000000"/>
                <w:sz w:val="13"/>
              </w:rPr>
              <w:t>(1)</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672,134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Julian D. Evans</w:t>
            </w:r>
            <w:r>
              <w:rPr>
                <w:rFonts w:ascii="Times New Roman;serif" w:hAnsi="Times New Roman;serif"/>
                <w:b w:val="false"/>
                <w:color w:val="000000"/>
                <w:sz w:val="13"/>
              </w:rPr>
              <w:t>(2)</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401,661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Susan Healey</w:t>
            </w:r>
            <w:r>
              <w:rPr>
                <w:rFonts w:ascii="Times New Roman;serif" w:hAnsi="Times New Roman;serif"/>
                <w:b w:val="false"/>
                <w:color w:val="000000"/>
                <w:sz w:val="13"/>
              </w:rPr>
              <w:t>(3)</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24,414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Joseph Murin</w:t>
            </w:r>
            <w:r>
              <w:rPr>
                <w:rFonts w:ascii="Times New Roman;serif" w:hAnsi="Times New Roman;serif"/>
                <w:b w:val="false"/>
                <w:color w:val="000000"/>
                <w:sz w:val="13"/>
              </w:rPr>
              <w:t>(4)</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159,441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Sharon L. Cook</w:t>
            </w:r>
            <w:r>
              <w:rPr>
                <w:rFonts w:ascii="Times New Roman;serif" w:hAnsi="Times New Roman;serif"/>
                <w:b w:val="false"/>
                <w:color w:val="000000"/>
                <w:sz w:val="13"/>
              </w:rPr>
              <w:t>(5)</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90,733</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Dale S. Hoffman</w:t>
            </w:r>
            <w:r>
              <w:rPr>
                <w:rFonts w:ascii="Times New Roman;serif" w:hAnsi="Times New Roman;serif"/>
                <w:b w:val="false"/>
                <w:color w:val="000000"/>
                <w:sz w:val="13"/>
              </w:rPr>
              <w:t>(6)</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78,647</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Robert C. Mercer, Jr.</w:t>
            </w:r>
            <w:r>
              <w:rPr>
                <w:rFonts w:ascii="Times New Roman;serif" w:hAnsi="Times New Roman;serif"/>
                <w:b w:val="false"/>
                <w:color w:val="000000"/>
                <w:sz w:val="13"/>
              </w:rPr>
              <w:t>(7)</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146,822</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i/>
                <w:color w:val="000000"/>
                <w:sz w:val="20"/>
              </w:rPr>
              <w:t>Directors and executive officers as a group (8 persons)</w:t>
            </w:r>
            <w:r>
              <w:rPr>
                <w:rFonts w:ascii="Times New Roman;serif" w:hAnsi="Times New Roman;serif"/>
                <w:b w:val="false"/>
                <w:i/>
                <w:color w:val="000000"/>
                <w:sz w:val="13"/>
              </w:rPr>
              <w:t>(8)</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1,573,852</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Represents beneficial ownership of less than one percent of the outstanding CHMI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 108,813 shares of CHMI Common Stock issuable upon conversion of vested CHMI LTIP Units, (b) 3,900 shares of CHMI Common Stock issuable upon accelerated vesting and conversion of unvested CHMI LTIP Units that are scheduled to vest on January 31, 2027, (c) 170,455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Lown will be reduced as a result of net settlement on account of applicable withholding taxes and (d) 348,838 shares of CHMI Common Stock issuable upon accelerated vesting and settlement of unvested CHMI PSU Awards that are scheduled to vest on January 31, 2029, although the actual number of shares of CHMI Common Stock issuable to Mr. Lown will be reduced as a result of net settlement on account of applicable withholding taxes.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28"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 74,191 shares of CHMI Common Stock issuable upon conversion of vested CHMI LTIP Units, (b) 4,875 shares of CHMI Common Stock issuable upon accelerated vesting and conversion of unvested CHMI LTIP Units that are scheduled to vest on January 31, 2027, (c) 104,167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Evans will be reduced as a result of net settlement on account of applicable withholding taxes and (d) 213,178 shares of CHMI Common Stock issuable upon accelerated vesting and settlement of unvested CHMI PSU Awards that are scheduled to vest on January 31, 2029, although the actual number of shares of CHMI Common Stock issuable to Mr. Evans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(a) 24,414 shares of CHMI Common Stock issuable upon accelerated vesting and settlement of unvested CHMI RSU Awards that are scheduled to vest on February 10, 2027, although the actual number of shares of CHMI Common Stock issuable to Ms. Healey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(a) 2,660 shares of CHMI Common Stock issuable upon conversion of vested CHMI LTIP Units, and (b)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(7)Includes 42,017 unvested restricted shares of CHMI Common Stock scheduled to vest on June 15, 2027.</w:t>
      </w:r>
    </w:p>
    <w:p>
      <w:pPr>
        <w:pStyle w:val="TextBody"/>
        <w:bidi w:val="0"/>
        <w:spacing w:lineRule="auto" w:line="288" w:before="0" w:after="180"/>
        <w:ind w:left="0" w:right="0" w:hanging="360"/>
        <w:jc w:val="both"/>
        <w:rPr/>
      </w:pPr>
      <w:r>
        <w:rPr>
          <w:rFonts w:ascii="Times New Roman;serif" w:hAnsi="Times New Roman;serif"/>
          <w:b w:val="false"/>
          <w:color w:val="000000"/>
          <w:sz w:val="20"/>
        </w:rPr>
        <w:t>(8)In addition to the shares of CHMI Common Stock beneficially owned by CHMI’s named executive officers and directors, includes 288,120 shares of CHMI Common Stock beneficially owned by Apeksha Patel, CHMI’s Chief Financial Officer, as of October 2, 2026. The number of shares of CHMI Common Stock beneficially owned by Ms. Patel includes (a) 28,283 shares of CHMI Common Stock issuable upon conversion of vested CHMI LTIP Units, (b) 3,250 shares of CHMI Common Stock issuable upon accelerated vesting and conversion of unvested CHMI LTIP Units that are scheduled to vest on January 31, 2027, (c) 87,091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Ms. Patel will be reduced as a result of net settlement on account of applicable withholding taxes and (d) 155,038 shares of CHMI Common Stock issuable upon accelerated vesting and settlement of unvested CHMI PSU Awards that are scheduled to vest on</w:t>
      </w:r>
      <w:r>
        <w:rPr>
          <w:color w:val="000000"/>
        </w:rPr>
        <w:t xml:space="preserve"> </w:t>
      </w:r>
      <w:r>
        <w:rPr>
          <w:rFonts w:ascii="Times New Roman;serif" w:hAnsi="Times New Roman;serif"/>
          <w:b w:val="false"/>
          <w:color w:val="000000"/>
          <w:sz w:val="20"/>
        </w:rPr>
        <w:t>January 31, 2029, although the actual number of shares of CHMI Common Stock issuable to Ms. Patel will be reduced as a result of net settlement on account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29"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1" w:name="i07c86c1d435c4328ac89b849d6a89268"/>
      <w:bookmarkEnd w:id="201"/>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TPG Mortgage Investment Trust, Inc. as of December 31, 2025 and 2024, and for each of the two years in the period ended December 31, 2025, incorporated by reference in this joint Proxy Statement/Prospectus by reference to TPG Mortgage Investment Trust, Inc.’s annual report on Form 10-K for the year ended December 31, 2025, and the effectiveness of TPG Mortgage Investment Trust,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Cherry Hill Mortgage Investment Corporation as of December 31, 2025 and 2024 and for each of the three years in the period ended December 31, 2025, and the effectiveness of Cherry Hill Mortgage Investment Corporation’s internal control over financial reporting as of December 31, 2025, which is incorporated by reference in the joint Proxy Statement/Prospectus of TPG Mortgage Investment Trust, Inc. and Cherry Hill Mortgage Investment Corporation, which is referred to and made a part of this Registration Statement of TPG Mortgage Investment Trust, Inc., have been audited by Ernst &amp; Young LLP, independent registered public accounting firm, as set forth in their reports thereon and incorporated by reference. Such consolidated financial statements have been incorporated herein by reference in reliance upon such reports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30"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2" w:name="icd4493602fa14e5588909119ce19b90b"/>
      <w:bookmarkEnd w:id="202"/>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MITT Common Stock, MITT Series D Preferred Stock and MITT Series E Preferred Stock to be issued in connection with the Company Merger will be passed upon by Venable LLP. It is a condition to the Mergers that MITT and CHMI receive opinions from Mayer Brown LLP and Hunton Andrews Kurth LLP, respectively, concerning the qualification and taxation of CHMI and MITT, respectively, as a REIT under the Code. It is a condition to the Mergers that CHMI and MITT receive opinions from Mayer Brown LLP and Hunton Andrews Kurth LLP, respectively, to the effect that, the Company Merger will qualify as a reorganization under, and within the meaning of, Section 368(a) of the Code and that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31"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3" w:name="i9d036b5b0047478b9ad91e4156e1cc67"/>
      <w:bookmarkEnd w:id="203"/>
      <w:r>
        <w:rPr>
          <w:rFonts w:ascii="Times New Roman;serif" w:hAnsi="Times New Roman;serif"/>
          <w:b/>
          <w:color w:val="000000"/>
          <w:sz w:val="20"/>
        </w:rPr>
        <w:t xml:space="preserve">STOCKHOLDER PROPOSALS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MITT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date has not been set for MITT’s 2027 annual meeting of stockholders, which we refer to as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MITT stockholder intending to present a proposal at the 2027 MITT Annual Meeting and have the proposal included in the proxy statement for such meeting must, in addition to complying with the applicable laws and regulations governing submissions of such proposals, submit the proposal in writing to MITT no later than November 16, 2026. To be included in the proxy statement, the proposal must comply with the requirements of Rule 14a-8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any stockholder intending to nominate a director or present a proposal at an annual meeting of MITT’s stockholders under the advance notice provisions in the MITT Bylaws must notify MITT in writing not less than 120 days nor more than 150 days prior to the first anniversary of the date of the proxy statement for the preceding year’s annual meeting. Accordingly, any stockholder who intends to submit such a nomination or proposal at MITT’s 2027 annual meeting of stockholders must notify MITT in writing of such proposal by November 16, 2026, but in no event earlier than October 17, 2026, assuming that the 2027 annual meeting is held on schedule. However, in the event that the 2027 annual meeting of stockholders is advanced by more than 30 days or delayed by more than 60 days from the first anniversary of the date of the Annual Meeting, notice by the stockholder to be timely must be received no earlier than the 120th day prior to the date of the meeting and not later than 5:00 p.m., Eastern Time, on the later of the 90th day prior to the date of the meeting or the 10th day following the date of the first public announcement of the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nomination or proposal should be sent to TPG Mortgage Investment Trust, Inc., 245 Park Avenue, 26th Floor, New York, New York 10167, Attn: General Counsel, and, to the extent applicable, must include the information required by the MITT Bylaws.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CHMI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not hold an annual meeting of CHMI stockholders in 2027 if the Merger is completed. However, if the Merger Agreement is terminated for any reason, CHMI expects to hold an annual meeting of stockholders in 2027, which we refer to as “2027 CHMI Annual Meeting.” A date has not been set for the 2027 CHMI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stockholder proposal pursuant to Rule 14a-8 of the rules promulgated under the Exchange Act, to be considered for inclusion in CHMI’s proxy materials for the 2027 CHMI Annual Meeting must have been received at CHMI’s principal executive offices, 4000 Route 66, Suite 310, Tinton Falls, New Jersey 07753, no later than December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CHMI stockholder who wishes to propose a nominee to the CHMI Board or propose any other business to be considered by the stockholders (other than a stockholder proposal included in CHMI’s proxy materials pursuant to Rule 14a-8 of the rules promulgated under the Exchange Act) must comply with the advance notice provisions and other requirements of the CHMI Bylaws, which are on file with the SEC and may be obtained by any stockholder who sends a written request to such effect to Investor Relations, Cherry Hill Mortgage Investment Corporation, 4000 Route 66, Suite 310, Tinton Falls, New Jersey 07753. These notice provisions require that nominations of persons for election to the CHMI Board and the proposal of business to be considered by the stockholders for the 2027 CHMI Annual Meeting must have been received no earlier than December 1, 2026 and no later than 5:00 p.m., Eastern Time on December 31, 2026. CHMI stockholders who intend to solicit proxies in reliance on the SEC’s universal proxy rule for nominations for election to the CHMI Board submitted under the advance notice requirements of the CHMI Bylaws will also have to comply with the additional requirements of the SEC’s Rule 14a-19(b) no later than April 12, 2027, including providing a statement that such stockholder intends to solicit the holders of shares representing at least 67% of the voting power of CHMI’s shares entitled to vote on the election of directors in support of director nominees other than CHMI’s nominees.</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32"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Notwithstanding those deadlines, if the 2027 CHMI Annual Meeting is advanced or delayed by more than 30 days from the first anniversary of the date of the 2026 annual meeting (which was held on June 11, 2026), any proposal governed by Rule 14a-8 must be received by CHMI a reasonable time before CHMI begins to print and send its proxy materials and any other proposal or nomination must, as required by the CHMI Bylaws, be received in CHMI’s executive office no earlier than 150 days and no later than 5:00 p.m., Eastern Time, on the later of (i) the 120th day prior to the date of the 2027 CHMI Annual Meeting or (ii) the 10th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Stockholders must comply with the additional requirements of Rule 14a-19(b) under the Exchange Act no later than the later of 60 calendar days prior to the date of the 2027 CHMI Annual Meeting or the 10th calendar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The CHMI Bylaws set out specific requirements that such stockholders and written notices must satisfy.</w:t>
      </w:r>
      <w:r>
        <w:rPr>
          <w:color w:val="000000"/>
        </w:rPr>
        <w:t xml:space="preserve"> </w:t>
      </w:r>
      <w:r>
        <w:rPr>
          <w:rFonts w:ascii="Times New Roman;serif" w:hAnsi="Times New Roman;serif"/>
          <w:b w:val="false"/>
          <w:color w:val="000000"/>
          <w:sz w:val="20"/>
        </w:rPr>
        <w:t>Any CHMI stockholder submitting a written notice of nomination for a director must describe various information regarding the nominee, the stockholder and the underlying beneficial owner, if any, including, among other things, such information as name, address, class of shares beneficially owned, and any persons working in concert with such stockholder.</w:t>
      </w:r>
      <w:r>
        <w:rPr>
          <w:color w:val="000000"/>
        </w:rPr>
        <w:t xml:space="preserve"> </w:t>
      </w:r>
      <w:r>
        <w:rPr>
          <w:rFonts w:ascii="Times New Roman;serif" w:hAnsi="Times New Roman;serif"/>
          <w:b w:val="false"/>
          <w:color w:val="000000"/>
          <w:sz w:val="20"/>
        </w:rPr>
        <w:t>Any CHMI stockholder submitting a proposal before a stockholder meeting must include in such notice similar information, as well as, among other things, a description of such proposal, and such other information as the CHMI Board reasonably determines is necessary or appropriate to consider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33"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4" w:name="iebdc073d5f684bfe805702762048f368"/>
      <w:bookmarkEnd w:id="204"/>
      <w:r>
        <w:rPr>
          <w:rFonts w:ascii="Times New Roman;serif" w:hAnsi="Times New Roman;serif"/>
          <w:b/>
          <w:color w:val="000000"/>
          <w:sz w:val="20"/>
        </w:rPr>
        <w:t>WHERE YOU CAN FIND MORE INFORMATION AND INCORPORATION BY REFERENCE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each file annual, quarterly and current reports, proxy statements and other information with the SEC. MITT’s and CHMI’s SEC filings are available to the public from commercial document retrieval services and at the website maintained by the SEC at www.sec.gov. You also may obtain free copies of the documents filed with the SEC by MITT and CHMI by going to MITT’s and CHMI’s websites at www.mitt.tpg.com and www.chmireit.com, respectively. MITT’s and CHMI’s website addresses are provided as an inactive textual reference only. The information provided on MITT’s and CHMI’s websites is not part of this joint proxy statement/prospectus, and is not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filed with the SEC a registration statement on Form S-4 of which this joint proxy statement/prospectus forms a part. The registration statement registers the shares of MITT Common Stock to be issued to CHMI’s stockholders in connection with the Merger. The registration statement, including the exhibits and schedules thereto, contains additional information about MITT Common Stock. The rules and regulations of the SEC allow MITT and CHMI to omit certain information included in the registration statement from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allows MITT to “incorporate by reference” into this joint proxy statement/prospectus the information it files with the SEC, which means MITT can disclose important information to you by referring you to those documents. Information regarding MITT incorporated by reference and information regarding CHMI incorporated by reference is deemed to be part of this joint proxy statement/prospectus. Later information filed with the SEC will update and supersede this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MITT documents listed below (other than any portions of the documents not deemed to be filed), all of which have been previously filed by MITT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Annual Report on Form 10-K for the year ended December 31,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Quarterly Reports on Form 10-Q for the quarters ended March 31, 2026 and June 30,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Current Reports on Form 8-K filed with the SEC on August 10,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definitive proxy statement on Schedule 14A, filed with the SEC on March 16, 2026;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description of its common stock in its Registration Statement on Form S-11, filed with the SEC on April 25, 2011, and any amendment or report filed with the SEC for the purpose of updating the description.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incorporates by reference into this joint proxy statement/prospectus additional documents that it may file with the SEC under Sections 13(a), 13(c), 14 or 15(d) of the Exchange Act after the date of this joint proxy statement/prospectus and prior to the date of the MITT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CHMI documents listed below (other than any portions of the documents not deemed to be filed), all of which have been previously filed by CHMI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Annual Report on Form 10-K for the year ended December 31, 2025, filed with the SEC on March 5,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Quarterly Reports on Form 10-Q for the quarters ended March 31, 2026, and June 30, 2026, filed with the SEC on May 7, 2026 and August 10, 2026, respectively;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Current Reports on Form 8-K filed with the SEC on April 10, 2026, June 12, 2026, and August 10, 2026 (SEC Accession No. 0001140361-26-031930); and</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34"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definitive proxy statement on Schedule 14A, filed with the SEC on April 21, 2026 (solely to the extent incorporated by reference into Part III of CHMI’s Annual Report on Form 10-K for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incorporates by reference into this joint proxy statement/prospectus additional documents that it may file with the SEC under Sections 13(a), 13(c), 14 or 15(d) of the Exchange Act after the date of this joint proxy statement/prospectus and prior to the date of the CHMI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provide free copies of its reports, proxy statements and other information, as applicable, including this joint proxy statement/prospectus, filed with the SEC at the SEC’s website at www.sec.gov. Copies of the documents filed by MITT with the SEC will be available free of charge on MITT’s website at www.mitt.tpg.com or by contacting MITT’s Investor Relations at (212) 692-2110; or email mittir@tpg.com. The information contained on MITT’s website is not part of this joint proxy statement/prospectus. The reference to MITT’s website is intended to be an inactive textual reference only. Copies of documents filed by CHMI with the SEC will be available free of charge on CHMI’s website at www.chmireit.com or by contacting CHMI’s Investor Relations at (877) 870-7005; or email: InvestorRelations@CHMIreit.com. The information contained on CHMI’s website is not part of this joint proxy statement/prospectus. The reference to CHMI’s website is intended to be an inactive textual reference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would like to request copies of this joint proxy statement/prospectus and any documents that are incorporated by reference into this joint proxy statement/prospectus, please do so by November 24, 2026, in order to receive them before the MITT special meeting and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MITT stockholder and have any questions about the Merger or how to submit your proxy, or you need additional copies of this joint proxy statement/prospectus, the enclosed proxy card or voting instructions, you can also contact D.F. King, MITT’s proxy solicitor, at the following telephone numbers or email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b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CHMI stockholder and have any questions about the Transactions or how to submit your proxy, or you need additional copies of this joint proxy statement/prospectus, the enclosed proxy card or voting instructions, you can also contact Georgeson, CHMI’s proxy solicitor, at the following telephone numbers or email address: </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 may call toll free: (877) 739-9301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No one has been authorized to provide you with information that is different from that contained in, attached as an annex or incorporated by reference into, this joint proxy statement/prospectus. This joint proxy statement/prospectus is dated October 8, 2026, and you should not assume that the information contained in, attached as an annex or incorporated by reference into, this joint proxy statement/prospectus is accurate as of any date other than that date (or, in the case of documents incorporated by reference or attached as an annex, their respective dates). Neither the mailing of this joint proxy statement/prospectus to MITT stockholders or CHMI stockholders nor the MITT Common Stock Issuance to CHMI stockholders in the Company Merger pursuant to the Merger Agreement will create any implication to the contrary.</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Information contained in, attached as an annex or incorporated by reference into this joint proxy statement/prospectus regarding MITT has been provided by MITT and information contained in, attached as an annex or incorporated by reference into this joint proxy statement/prospectus regarding CHMI has been provided by CHMI. MITT and CHMI have </w:t>
      </w: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35"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both contributed to the information relating to the Transactions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36"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5" w:name="i59406a9945fa4156a6fbd3982b5ef0b5"/>
      <w:bookmarkEnd w:id="205"/>
      <w:r>
        <w:rPr>
          <w:rFonts w:ascii="Times New Roman;serif" w:hAnsi="Times New Roman;serif"/>
          <w:b/>
          <w:color w:val="000000"/>
          <w:sz w:val="20"/>
        </w:rPr>
        <w:t>MULTIPLE STOCKHOLDERS SHARING ONE ADDRESS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and some brokers may be householding proxy materials by delivering proxy materials to multiple stockholders who request a copy and share an address, unless contrary instructions have been received from the affected stockholders. Once you have received notice from your broker or MITT or CHMI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MITT or stockholder of record of CHMI, notify either MITT’s investor relations department at 245 Park Avenue, 26th Floor, New York, New York 10167, Tel. (212) 692-2110; email mittir@tpg.com or CHMI’s investor relations department at 4000 Route 66, Suite 310, Tinton Falls, New Jersey 07753, Tel. (877) 870-7005; email: InvestorRelations@CHMIreit.com, as applicable. MITT stockholders or CHMI stockholders who share a single address, but receive multiple copies of MITT’s or CHMI’s, as applicable, proxy statement, may request that in the future they receive a single copy by notifying MITT or CHMI, as applicable, at the address or telephone number set forth in the preceding sentences. In addition, MITT or CHMI, as applicable, will promptly deliver, upon written or oral request made to the address or telephone number above, a separate copy of the proxy statement to a stockholder at a shared address to which a single copy of the documents was delivered pursuant to a prior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38e3236674744b24bbd77f8ede5bb2eb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37"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lineRule="auto" w:line="288" w:before="0" w:after="180"/>
        <w:jc w:val="center"/>
        <w:rPr/>
      </w:pPr>
      <w:bookmarkStart w:id="206" w:name="i68c38ce2254940b99e2232c1c9219cfa"/>
      <w:bookmarkEnd w:id="206"/>
      <w:r>
        <w:rPr>
          <w:rFonts w:ascii="Times New Roman;serif" w:hAnsi="Times New Roman;serif"/>
          <w:b/>
          <w:color w:val="000000"/>
          <w:sz w:val="20"/>
        </w:rPr>
        <w:t>UNAUDITED</w:t>
      </w:r>
      <w:r>
        <w:rPr>
          <w:color w:val="000000"/>
        </w:rPr>
        <w:t xml:space="preserve"> </w:t>
      </w:r>
      <w:r>
        <w:rPr>
          <w:rFonts w:ascii="Times New Roman;serif" w:hAnsi="Times New Roman;serif"/>
          <w:b/>
          <w:color w:val="000000"/>
          <w:sz w:val="20"/>
        </w:rPr>
        <w:t>PRO</w:t>
      </w:r>
      <w:r>
        <w:rPr>
          <w:color w:val="000000"/>
        </w:rPr>
        <w:t xml:space="preserve"> </w:t>
      </w:r>
      <w:r>
        <w:rPr>
          <w:rFonts w:ascii="Times New Roman;serif" w:hAnsi="Times New Roman;serif"/>
          <w:b/>
          <w:color w:val="000000"/>
          <w:sz w:val="20"/>
        </w:rPr>
        <w:t>FORMA CONDENSED COMBINED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combined financial statements as of June 30, 2026 and for the year ended December 31, 2025 and the six months ended June 30, 2026 have been prepared (i) as if the Company Merger occurred on June 30, 2026 for purposes of the unaudited pro forma condensed combined balance sheet and (ii) as if the Company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MITT’s Annual Report on Form 10-K for the year ended December 31, 2025 and the unaudited financial statements for the quarter ended June 30, 2026 contained in MITT’s Quarterly Report on Form 10-Q for the quarter ended June 30, 2026, which are incorporated by reference in this joint proxy statement/prospectus, and the audited financial statements and the sections entitled “Business” and “Management’s Discussion and Analysis of Financial Condition and Results of Operations” in CHMI’s Annual Report on Form 10-K for the year ended December 31, 2025 and the unaudited financial statements for the quarter ended June 30, 2026 contained in CHMI’s Quarterly Report on Form 10-Q for the quarter ended June 30, 2026, which are incorporated by reference into this joint proxy statement/prospectus. See “Where You Can Find More Information and Incorporation by Reference”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statements have been prepared by MITT in accordance with Article 11 of Regulation S-X. 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MITT and CHMI respectively are based upon each of MITT’s and CHMI’s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MITT’s future results of operations and financial position.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financial statements have been prepared to give effect to the accounting of the acquisition of CHMI by MITT, including transaction accounting adjustments for the impact of (i) a D&amp;O insurance policy to be acquired under the terms of the Merger Agreement and (ii) estimated severance expenses payable. The unaudited pro forma condensed combined financial information does not give effect to the costs of any integration activities or benefits that may result from the realization of future cost savings from operating efficiencies, or any other synergies that may result from the Company Merger. In addition, the unaudited pro forma condensed combined financial information does not consider any potential effects of changes in market conditions on revenues, expenses, fair values, asset dispositions, stock prices and share activity, among other factors.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Company Merger Effective Time. The unaudited pro forma condensed combined financial statements are not necessarily indicative of what the actual financial position and results of operations would have been had the Company Merger occurred on June 30, 2026 or January 1, 2025, respectively, nor are they indicative of the future financial condition and results of operations of the Combined Company. Future results may vary significantly from the results reflected because of various factors, including those discussed in the section entitled “Risk Factors,” beginning on page 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BALANCE SHEET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38"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8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49"/>
        <w:gridCol w:w="737"/>
        <w:gridCol w:w="744"/>
        <w:gridCol w:w="196"/>
        <w:gridCol w:w="871"/>
        <w:gridCol w:w="109"/>
        <w:gridCol w:w="109"/>
        <w:gridCol w:w="109"/>
        <w:gridCol w:w="109"/>
        <w:gridCol w:w="286"/>
        <w:gridCol w:w="1275"/>
        <w:gridCol w:w="159"/>
        <w:gridCol w:w="109"/>
        <w:gridCol w:w="109"/>
        <w:gridCol w:w="109"/>
        <w:gridCol w:w="417"/>
        <w:gridCol w:w="1413"/>
        <w:gridCol w:w="234"/>
        <w:gridCol w:w="177"/>
        <w:gridCol w:w="177"/>
        <w:gridCol w:w="177"/>
        <w:gridCol w:w="244"/>
        <w:gridCol w:w="1089"/>
        <w:gridCol w:w="197"/>
      </w:tblGrid>
      <w:tr>
        <w:trPr/>
        <w:tc>
          <w:tcPr>
            <w:tcW w:w="10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loans,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1,389,056 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debt and equity of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 C</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2,041,253 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8,559,052 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Preferred stock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Common stock, par value $0.01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Additional paid-in capital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Retained earnings/(deficit)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B,C,D,F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(488,489)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Accumulated other comprehensive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MITT/CHMI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Non-controlling interest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Liabilities &amp;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Balance Sheet Adjustments Footnotes" section 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39"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282"/>
        <w:gridCol w:w="868"/>
        <w:gridCol w:w="876"/>
        <w:gridCol w:w="196"/>
        <w:gridCol w:w="736"/>
        <w:gridCol w:w="109"/>
        <w:gridCol w:w="109"/>
        <w:gridCol w:w="109"/>
        <w:gridCol w:w="109"/>
        <w:gridCol w:w="329"/>
        <w:gridCol w:w="1087"/>
        <w:gridCol w:w="183"/>
        <w:gridCol w:w="109"/>
        <w:gridCol w:w="109"/>
        <w:gridCol w:w="109"/>
        <w:gridCol w:w="465"/>
        <w:gridCol w:w="1360"/>
        <w:gridCol w:w="261"/>
        <w:gridCol w:w="109"/>
        <w:gridCol w:w="109"/>
        <w:gridCol w:w="109"/>
        <w:gridCol w:w="264"/>
        <w:gridCol w:w="994"/>
        <w:gridCol w:w="214"/>
      </w:tblGrid>
      <w:tr>
        <w:trPr/>
        <w:tc>
          <w:tcPr>
            <w:tcW w:w="12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interest component of interest rate swaps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realized gain/(loss)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unrealized gain/(loss)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Credit loss and impairment on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Management fee to affiliate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Compensation and benefits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Transaction related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40"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137"/>
        <w:gridCol w:w="705"/>
        <w:gridCol w:w="710"/>
        <w:gridCol w:w="196"/>
        <w:gridCol w:w="736"/>
        <w:gridCol w:w="109"/>
        <w:gridCol w:w="109"/>
        <w:gridCol w:w="109"/>
        <w:gridCol w:w="109"/>
        <w:gridCol w:w="295"/>
        <w:gridCol w:w="974"/>
        <w:gridCol w:w="164"/>
        <w:gridCol w:w="109"/>
        <w:gridCol w:w="109"/>
        <w:gridCol w:w="109"/>
        <w:gridCol w:w="376"/>
        <w:gridCol w:w="1246"/>
        <w:gridCol w:w="213"/>
        <w:gridCol w:w="111"/>
        <w:gridCol w:w="111"/>
        <w:gridCol w:w="111"/>
        <w:gridCol w:w="249"/>
        <w:gridCol w:w="936"/>
        <w:gridCol w:w="138"/>
        <w:gridCol w:w="109"/>
        <w:gridCol w:w="109"/>
        <w:gridCol w:w="109"/>
        <w:gridCol w:w="109"/>
        <w:gridCol w:w="109"/>
        <w:gridCol w:w="109"/>
        <w:gridCol w:w="109"/>
        <w:gridCol w:w="109"/>
        <w:gridCol w:w="162"/>
      </w:tblGrid>
      <w:tr>
        <w:trPr/>
        <w:tc>
          <w:tcPr>
            <w:tcW w:w="11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Fee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b,g</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71"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audited consolidated financial statements in their respective Annual Reports on Form 10-K for the year ended December 31, 2025.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41"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7" w:name="i6583addfa3864675b8fd0dedc5c66c30"/>
      <w:bookmarkEnd w:id="207"/>
      <w:r>
        <w:rPr>
          <w:rFonts w:ascii="Times New Roman;serif" w:hAnsi="Times New Roman;serif"/>
          <w:b/>
          <w:color w:val="000000"/>
          <w:sz w:val="20"/>
        </w:rPr>
        <w:t>NOTES TO UNAUDITED PRO FORMA CONDENSED COMBINED FINANCIAL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Company Merger Effective Time, each outstanding share of CHMI Common Stock (other than shares held by MITT or Merger Sub or by any wholly owned subsidiary of MITT, Merger Sub or CHMI) will convert into the right to receive (i) from MITT, (A) 0.3063 shares of MITT Common Stock plus (B) $0.41 per share in cash plus (ii) from MITT Manager (acting solely on its own behalf) $0.52 per share in cash. Cash will be paid in lieu of any fractional shares of MITT Common Stock that would otherwise have been received as a result of the Company Merger.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Mergers - Treatment of CHMI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Restricted Stock Award that is outstanding immediately prior to the Company Merger Effective Time will fully vest and all restrictions thereon will lapse at such time, if any. The remaining shares of CHMI Common Stock will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condensed combined financial statements, such shares of CHMI Common Stock are assumed to be outstanding as of the date of the unaudited pro forma condensed combined balance sheet and as of the beginning of the period for the unaudited pro forma condensed combined statements of operations.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Treatment of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each share of CHMI Series A Preferred Stock outstanding immediately prior to the Company Merger Effective Time will be converted into the right to receive one newly issued share of MITT Series D Preferred Stock. Also, each share of CHMI Series B Preferred Stock outstanding immediately prior to the Company Merger Effective Time will be converted into the right to receive one newly issued share of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Company Merger - Preliminary Purchase Price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estimated fair value of the consideration transferred by MITT to CHMI common and preferred stockholders in connection with the Company Merger (“MITT Total Consideration”) and excludes the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42"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 Share Additional Manager Consideration payable by the MITT Manager to CHMI common stockholders ($ in thousands, excluding share prices):</w:t>
      </w:r>
    </w:p>
    <w:tbl>
      <w:tblPr>
        <w:tblW w:w="9692" w:type="dxa"/>
        <w:jc w:val="left"/>
        <w:tblInd w:w="0" w:type="dxa"/>
        <w:tblLayout w:type="fixed"/>
        <w:tblCellMar>
          <w:top w:w="28" w:type="dxa"/>
          <w:left w:w="28" w:type="dxa"/>
          <w:bottom w:w="28" w:type="dxa"/>
          <w:right w:w="28" w:type="dxa"/>
        </w:tblCellMar>
      </w:tblPr>
      <w:tblGrid>
        <w:gridCol w:w="2087"/>
        <w:gridCol w:w="1833"/>
        <w:gridCol w:w="1839"/>
        <w:gridCol w:w="480"/>
        <w:gridCol w:w="481"/>
        <w:gridCol w:w="211"/>
        <w:gridCol w:w="109"/>
        <w:gridCol w:w="109"/>
        <w:gridCol w:w="109"/>
        <w:gridCol w:w="196"/>
        <w:gridCol w:w="556"/>
        <w:gridCol w:w="109"/>
        <w:gridCol w:w="109"/>
        <w:gridCol w:w="109"/>
        <w:gridCol w:w="109"/>
        <w:gridCol w:w="221"/>
        <w:gridCol w:w="849"/>
        <w:gridCol w:w="176"/>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Consideration</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Common Stock Outstanding (1)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36,947,394 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Issuable Upon: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RSUs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PSUs Outstanding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Vested and Unvested CHMI LTIP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Owned by MITT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CHMI Common Stock Outstanding as of June 30,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37,898,014 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Ratio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Common Stock Issuable Pursuant to the Merger Agreement (3)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11,608,162 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CHMI Common Stock Owned by MITT (4)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Cash Consideration (5)</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Common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86,830</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D Preferred Stock Issuable Pursuant to the Merger Agreement (6)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2,781,635 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E Preferred Stock Issuable Pursuant to the Merger Agreement (7)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1,604,103 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Preferred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97,733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Total Consideration (8)</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184,563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168,068 unvested shares of CHMI Common Stock subject to CHMI Restricted Stock Awards that will fully vest and all restrictions will lapse at the Company Merger Effective Time.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accordance with the Merger Agreement, the number of shares of CHMI Common Stock issuable upon vesting and settlement of CHMI PSU Awards outstanding as of June 30, 2026 assumes the achievement of performance goals at maximum (200% of target) performance levels and differs from the number of shares of CHMI Common Stock issuable upon vesting and settlement of such CHMI PSU Awards as reflected in Note 6 (Equity and Earnings Per Common Share) to CHMI’s historical unaudited consolidated financial statements included in CHMI's Quarterly Report on Form 10-Q for the quarter and six months ended June 30, 2026. The number of shares of CHMI Common Stock issuable upon vesting and settlement of such CHMI PSU Awards, as reflected in CHMI’s historical unaudited consolidated financial statements included in CHMI's Quarterly Report on Form 10-Q for the quarter and six months ended June 30, 2026, assumes the achievement of performance goals at target levels.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(3)Based on the closing stock price of MITT Common Stock on September 29, 2026, as reported by the NYSE. </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 accordance with ASC 805, MITT's previously held 734,800 shares of CHMI common stock were remeasured from their June 30, 2026 carrying value of $1.7 million to their acquisition date fair value of $2.0 million, resulting in a gain of $0.3 million recognized in earnings. The acquisition date fair value was determined based on the closing stock price of CHMI Common Stock on September 29, 2026 as reported by the NYSE. The acquisition-date fair value of the investment was included as a component of consideration transferred and subsequently eliminated in acquisition accounting.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(5)Calculated based on Per Share MITT Cash Consideration of $0.41 per share and a total of 37,898,014 shares of CHMI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(6)Based on closing stock price of CHMI Series A Preferred Stock on September 29,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(7)Based on closing stock price of CHMI Series B Preferred Stock on September 29,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(8)Excludes the Per Share Additional Manager Consideration payable by the MITT Manager to CHMI common stockholders equal to $0.52 per share in cash.</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MITT performed a preliminary purchase price allocation of the MITT To</w:t>
      </w:r>
      <w:r>
        <w:rPr>
          <w:rFonts w:ascii="Times New Roman;serif" w:hAnsi="Times New Roman;serif"/>
          <w:b w:val="false"/>
          <w:color w:val="000000"/>
          <w:sz w:val="20"/>
        </w:rPr>
        <w:t xml:space="preserve">tal Consideration and presented the underlying assets acquired and liabilities assumed based on June 30, 2026 fair values of such assets and liabilities assuming the transaction closed on June 30, 2026. In conjunction with the preliminary purchase price allocation, MITT would expect to recognize a bargain purchase gain of $43.5 million, which is calculated as the fair value of MITT Total Consideration transferred less the recognized amount of net assets acquired.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presented below has not been finalized. The final determination of the allocation of the purchase price will be based on the fair value of the assets acquired and liabilities assumed as of the Closing Date and will be completed after the Mergers are consummated. The final determination of these estimated fair values are dependent upon certain valuations and other analyses that have not yet been completed and could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43"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differ materially from the amounts presented in the unaudited pro forma condensed combined financial statements. The final determination will be completed as soon as practicable but no later than one year after the consummation of the Mergers. Any increase or decrease in the fair value of the net assets acquired, as compared to the information shown herein, could change the portion of the purchase consideration allocable to the bargain purchase gain and could impact the operating results of the pro forma Combined Company following the Mergers due to differences in the allocation of the purchase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preliminary purchase price allocation of the MITT Total Consideration expected to be transferred by MITT to the CHMI stockholders, as if the Mergers had occurred on June 30, 2026 ($ in thousands):</w:t>
      </w:r>
    </w:p>
    <w:tbl>
      <w:tblPr>
        <w:tblW w:w="4955" w:type="dxa"/>
        <w:jc w:val="center"/>
        <w:tblInd w:w="0" w:type="dxa"/>
        <w:tblLayout w:type="fixed"/>
        <w:tblCellMar>
          <w:top w:w="28" w:type="dxa"/>
          <w:left w:w="28" w:type="dxa"/>
          <w:bottom w:w="28" w:type="dxa"/>
          <w:right w:w="28" w:type="dxa"/>
        </w:tblCellMar>
      </w:tblPr>
      <w:tblGrid>
        <w:gridCol w:w="1353"/>
        <w:gridCol w:w="1187"/>
        <w:gridCol w:w="1194"/>
        <w:gridCol w:w="196"/>
        <w:gridCol w:w="87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Purchase Price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Allocated to: </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Assumed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Bargain Purchase Gain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prices of MITT Common Stock, CHMI Common Stock, MITT Series D Preferred Stock and MITT Series E Preferred Stock are a determining factor in arriving at the value of the final consideration for the Mergers. The share prices assumed for the preliminary estimated purchase price were based on the closing stock prices of MITT Common Stock, CHMI Common Stock, CHMI Series A Preferred Stock and CHMI Series B Preferred Stock on September 29, 2026 of $5.97, $2.71, $21.41 and $23.80 per share, respectively. The actual purchase price will be computed using the closing stock prices on the Closing Date. Therefore, the actual purchase price will fluctuate with the market prices until the Closing Date and, as a result, the final purchase price could differ significantly from the current estimate, which could materially impact the unaudited pro forma condensed combined financial statements.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range of estimated MITT Total Consideration and the resulting bargain purchase gain or goodwill based on hypothetical per share prices of MITT Common Stock, CHMI Series A Preferred Stock, CHMI Series B Preferred Stock, and CHMI Common Stock ($ in thousands, except share prices):</w:t>
      </w:r>
    </w:p>
    <w:tbl>
      <w:tblPr>
        <w:tblW w:w="10205" w:type="dxa"/>
        <w:jc w:val="left"/>
        <w:tblInd w:w="0" w:type="dxa"/>
        <w:tblLayout w:type="fixed"/>
        <w:tblCellMar>
          <w:top w:w="28" w:type="dxa"/>
          <w:left w:w="28" w:type="dxa"/>
          <w:bottom w:w="28" w:type="dxa"/>
          <w:right w:w="28" w:type="dxa"/>
        </w:tblCellMar>
      </w:tblPr>
      <w:tblGrid>
        <w:gridCol w:w="1180"/>
        <w:gridCol w:w="954"/>
        <w:gridCol w:w="962"/>
        <w:gridCol w:w="292"/>
        <w:gridCol w:w="648"/>
        <w:gridCol w:w="151"/>
        <w:gridCol w:w="109"/>
        <w:gridCol w:w="109"/>
        <w:gridCol w:w="109"/>
        <w:gridCol w:w="292"/>
        <w:gridCol w:w="648"/>
        <w:gridCol w:w="151"/>
        <w:gridCol w:w="109"/>
        <w:gridCol w:w="109"/>
        <w:gridCol w:w="109"/>
        <w:gridCol w:w="378"/>
        <w:gridCol w:w="852"/>
        <w:gridCol w:w="199"/>
        <w:gridCol w:w="109"/>
        <w:gridCol w:w="109"/>
        <w:gridCol w:w="109"/>
        <w:gridCol w:w="286"/>
        <w:gridCol w:w="634"/>
        <w:gridCol w:w="148"/>
        <w:gridCol w:w="109"/>
        <w:gridCol w:w="109"/>
        <w:gridCol w:w="109"/>
        <w:gridCol w:w="283"/>
        <w:gridCol w:w="625"/>
        <w:gridCol w:w="214"/>
      </w:tblGrid>
      <w:tr>
        <w:trPr/>
        <w:tc>
          <w:tcPr>
            <w:tcW w:w="118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Increase</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MITT Common Stock</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A Preferred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B Preferred Stock</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gain/(Goodwill) recorded at MITT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44"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2. Accounting Presentation and Policies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Balance Sheet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has been prepared as if the Mergers had occurred on June 30, 2026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balance sheet presentation. These reclassifications have no effect on previously reported total assets, total liabilities or stockholders’ equity of CHMI or MITT. The below table summarizes these adjustments ($ in thousands): </w:t>
      </w:r>
    </w:p>
    <w:tbl>
      <w:tblPr>
        <w:tblW w:w="9645" w:type="dxa"/>
        <w:jc w:val="left"/>
        <w:tblInd w:w="0" w:type="dxa"/>
        <w:tblLayout w:type="fixed"/>
        <w:tblCellMar>
          <w:top w:w="28" w:type="dxa"/>
          <w:left w:w="28" w:type="dxa"/>
          <w:bottom w:w="28" w:type="dxa"/>
          <w:right w:w="28" w:type="dxa"/>
        </w:tblCellMar>
      </w:tblPr>
      <w:tblGrid>
        <w:gridCol w:w="1901"/>
        <w:gridCol w:w="1667"/>
        <w:gridCol w:w="1682"/>
        <w:gridCol w:w="109"/>
        <w:gridCol w:w="109"/>
        <w:gridCol w:w="109"/>
        <w:gridCol w:w="839"/>
        <w:gridCol w:w="839"/>
        <w:gridCol w:w="842"/>
        <w:gridCol w:w="109"/>
        <w:gridCol w:w="109"/>
        <w:gridCol w:w="109"/>
        <w:gridCol w:w="196"/>
        <w:gridCol w:w="87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RMBS,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assets, at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Fixed-to-Floating Rate Cumulative Redeemable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(1)Receivables and other assets includes $9.0 million of servicing advances, $5.7 million of interest receivable, $7.7 million of deferred tax asset and $5.1 million of other receivables. With respect to the deferred tax asset, CHMI had net operating losses of $96.7 million as of June 30, 2026, which were created subsequent to 2017 and can be carried forward indefinitely. MITT evaluated the attributes of these loss carryforwards and the extent to which, and likelihood, that the Combined Company would utilize them in part or in whole, taking into account the planned corporate structure of the Combined Company, the existing mortgage servicing rights business held within the taxable REIT subsidiary and any limitations on the utilization of such carryforwards imposed by Section 382 of the Internal Revenue Code. Based on this evaluation, MITT has recognized the deferred tax asset in the preliminary purchase price allocation. If MITT subsequently determines that it is not likely to utilize these loss carryforwards, in part or in whole, this could have a material effect on the purchase price allocation once finalized.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Transaction Accounting Adjustments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B.Adjustment includes a $16.9 million reduction to cash relating to estimated transaction costs to be paid by MITT and CHMI that are directly attributable to the Mergers, a $15.5 million reduction to cash relating to cash consideration to be paid by MITT to CHMI common stockholders as part of the Merger Consideration, and a $0.7 million reduction to cash and increase in prepaid expenses related to a directors' and officers' ("D&amp;O") insurance policy to be acquired under the terms of the Merger Agreement.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accordance with ASC 805, MITT's previously held 734,800 shares of CHMI common stock were remeasured from their June 30, 2026 carrying value of $1.7 million to their acquisition date fair value of $2.0 million, resulting in a gain of $0.3 million recognized in earnings within the unaudited pro forma condensed combined statements of operations during the year ended December 31, 2025. The acquisition date fair value of the investment was included in consideration transferred and subsequently eliminated in acquisition accounting, resulting in a net decrease to Other assets of $1.7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45"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D.CHMI's notes payable are recorded at amortized cost within its historical consolidated balance sheets. The pro forma adjustment represents recording the notes payable at the outstanding financing balance, which approximates fair value. The increase of $0.9 million from the notes payable carrying amount of $140.6 million represents the removal of CHMI's outstanding deferred financing costs.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E.Refer to "The Company Merger - Treatment of CHMI Preferred Stock" section above which provides a description of the MITT Preferred Stock Consideration and the treatment of CHMI Preferred Stock. The pro forma adjustment represents (i) the reversal of the existing CHMI Preferred Stock and (ii) the issuance of MITT Series D Preferred Stock and MITT Series E Preferred Stock at a fair value of $59.6 million and $38.2 million, respectively, which are determined based on the closing stock prices of the CHMI Series A Preferred Stock and CHMI Series B Preferred Stock, respectively, as of September 29, 2026, the most recent date practicable in the preparation of this filing.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413"/>
        <w:gridCol w:w="361"/>
        <w:gridCol w:w="365"/>
        <w:gridCol w:w="109"/>
        <w:gridCol w:w="109"/>
        <w:gridCol w:w="109"/>
        <w:gridCol w:w="514"/>
        <w:gridCol w:w="1976"/>
        <w:gridCol w:w="288"/>
        <w:gridCol w:w="109"/>
        <w:gridCol w:w="109"/>
        <w:gridCol w:w="109"/>
        <w:gridCol w:w="539"/>
        <w:gridCol w:w="1778"/>
        <w:gridCol w:w="302"/>
        <w:gridCol w:w="109"/>
        <w:gridCol w:w="109"/>
        <w:gridCol w:w="109"/>
        <w:gridCol w:w="570"/>
        <w:gridCol w:w="1662"/>
        <w:gridCol w:w="456"/>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Preferred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97,733 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(8,131)</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20"/>
        </w:rPr>
        <w:t>F.Refer to "The Company Merger - Preliminary Purchase Price Allocation" and "The Mergers - Treatment of CHMI Equity Awards" sections above which provide a description of the MITT Total Consideration, the preliminary purchase price allocation, and the treatment of CHMI Equity Awards</w:t>
      </w:r>
      <w:r>
        <w:rPr>
          <w:rFonts w:ascii="Times New Roman;serif" w:hAnsi="Times New Roman;serif"/>
          <w:b w:val="false"/>
          <w:i/>
          <w:color w:val="000000"/>
          <w:sz w:val="20"/>
        </w:rPr>
        <w:t xml:space="preserve">. </w:t>
      </w:r>
      <w:r>
        <w:rPr>
          <w:rFonts w:ascii="Times New Roman;serif" w:hAnsi="Times New Roman;serif"/>
          <w:b w:val="false"/>
          <w:color w:val="000000"/>
          <w:sz w:val="20"/>
        </w:rPr>
        <w:t>The pro forma adjustments represent (i) the reversal of CHMI's existing common stockholders' equity, (ii) the issuance of 11,608,162 shares of MITT Common Stock at a fair value determined based on a closing stock price of $5.97 as of September 29, 2026, the most recent date practicable in the preparation of this filing, (iii) the bargain purchase gain recognized based on the preliminary purchase price allocation, (iv) the gain on remeasurement of MITT's previously held investment in CHMI common stock and (v) estimated transaction costs to be paid by MITT and CHMI that are directly attributable to the Mergers.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703"/>
        <w:gridCol w:w="273"/>
        <w:gridCol w:w="275"/>
        <w:gridCol w:w="109"/>
        <w:gridCol w:w="109"/>
        <w:gridCol w:w="109"/>
        <w:gridCol w:w="323"/>
        <w:gridCol w:w="720"/>
        <w:gridCol w:w="181"/>
        <w:gridCol w:w="109"/>
        <w:gridCol w:w="109"/>
        <w:gridCol w:w="109"/>
        <w:gridCol w:w="340"/>
        <w:gridCol w:w="731"/>
        <w:gridCol w:w="190"/>
        <w:gridCol w:w="109"/>
        <w:gridCol w:w="109"/>
        <w:gridCol w:w="109"/>
        <w:gridCol w:w="233"/>
        <w:gridCol w:w="484"/>
        <w:gridCol w:w="130"/>
        <w:gridCol w:w="109"/>
        <w:gridCol w:w="109"/>
        <w:gridCol w:w="109"/>
        <w:gridCol w:w="372"/>
        <w:gridCol w:w="771"/>
        <w:gridCol w:w="208"/>
        <w:gridCol w:w="109"/>
        <w:gridCol w:w="109"/>
        <w:gridCol w:w="109"/>
        <w:gridCol w:w="298"/>
        <w:gridCol w:w="618"/>
        <w:gridCol w:w="167"/>
        <w:gridCol w:w="109"/>
        <w:gridCol w:w="109"/>
        <w:gridCol w:w="109"/>
        <w:gridCol w:w="304"/>
        <w:gridCol w:w="677"/>
        <w:gridCol w:w="245"/>
      </w:tblGrid>
      <w:tr>
        <w:trPr/>
        <w:tc>
          <w:tcPr>
            <w:tcW w:w="7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Common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Bargain Purchase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Remeasurement</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(327,704)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Statement of Operations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statements of operations have been prepared as if the Mergers had occurred on January 1, 2025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46"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statement of operations presentation. These reclassifications have no effect on previously reported total net income/(loss) of CHMI or MITT. The below table summarizes these adjustments ($ in thousands): </w:t>
      </w:r>
    </w:p>
    <w:tbl>
      <w:tblPr>
        <w:tblW w:w="10205" w:type="dxa"/>
        <w:jc w:val="right"/>
        <w:tblInd w:w="0" w:type="dxa"/>
        <w:tblLayout w:type="fixed"/>
        <w:tblCellMar>
          <w:top w:w="28" w:type="dxa"/>
          <w:left w:w="28" w:type="dxa"/>
          <w:bottom w:w="28" w:type="dxa"/>
          <w:right w:w="28" w:type="dxa"/>
        </w:tblCellMar>
      </w:tblPr>
      <w:tblGrid>
        <w:gridCol w:w="1275"/>
        <w:gridCol w:w="1065"/>
        <w:gridCol w:w="1068"/>
        <w:gridCol w:w="109"/>
        <w:gridCol w:w="109"/>
        <w:gridCol w:w="109"/>
        <w:gridCol w:w="855"/>
        <w:gridCol w:w="715"/>
        <w:gridCol w:w="717"/>
        <w:gridCol w:w="109"/>
        <w:gridCol w:w="109"/>
        <w:gridCol w:w="109"/>
        <w:gridCol w:w="377"/>
        <w:gridCol w:w="1184"/>
        <w:gridCol w:w="209"/>
        <w:gridCol w:w="109"/>
        <w:gridCol w:w="109"/>
        <w:gridCol w:w="109"/>
        <w:gridCol w:w="356"/>
        <w:gridCol w:w="1118"/>
        <w:gridCol w:w="285"/>
      </w:tblGrid>
      <w:tr>
        <w:trPr/>
        <w:tc>
          <w:tcPr>
            <w:tcW w:w="12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RMBS,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acquired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RMBS, measured at fair value through earnings,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 in Servicing Related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corporate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"Realized gain on derivatives, net" line item on CHMI's consolidated statements of income (loss) was reclassified to conform with MITT's current presentation of earnings on its derivative portfolio. The below table summarizes these adjustments ($ in thousands):</w:t>
      </w:r>
    </w:p>
    <w:tbl>
      <w:tblPr>
        <w:tblW w:w="10205" w:type="dxa"/>
        <w:jc w:val="left"/>
        <w:tblInd w:w="0" w:type="dxa"/>
        <w:tblLayout w:type="fixed"/>
        <w:tblCellMar>
          <w:top w:w="28" w:type="dxa"/>
          <w:left w:w="28" w:type="dxa"/>
          <w:bottom w:w="28" w:type="dxa"/>
          <w:right w:w="28" w:type="dxa"/>
        </w:tblCellMar>
      </w:tblPr>
      <w:tblGrid>
        <w:gridCol w:w="1016"/>
        <w:gridCol w:w="895"/>
        <w:gridCol w:w="898"/>
        <w:gridCol w:w="325"/>
        <w:gridCol w:w="1071"/>
        <w:gridCol w:w="180"/>
        <w:gridCol w:w="124"/>
        <w:gridCol w:w="124"/>
        <w:gridCol w:w="124"/>
        <w:gridCol w:w="320"/>
        <w:gridCol w:w="1056"/>
        <w:gridCol w:w="178"/>
        <w:gridCol w:w="109"/>
        <w:gridCol w:w="109"/>
        <w:gridCol w:w="109"/>
        <w:gridCol w:w="357"/>
        <w:gridCol w:w="1018"/>
        <w:gridCol w:w="202"/>
        <w:gridCol w:w="127"/>
        <w:gridCol w:w="127"/>
        <w:gridCol w:w="127"/>
        <w:gridCol w:w="345"/>
        <w:gridCol w:w="980"/>
        <w:gridCol w:w="284"/>
      </w:tblGrid>
      <w:tr>
        <w:trPr/>
        <w:tc>
          <w:tcPr>
            <w:tcW w:w="10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Operations Line Item</w:t>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derivatives, net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(b)Prior to January 1, 2023, CHMI designated its RMBS as available-for-sale. CHMI records unrealized gains and losses on RMBS classified as available-for-sale in "Other comprehensive income (loss)." The Combined Company will elect the fair value option pursuant to ASC 825, "Financial Instruments," consistent with the remainder of its real estate securities portfolio. This adjustment represents reclassifying the change in fair value recorded in "Other comprehensive income (loss)" to be recorded in earnings on the consolidated statement of operations as a component of "Net unrealized gain/(loss)." CHMI recorded an unrealized loss of $1.9 million during the six months ended June 30, 2026 and an unrealized gain of $10.9 million during the year ended December 31, 2025 within Other comprehensive income (loss).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pro forma adjustment represents the Combined Company’s incremental management fee based on the fair value of the net assets acquired in the Mergers less (i) the MITT Cash Consideration of $15.5 million, (ii) the acquisition date fair value of MITT's previously held 734,800 shares of CHMI common stock of $2.0 million that was included in the consideration transferred in accordance with ASC 805, and (iii) transaction related expenses of $16.9 million, multiplied by MITT's management fee rate of 1.5% for the six months ended June 30, 2026 and the year ended December 31, 2025.</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pro forma adjustment represents the estimated amortization expense related to the D&amp;O insurance policy to be acquired under the terms of the Merger Agreement. The acquired policy was recorded as a prepaid expense of $0.7 million and has a six-year term.</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47"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(f)For the six months ended June 30, 2026 and the year ended December 31, 2025, the pro forma weighted average Combined Company common shares outstanding includes the 11.6 million shares of MITT Common Stock to be issued as consideration in connection with the Mergers as if the shares were issued as of the beginning of the respective periods. The below tables summarize the calculation of pro forma earnings/(loss) per share (in thousands, expect per share amounts):</w:t>
      </w:r>
    </w:p>
    <w:tbl>
      <w:tblPr>
        <w:tblW w:w="10205" w:type="dxa"/>
        <w:jc w:val="left"/>
        <w:tblInd w:w="0" w:type="dxa"/>
        <w:tblLayout w:type="fixed"/>
        <w:tblCellMar>
          <w:top w:w="28" w:type="dxa"/>
          <w:left w:w="28" w:type="dxa"/>
          <w:bottom w:w="28" w:type="dxa"/>
          <w:right w:w="28" w:type="dxa"/>
        </w:tblCellMar>
      </w:tblPr>
      <w:tblGrid>
        <w:gridCol w:w="1306"/>
        <w:gridCol w:w="976"/>
        <w:gridCol w:w="986"/>
        <w:gridCol w:w="109"/>
        <w:gridCol w:w="109"/>
        <w:gridCol w:w="109"/>
        <w:gridCol w:w="196"/>
        <w:gridCol w:w="646"/>
        <w:gridCol w:w="109"/>
        <w:gridCol w:w="109"/>
        <w:gridCol w:w="109"/>
        <w:gridCol w:w="109"/>
        <w:gridCol w:w="196"/>
        <w:gridCol w:w="607"/>
        <w:gridCol w:w="109"/>
        <w:gridCol w:w="109"/>
        <w:gridCol w:w="109"/>
        <w:gridCol w:w="109"/>
        <w:gridCol w:w="463"/>
        <w:gridCol w:w="1536"/>
        <w:gridCol w:w="262"/>
        <w:gridCol w:w="109"/>
        <w:gridCol w:w="109"/>
        <w:gridCol w:w="109"/>
        <w:gridCol w:w="295"/>
        <w:gridCol w:w="973"/>
        <w:gridCol w:w="237"/>
      </w:tblGrid>
      <w:tr>
        <w:trPr/>
        <w:tc>
          <w:tcPr>
            <w:tcW w:w="13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Numerator: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(g)In accordance with ASC 805, MITT's previously held 734,800 shares of CHMI common stock were remeasured from their June 30, 2026 carrying value of $1.7 million to their acquisition date fair value of $2.0 million. The remeasurement gain on previously held equity interests in CHMI of $0.3 million was recognized in earnings within the Net unrealized gain/(loss) line item during the year ended December 31, 2025.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48"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(h)The pro forma adjustment of $43.5 million represents a bargain purchase gain, or the amount by which the fair value of the net assets acquired exceeds the fair value of the MITT Total Consideration transferred of $184.6 million.</w:t>
      </w:r>
    </w:p>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pro forma adjustment includes $16.9 million of estimated transaction costs to be paid by MITT and CHMI that are directly attributable to the Mergers.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49" name="Frame2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MIT MERGER SUB II,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OPERATING PARTNERSHIP, LP</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 solely for the limited purposes set forth herein,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 REIT MANAGEMENT, LLC</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August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50"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0"/>
        <w:ind w:left="0" w:right="0" w:firstLine="747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Page</w:t>
      </w:r>
    </w:p>
    <w:p>
      <w:pPr>
        <w:pStyle w:val="TextBody"/>
        <w:bidi w:val="0"/>
        <w:spacing w:before="0" w:after="0"/>
        <w:jc w:val="right"/>
        <w:rPr/>
      </w:pPr>
      <w:r>
        <w:rPr/>
      </w:r>
    </w:p>
    <w:tbl>
      <w:tblPr>
        <w:tblW w:w="11299" w:type="dxa"/>
        <w:jc w:val="left"/>
        <w:tblInd w:w="0" w:type="dxa"/>
        <w:tblLayout w:type="fixed"/>
        <w:tblCellMar>
          <w:top w:w="28" w:type="dxa"/>
          <w:left w:w="28" w:type="dxa"/>
          <w:bottom w:w="28" w:type="dxa"/>
          <w:right w:w="28" w:type="dxa"/>
        </w:tblCellMar>
      </w:tblPr>
      <w:tblGrid>
        <w:gridCol w:w="1301"/>
        <w:gridCol w:w="1143"/>
        <w:gridCol w:w="1143"/>
        <w:gridCol w:w="2912"/>
        <w:gridCol w:w="2192"/>
        <w:gridCol w:w="2202"/>
        <w:gridCol w:w="118"/>
        <w:gridCol w:w="118"/>
        <w:gridCol w:w="170"/>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34">
              <w:r>
                <w:rPr>
                  <w:rStyle w:val="InternetLink"/>
                  <w:rFonts w:ascii="Times New Roman;serif" w:hAnsi="Times New Roman;serif"/>
                  <w:b w:val="false"/>
                  <w:color w:val="0000FF"/>
                  <w:sz w:val="24"/>
                  <w:u w:val="single"/>
                </w:rPr>
                <w:t xml:space="preserve">ARTICLE I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334">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34">
              <w:r>
                <w:rPr>
                  <w:rStyle w:val="InternetLink"/>
                  <w:rFonts w:ascii="Times New Roman;serif" w:hAnsi="Times New Roman;serif"/>
                  <w:b w:val="false"/>
                  <w:color w:val="0000FF"/>
                  <w:sz w:val="24"/>
                  <w:u w:val="single"/>
                </w:rPr>
                <w:t>A-2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37">
              <w:r>
                <w:rPr>
                  <w:rStyle w:val="InternetLink"/>
                  <w:rFonts w:ascii="Times New Roman;serif" w:hAnsi="Times New Roman;serif"/>
                  <w:b w:val="false"/>
                  <w:color w:val="0000FF"/>
                  <w:sz w:val="24"/>
                  <w:u w:val="single"/>
                </w:rPr>
                <w:t>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37">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37">
              <w:r>
                <w:rPr>
                  <w:rStyle w:val="InternetLink"/>
                  <w:rFonts w:ascii="Times New Roman;serif" w:hAnsi="Times New Roman;serif"/>
                  <w:b w:val="false"/>
                  <w:color w:val="0000FF"/>
                  <w:sz w:val="24"/>
                  <w:u w:val="single"/>
                </w:rPr>
                <w:t>A-2</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0">
              <w:r>
                <w:rPr>
                  <w:rStyle w:val="InternetLink"/>
                  <w:rFonts w:ascii="Times New Roman;serif" w:hAnsi="Times New Roman;serif"/>
                  <w:b w:val="false"/>
                  <w:color w:val="0000FF"/>
                  <w:sz w:val="24"/>
                  <w:u w:val="single"/>
                </w:rPr>
                <w:t xml:space="preserve">ARTICLE II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340">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0">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43">
              <w:r>
                <w:rPr>
                  <w:rStyle w:val="InternetLink"/>
                  <w:rFonts w:ascii="Times New Roman;serif" w:hAnsi="Times New Roman;serif"/>
                  <w:b w:val="false"/>
                  <w:color w:val="0000FF"/>
                  <w:sz w:val="24"/>
                  <w:u w:val="single"/>
                </w:rPr>
                <w:t>2.1.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3">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3">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46">
              <w:r>
                <w:rPr>
                  <w:rStyle w:val="InternetLink"/>
                  <w:rFonts w:ascii="Times New Roman;serif" w:hAnsi="Times New Roman;serif"/>
                  <w:b w:val="false"/>
                  <w:color w:val="0000FF"/>
                  <w:sz w:val="24"/>
                  <w:u w:val="single"/>
                </w:rPr>
                <w:t>2.2.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6">
              <w:r>
                <w:rPr>
                  <w:rStyle w:val="InternetLink"/>
                  <w:rFonts w:ascii="Times New Roman;serif" w:hAnsi="Times New Roman;serif"/>
                  <w:b w:val="false"/>
                  <w:color w:val="0000FF"/>
                  <w:sz w:val="24"/>
                  <w:u w:val="single"/>
                </w:rPr>
                <w:t>Closing</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6">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49">
              <w:r>
                <w:rPr>
                  <w:rStyle w:val="InternetLink"/>
                  <w:rFonts w:ascii="Times New Roman;serif" w:hAnsi="Times New Roman;serif"/>
                  <w:b w:val="false"/>
                  <w:color w:val="0000FF"/>
                  <w:sz w:val="24"/>
                  <w:u w:val="single"/>
                </w:rPr>
                <w:t>2.3.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9">
              <w:r>
                <w:rPr>
                  <w:rStyle w:val="InternetLink"/>
                  <w:rFonts w:ascii="Times New Roman;serif" w:hAnsi="Times New Roman;serif"/>
                  <w:b w:val="false"/>
                  <w:color w:val="0000FF"/>
                  <w:sz w:val="24"/>
                  <w:u w:val="single"/>
                </w:rPr>
                <w:t>Effective Times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49">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52">
              <w:r>
                <w:rPr>
                  <w:rStyle w:val="InternetLink"/>
                  <w:rFonts w:ascii="Times New Roman;serif" w:hAnsi="Times New Roman;serif"/>
                  <w:b w:val="false"/>
                  <w:color w:val="0000FF"/>
                  <w:sz w:val="24"/>
                  <w:u w:val="single"/>
                </w:rPr>
                <w:t>2.4.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2">
              <w:r>
                <w:rPr>
                  <w:rStyle w:val="InternetLink"/>
                  <w:rFonts w:ascii="Times New Roman;serif" w:hAnsi="Times New Roman;serif"/>
                  <w:b w:val="false"/>
                  <w:color w:val="0000FF"/>
                  <w:sz w:val="24"/>
                  <w:u w:val="single"/>
                </w:rPr>
                <w:t>Effects of the 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2">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55">
              <w:r>
                <w:rPr>
                  <w:rStyle w:val="InternetLink"/>
                  <w:rFonts w:ascii="Times New Roman;serif" w:hAnsi="Times New Roman;serif"/>
                  <w:b w:val="false"/>
                  <w:color w:val="0000FF"/>
                  <w:sz w:val="24"/>
                  <w:u w:val="single"/>
                </w:rPr>
                <w:t>2.5.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5">
              <w:r>
                <w:rPr>
                  <w:rStyle w:val="InternetLink"/>
                  <w:rFonts w:ascii="Times New Roman;serif" w:hAnsi="Times New Roman;serif"/>
                  <w:b w:val="false"/>
                  <w:color w:val="0000FF"/>
                  <w:sz w:val="24"/>
                  <w:u w:val="single"/>
                </w:rPr>
                <w:t>Organizational Documents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5">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58">
              <w:r>
                <w:rPr>
                  <w:rStyle w:val="InternetLink"/>
                  <w:rFonts w:ascii="Times New Roman;serif" w:hAnsi="Times New Roman;serif"/>
                  <w:b w:val="false"/>
                  <w:color w:val="0000FF"/>
                  <w:sz w:val="24"/>
                  <w:u w:val="single"/>
                </w:rPr>
                <w:t>2.6.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8">
              <w:r>
                <w:rPr>
                  <w:rStyle w:val="InternetLink"/>
                  <w:rFonts w:ascii="Times New Roman;serif" w:hAnsi="Times New Roman;serif"/>
                  <w:b w:val="false"/>
                  <w:color w:val="0000FF"/>
                  <w:sz w:val="24"/>
                  <w:u w:val="single"/>
                </w:rPr>
                <w:t>Directors and Officers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58">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61">
              <w:r>
                <w:rPr>
                  <w:rStyle w:val="InternetLink"/>
                  <w:rFonts w:ascii="Times New Roman;serif" w:hAnsi="Times New Roman;serif"/>
                  <w:b w:val="false"/>
                  <w:color w:val="0000FF"/>
                  <w:sz w:val="24"/>
                  <w:u w:val="single"/>
                </w:rPr>
                <w:t>2.7.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1">
              <w:r>
                <w:rPr>
                  <w:rStyle w:val="InternetLink"/>
                  <w:rFonts w:ascii="Times New Roman;serif" w:hAnsi="Times New Roman;serif"/>
                  <w:b w:val="false"/>
                  <w:color w:val="0000FF"/>
                  <w:sz w:val="24"/>
                  <w:u w:val="single"/>
                </w:rPr>
                <w:t>Directors of Parent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1">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64">
              <w:r>
                <w:rPr>
                  <w:rStyle w:val="InternetLink"/>
                  <w:rFonts w:ascii="Times New Roman;serif" w:hAnsi="Times New Roman;serif"/>
                  <w:b w:val="false"/>
                  <w:color w:val="0000FF"/>
                  <w:sz w:val="24"/>
                  <w:u w:val="single"/>
                </w:rPr>
                <w:t>2.8.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4">
              <w:r>
                <w:rPr>
                  <w:rStyle w:val="InternetLink"/>
                  <w:rFonts w:ascii="Times New Roman;serif" w:hAnsi="Times New Roman;serif"/>
                  <w:b w:val="false"/>
                  <w:color w:val="0000FF"/>
                  <w:sz w:val="24"/>
                  <w:u w:val="single"/>
                </w:rPr>
                <w:t>Tax Consequences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4">
              <w:r>
                <w:rPr>
                  <w:rStyle w:val="InternetLink"/>
                  <w:rFonts w:ascii="Times New Roman;serif" w:hAnsi="Times New Roman;serif"/>
                  <w:b w:val="false"/>
                  <w:color w:val="0000FF"/>
                  <w:sz w:val="24"/>
                  <w:u w:val="single"/>
                </w:rPr>
                <w:t>A-24</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7">
              <w:r>
                <w:rPr>
                  <w:rStyle w:val="InternetLink"/>
                  <w:rFonts w:ascii="Times New Roman;serif" w:hAnsi="Times New Roman;serif"/>
                  <w:b w:val="false"/>
                  <w:color w:val="0000FF"/>
                  <w:sz w:val="24"/>
                  <w:u w:val="single"/>
                </w:rPr>
                <w:t xml:space="preserve">ARTICLE III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367">
              <w:r>
                <w:rPr>
                  <w:rStyle w:val="InternetLink"/>
                  <w:rFonts w:ascii="Times New Roman;serif" w:hAnsi="Times New Roman;serif"/>
                  <w:b w:val="false"/>
                  <w:color w:val="0000FF"/>
                  <w:sz w:val="24"/>
                  <w:u w:val="single"/>
                </w:rPr>
                <w:t>CONVERSION OF SHARES, UNITS AND AWARDS; EXCHANGE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67">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70">
              <w:r>
                <w:rPr>
                  <w:rStyle w:val="InternetLink"/>
                  <w:rFonts w:ascii="Times New Roman;serif" w:hAnsi="Times New Roman;serif"/>
                  <w:b w:val="false"/>
                  <w:color w:val="0000FF"/>
                  <w:sz w:val="24"/>
                  <w:u w:val="single"/>
                </w:rPr>
                <w:t>3.1.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0">
              <w:r>
                <w:rPr>
                  <w:rStyle w:val="InternetLink"/>
                  <w:rFonts w:ascii="Times New Roman;serif" w:hAnsi="Times New Roman;serif"/>
                  <w:b w:val="false"/>
                  <w:color w:val="0000FF"/>
                  <w:sz w:val="24"/>
                  <w:u w:val="single"/>
                </w:rPr>
                <w:t>Treatment of Merger Sub Units, Company Common Stock, Company Preferred Stock and Company Equity Awards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0">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73">
              <w:r>
                <w:rPr>
                  <w:rStyle w:val="InternetLink"/>
                  <w:rFonts w:ascii="Times New Roman;serif" w:hAnsi="Times New Roman;serif"/>
                  <w:b w:val="false"/>
                  <w:color w:val="0000FF"/>
                  <w:sz w:val="24"/>
                  <w:u w:val="single"/>
                </w:rPr>
                <w:t>3.2.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3">
              <w:r>
                <w:rPr>
                  <w:rStyle w:val="InternetLink"/>
                  <w:rFonts w:ascii="Times New Roman;serif" w:hAnsi="Times New Roman;serif"/>
                  <w:b w:val="false"/>
                  <w:color w:val="0000FF"/>
                  <w:sz w:val="24"/>
                  <w:u w:val="single"/>
                </w:rPr>
                <w:t>Treatment of Company Partnership Units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3">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76">
              <w:r>
                <w:rPr>
                  <w:rStyle w:val="InternetLink"/>
                  <w:rFonts w:ascii="Times New Roman;serif" w:hAnsi="Times New Roman;serif"/>
                  <w:b w:val="false"/>
                  <w:color w:val="0000FF"/>
                  <w:sz w:val="24"/>
                  <w:u w:val="single"/>
                </w:rPr>
                <w:t>3.3.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6">
              <w:r>
                <w:rPr>
                  <w:rStyle w:val="InternetLink"/>
                  <w:rFonts w:ascii="Times New Roman;serif" w:hAnsi="Times New Roman;serif"/>
                  <w:b w:val="false"/>
                  <w:color w:val="0000FF"/>
                  <w:sz w:val="24"/>
                  <w:u w:val="single"/>
                </w:rPr>
                <w:t>Dissenters’ Rights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6">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79">
              <w:r>
                <w:rPr>
                  <w:rStyle w:val="InternetLink"/>
                  <w:rFonts w:ascii="Times New Roman;serif" w:hAnsi="Times New Roman;serif"/>
                  <w:b w:val="false"/>
                  <w:color w:val="0000FF"/>
                  <w:sz w:val="24"/>
                  <w:u w:val="single"/>
                </w:rPr>
                <w:t>3.4.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9">
              <w:r>
                <w:rPr>
                  <w:rStyle w:val="InternetLink"/>
                  <w:rFonts w:ascii="Times New Roman;serif" w:hAnsi="Times New Roman;serif"/>
                  <w:b w:val="false"/>
                  <w:color w:val="0000FF"/>
                  <w:sz w:val="24"/>
                  <w:u w:val="single"/>
                </w:rPr>
                <w:t>Exchange of Company Common Stock and Company Preferred Stock</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79">
              <w:r>
                <w:rPr>
                  <w:rStyle w:val="InternetLink"/>
                  <w:rFonts w:ascii="Times New Roman;serif" w:hAnsi="Times New Roman;serif"/>
                  <w:b w:val="false"/>
                  <w:color w:val="0000FF"/>
                  <w:sz w:val="24"/>
                  <w:u w:val="single"/>
                </w:rPr>
                <w:t>A-28</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82">
              <w:r>
                <w:rPr>
                  <w:rStyle w:val="InternetLink"/>
                  <w:rFonts w:ascii="Times New Roman;serif" w:hAnsi="Times New Roman;serif"/>
                  <w:b w:val="false"/>
                  <w:color w:val="0000FF"/>
                  <w:sz w:val="24"/>
                  <w:u w:val="single"/>
                </w:rPr>
                <w:t>ARTICLE IV</w:t>
              </w:r>
            </w:hyperlink>
            <w:r>
              <w:rPr>
                <w:color w:val="000000"/>
              </w:rPr>
              <w:t xml:space="preserve"> </w:t>
            </w:r>
          </w:p>
          <w:p>
            <w:pPr>
              <w:pStyle w:val="TableContents"/>
              <w:bidi w:val="0"/>
              <w:spacing w:before="0" w:after="0"/>
              <w:jc w:val="both"/>
              <w:rPr/>
            </w:pPr>
            <w:r>
              <w:rPr/>
            </w:r>
          </w:p>
          <w:p>
            <w:pPr>
              <w:pStyle w:val="TableContents"/>
              <w:bidi w:val="0"/>
              <w:spacing w:lineRule="auto" w:line="240" w:before="0" w:after="0"/>
              <w:jc w:val="both"/>
              <w:rPr/>
            </w:pPr>
            <w:hyperlink w:anchor="i38e3236674744b24bbd77f8ede5bb2eb_382">
              <w:r>
                <w:rPr>
                  <w:rStyle w:val="InternetLink"/>
                  <w:rFonts w:ascii="Times New Roman;serif" w:hAnsi="Times New Roman;serif"/>
                  <w:b w:val="false"/>
                  <w:color w:val="0000FF"/>
                  <w:sz w:val="24"/>
                  <w:u w:val="single"/>
                  <w:shd w:fill="FFFFFF" w:val="clear"/>
                </w:rPr>
                <w:t>REPRESENTATIONS AND WARRANTIES OF THE COMPANY AND THE COMPANY OPERATING PARTNERSHIP</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82">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85">
              <w:r>
                <w:rPr>
                  <w:rStyle w:val="InternetLink"/>
                  <w:rFonts w:ascii="Times New Roman;serif" w:hAnsi="Times New Roman;serif"/>
                  <w:b w:val="false"/>
                  <w:color w:val="0000FF"/>
                  <w:sz w:val="24"/>
                  <w:u w:val="single"/>
                </w:rPr>
                <w:t>4.1.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85">
              <w:r>
                <w:rPr>
                  <w:rStyle w:val="InternetLink"/>
                  <w:rFonts w:ascii="Times New Roman;serif" w:hAnsi="Times New Roman;serif"/>
                  <w:b w:val="false"/>
                  <w:color w:val="0000FF"/>
                  <w:sz w:val="24"/>
                  <w:u w:val="single"/>
                </w:rPr>
                <w:t>Due Incorporation; Capitalization; Indebtedness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85">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88">
              <w:r>
                <w:rPr>
                  <w:rStyle w:val="InternetLink"/>
                  <w:rFonts w:ascii="Times New Roman;serif" w:hAnsi="Times New Roman;serif"/>
                  <w:b w:val="false"/>
                  <w:color w:val="0000FF"/>
                  <w:sz w:val="24"/>
                  <w:u w:val="single"/>
                </w:rPr>
                <w:t>4.2.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88">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88">
              <w:r>
                <w:rPr>
                  <w:rStyle w:val="InternetLink"/>
                  <w:rFonts w:ascii="Times New Roman;serif" w:hAnsi="Times New Roman;serif"/>
                  <w:b w:val="false"/>
                  <w:color w:val="0000FF"/>
                  <w:sz w:val="24"/>
                  <w:u w:val="single"/>
                </w:rPr>
                <w:t>A-35</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91">
              <w:r>
                <w:rPr>
                  <w:rStyle w:val="InternetLink"/>
                  <w:rFonts w:ascii="Times New Roman;serif" w:hAnsi="Times New Roman;serif"/>
                  <w:b w:val="false"/>
                  <w:color w:val="0000FF"/>
                  <w:sz w:val="24"/>
                  <w:u w:val="single"/>
                </w:rPr>
                <w:t>4.3.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91">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91">
              <w:r>
                <w:rPr>
                  <w:rStyle w:val="InternetLink"/>
                  <w:rFonts w:ascii="Times New Roman;serif" w:hAnsi="Times New Roman;serif"/>
                  <w:b w:val="false"/>
                  <w:color w:val="0000FF"/>
                  <w:sz w:val="24"/>
                  <w:u w:val="single"/>
                </w:rPr>
                <w:t>A-36</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94">
              <w:r>
                <w:rPr>
                  <w:rStyle w:val="InternetLink"/>
                  <w:rFonts w:ascii="Times New Roman;serif" w:hAnsi="Times New Roman;serif"/>
                  <w:b w:val="false"/>
                  <w:color w:val="0000FF"/>
                  <w:sz w:val="24"/>
                  <w:u w:val="single"/>
                </w:rPr>
                <w:t>4.4.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94">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94">
              <w:r>
                <w:rPr>
                  <w:rStyle w:val="InternetLink"/>
                  <w:rFonts w:ascii="Times New Roman;serif" w:hAnsi="Times New Roman;serif"/>
                  <w:b w:val="false"/>
                  <w:color w:val="0000FF"/>
                  <w:sz w:val="24"/>
                  <w:u w:val="single"/>
                </w:rPr>
                <w:t>A-37</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397">
              <w:r>
                <w:rPr>
                  <w:rStyle w:val="InternetLink"/>
                  <w:rFonts w:ascii="Times New Roman;serif" w:hAnsi="Times New Roman;serif"/>
                  <w:b w:val="false"/>
                  <w:color w:val="0000FF"/>
                  <w:sz w:val="24"/>
                  <w:u w:val="single"/>
                </w:rPr>
                <w:t>4.5.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397">
              <w:r>
                <w:rPr>
                  <w:rStyle w:val="InternetLink"/>
                  <w:rFonts w:ascii="Times New Roman;serif" w:hAnsi="Times New Roman;serif"/>
                  <w:b w:val="false"/>
                  <w:color w:val="0000FF"/>
                  <w:sz w:val="24"/>
                  <w:u w:val="single"/>
                </w:rPr>
                <w:t>Proxy Statement/Prospectus; Company Information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397">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00">
              <w:r>
                <w:rPr>
                  <w:rStyle w:val="InternetLink"/>
                  <w:rFonts w:ascii="Times New Roman;serif" w:hAnsi="Times New Roman;serif"/>
                  <w:b w:val="false"/>
                  <w:color w:val="0000FF"/>
                  <w:sz w:val="24"/>
                  <w:u w:val="single"/>
                </w:rPr>
                <w:t>4.6.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00">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00">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03">
              <w:r>
                <w:rPr>
                  <w:rStyle w:val="InternetLink"/>
                  <w:rFonts w:ascii="Times New Roman;serif" w:hAnsi="Times New Roman;serif"/>
                  <w:b w:val="false"/>
                  <w:color w:val="0000FF"/>
                  <w:sz w:val="24"/>
                  <w:u w:val="single"/>
                </w:rPr>
                <w:t>4.7.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03">
              <w:r>
                <w:rPr>
                  <w:rStyle w:val="InternetLink"/>
                  <w:rFonts w:ascii="Times New Roman;serif" w:hAnsi="Times New Roman;serif"/>
                  <w:b w:val="false"/>
                  <w:color w:val="0000FF"/>
                  <w:sz w:val="24"/>
                  <w:u w:val="single"/>
                </w:rPr>
                <w:t>Intellectual Property</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03">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06">
              <w:r>
                <w:rPr>
                  <w:rStyle w:val="InternetLink"/>
                  <w:rFonts w:ascii="Times New Roman;serif" w:hAnsi="Times New Roman;serif"/>
                  <w:b w:val="false"/>
                  <w:color w:val="0000FF"/>
                  <w:sz w:val="24"/>
                  <w:u w:val="single"/>
                </w:rPr>
                <w:t>4.8.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06">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06">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09">
              <w:r>
                <w:rPr>
                  <w:rStyle w:val="InternetLink"/>
                  <w:rFonts w:ascii="Times New Roman;serif" w:hAnsi="Times New Roman;serif"/>
                  <w:b w:val="false"/>
                  <w:color w:val="0000FF"/>
                  <w:sz w:val="24"/>
                  <w:u w:val="single"/>
                </w:rPr>
                <w:t>4.9.</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09">
              <w:r>
                <w:rPr>
                  <w:rStyle w:val="InternetLink"/>
                  <w:rFonts w:ascii="Times New Roman;serif" w:hAnsi="Times New Roman;serif"/>
                  <w:b w:val="false"/>
                  <w:color w:val="0000FF"/>
                  <w:sz w:val="24"/>
                  <w:u w:val="single"/>
                </w:rPr>
                <w:t>Insurance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09">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12">
              <w:r>
                <w:rPr>
                  <w:rStyle w:val="InternetLink"/>
                  <w:rFonts w:ascii="Times New Roman;serif" w:hAnsi="Times New Roman;serif"/>
                  <w:b w:val="false"/>
                  <w:color w:val="0000FF"/>
                  <w:sz w:val="24"/>
                  <w:u w:val="single"/>
                </w:rPr>
                <w:t>4.10.</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12">
              <w:r>
                <w:rPr>
                  <w:rStyle w:val="InternetLink"/>
                  <w:rFonts w:ascii="Times New Roman;serif" w:hAnsi="Times New Roman;serif"/>
                  <w:b w:val="false"/>
                  <w:color w:val="0000FF"/>
                  <w:sz w:val="24"/>
                  <w:u w:val="single"/>
                </w:rPr>
                <w:t>Employee Benefits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12">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15">
              <w:r>
                <w:rPr>
                  <w:rStyle w:val="InternetLink"/>
                  <w:rFonts w:ascii="Times New Roman;serif" w:hAnsi="Times New Roman;serif"/>
                  <w:b w:val="false"/>
                  <w:color w:val="0000FF"/>
                  <w:sz w:val="24"/>
                  <w:u w:val="single"/>
                </w:rPr>
                <w:t>4.11.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15">
              <w:r>
                <w:rPr>
                  <w:rStyle w:val="InternetLink"/>
                  <w:rFonts w:ascii="Times New Roman;serif" w:hAnsi="Times New Roman;serif"/>
                  <w:b w:val="false"/>
                  <w:color w:val="0000FF"/>
                  <w:sz w:val="24"/>
                  <w:u w:val="single"/>
                </w:rPr>
                <w:t>Labor Matters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15">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18">
              <w:r>
                <w:rPr>
                  <w:rStyle w:val="InternetLink"/>
                  <w:rFonts w:ascii="Times New Roman;serif" w:hAnsi="Times New Roman;serif"/>
                  <w:b w:val="false"/>
                  <w:color w:val="0000FF"/>
                  <w:sz w:val="24"/>
                  <w:u w:val="single"/>
                </w:rPr>
                <w:t>4.12.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18">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18">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21">
              <w:r>
                <w:rPr>
                  <w:rStyle w:val="InternetLink"/>
                  <w:rFonts w:ascii="Times New Roman;serif" w:hAnsi="Times New Roman;serif"/>
                  <w:b w:val="false"/>
                  <w:color w:val="0000FF"/>
                  <w:sz w:val="24"/>
                  <w:u w:val="single"/>
                </w:rPr>
                <w:t>4.13.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421">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21">
              <w:r>
                <w:rPr>
                  <w:rStyle w:val="InternetLink"/>
                  <w:rFonts w:ascii="Times New Roman;serif" w:hAnsi="Times New Roman;serif"/>
                  <w:b w:val="false"/>
                  <w:color w:val="0000FF"/>
                  <w:sz w:val="24"/>
                  <w:u w:val="single"/>
                </w:rPr>
                <w:t>A-47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51"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
        <w:gridCol w:w="217"/>
        <w:gridCol w:w="218"/>
        <w:gridCol w:w="3932"/>
        <w:gridCol w:w="2836"/>
        <w:gridCol w:w="2296"/>
        <w:gridCol w:w="132"/>
        <w:gridCol w:w="132"/>
        <w:gridCol w:w="195"/>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24">
              <w:r>
                <w:rPr>
                  <w:rStyle w:val="InternetLink"/>
                  <w:rFonts w:ascii="Times New Roman;serif" w:hAnsi="Times New Roman;serif"/>
                  <w:b w:val="false"/>
                  <w:color w:val="0000FF"/>
                  <w:sz w:val="24"/>
                  <w:u w:val="single"/>
                </w:rPr>
                <w:t>4.14.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24">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24">
              <w:r>
                <w:rPr>
                  <w:rStyle w:val="InternetLink"/>
                  <w:rFonts w:ascii="Times New Roman;serif" w:hAnsi="Times New Roman;serif"/>
                  <w:b w:val="false"/>
                  <w:color w:val="0000FF"/>
                  <w:sz w:val="24"/>
                  <w:u w:val="single"/>
                </w:rPr>
                <w:t>A-47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27">
              <w:r>
                <w:rPr>
                  <w:rStyle w:val="InternetLink"/>
                  <w:rFonts w:ascii="Times New Roman;serif" w:hAnsi="Times New Roman;serif"/>
                  <w:b w:val="false"/>
                  <w:color w:val="0000FF"/>
                  <w:sz w:val="24"/>
                  <w:u w:val="single"/>
                </w:rPr>
                <w:t>4.15.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27">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27">
              <w:r>
                <w:rPr>
                  <w:rStyle w:val="InternetLink"/>
                  <w:rFonts w:ascii="Times New Roman;serif" w:hAnsi="Times New Roman;serif"/>
                  <w:b w:val="false"/>
                  <w:color w:val="0000FF"/>
                  <w:sz w:val="24"/>
                  <w:u w:val="single"/>
                </w:rPr>
                <w:t>A-48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30">
              <w:r>
                <w:rPr>
                  <w:rStyle w:val="InternetLink"/>
                  <w:rFonts w:ascii="Times New Roman;serif" w:hAnsi="Times New Roman;serif"/>
                  <w:b w:val="false"/>
                  <w:color w:val="0000FF"/>
                  <w:sz w:val="24"/>
                  <w:u w:val="single"/>
                </w:rPr>
                <w:t>4.16.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0">
              <w:r>
                <w:rPr>
                  <w:rStyle w:val="InternetLink"/>
                  <w:rFonts w:ascii="Times New Roman;serif" w:hAnsi="Times New Roman;serif"/>
                  <w:b w:val="false"/>
                  <w:color w:val="0000FF"/>
                  <w:sz w:val="24"/>
                  <w:u w:val="single"/>
                </w:rPr>
                <w:t>Real Property</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0">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33">
              <w:r>
                <w:rPr>
                  <w:rStyle w:val="InternetLink"/>
                  <w:rFonts w:ascii="Times New Roman;serif" w:hAnsi="Times New Roman;serif"/>
                  <w:b w:val="false"/>
                  <w:color w:val="0000FF"/>
                  <w:sz w:val="24"/>
                  <w:u w:val="single"/>
                </w:rPr>
                <w:t>4.17.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3">
              <w:r>
                <w:rPr>
                  <w:rStyle w:val="InternetLink"/>
                  <w:rFonts w:ascii="Times New Roman;serif" w:hAnsi="Times New Roman;serif"/>
                  <w:b w:val="false"/>
                  <w:color w:val="0000FF"/>
                  <w:sz w:val="24"/>
                  <w:u w:val="single"/>
                </w:rPr>
                <w:t>Related Party Transactions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3">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36">
              <w:r>
                <w:rPr>
                  <w:rStyle w:val="InternetLink"/>
                  <w:rFonts w:ascii="Times New Roman;serif" w:hAnsi="Times New Roman;serif"/>
                  <w:b w:val="false"/>
                  <w:color w:val="0000FF"/>
                  <w:sz w:val="24"/>
                  <w:u w:val="single"/>
                </w:rPr>
                <w:t>4.18.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6">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6">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39">
              <w:r>
                <w:rPr>
                  <w:rStyle w:val="InternetLink"/>
                  <w:rFonts w:ascii="Times New Roman;serif" w:hAnsi="Times New Roman;serif"/>
                  <w:b w:val="false"/>
                  <w:color w:val="0000FF"/>
                  <w:sz w:val="24"/>
                  <w:u w:val="single"/>
                </w:rPr>
                <w:t>4.19.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9">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3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42">
              <w:r>
                <w:rPr>
                  <w:rStyle w:val="InternetLink"/>
                  <w:rFonts w:ascii="Times New Roman;serif" w:hAnsi="Times New Roman;serif"/>
                  <w:b w:val="false"/>
                  <w:color w:val="0000FF"/>
                  <w:sz w:val="24"/>
                  <w:u w:val="single"/>
                </w:rPr>
                <w:t>4.20.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2">
              <w:r>
                <w:rPr>
                  <w:rStyle w:val="InternetLink"/>
                  <w:rFonts w:ascii="Times New Roman;serif" w:hAnsi="Times New Roman;serif"/>
                  <w:b w:val="false"/>
                  <w:color w:val="0000FF"/>
                  <w:sz w:val="24"/>
                  <w:u w:val="single"/>
                </w:rPr>
                <w:t>No Additional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2">
              <w:r>
                <w:rPr>
                  <w:rStyle w:val="InternetLink"/>
                  <w:rFonts w:ascii="Times New Roman;serif" w:hAnsi="Times New Roman;serif"/>
                  <w:b w:val="false"/>
                  <w:color w:val="0000FF"/>
                  <w:sz w:val="24"/>
                  <w:u w:val="single"/>
                </w:rPr>
                <w:t>A-50</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5">
              <w:r>
                <w:rPr>
                  <w:rStyle w:val="InternetLink"/>
                  <w:rFonts w:ascii="Times New Roman;serif" w:hAnsi="Times New Roman;serif"/>
                  <w:b w:val="false"/>
                  <w:color w:val="0000FF"/>
                  <w:sz w:val="24"/>
                  <w:u w:val="single"/>
                  <w:shd w:fill="FFFFFF" w:val="clear"/>
                </w:rPr>
                <w:t xml:space="preserve">ARTICLE V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445">
              <w:r>
                <w:rPr>
                  <w:rStyle w:val="InternetLink"/>
                  <w:rFonts w:ascii="Times New Roman;serif" w:hAnsi="Times New Roman;serif"/>
                  <w:b w:val="false"/>
                  <w:color w:val="0000FF"/>
                  <w:sz w:val="24"/>
                  <w:u w:val="single"/>
                  <w:shd w:fill="FFFFFF" w:val="clear"/>
                </w:rPr>
                <w:t>REPRESENTATIONS AND WARRANTIES OF PARENT, MERGER SUB AND PARENT MANAGER</w:t>
              </w:r>
            </w:hyperlink>
            <w:r>
              <w:rPr>
                <w:rFonts w:ascii="Times New Roman;serif" w:hAnsi="Times New Roman;serif"/>
                <w:b w:val="false"/>
                <w:color w:val="000000"/>
                <w:sz w:val="24"/>
                <w:shd w:fill="FFFFFF" w:val="clear"/>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5">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48">
              <w:r>
                <w:rPr>
                  <w:rStyle w:val="InternetLink"/>
                  <w:rFonts w:ascii="Times New Roman;serif" w:hAnsi="Times New Roman;serif"/>
                  <w:b w:val="false"/>
                  <w:color w:val="0000FF"/>
                  <w:sz w:val="24"/>
                  <w:u w:val="single"/>
                </w:rPr>
                <w:t>5.1.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8">
              <w:r>
                <w:rPr>
                  <w:rStyle w:val="InternetLink"/>
                  <w:rFonts w:ascii="Times New Roman;serif" w:hAnsi="Times New Roman;serif"/>
                  <w:b w:val="false"/>
                  <w:color w:val="0000FF"/>
                  <w:sz w:val="24"/>
                  <w:u w:val="single"/>
                </w:rPr>
                <w:t>Due Incorporation; Capitalization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48">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51">
              <w:r>
                <w:rPr>
                  <w:rStyle w:val="InternetLink"/>
                  <w:rFonts w:ascii="Times New Roman;serif" w:hAnsi="Times New Roman;serif"/>
                  <w:b w:val="false"/>
                  <w:color w:val="0000FF"/>
                  <w:sz w:val="24"/>
                  <w:u w:val="single"/>
                </w:rPr>
                <w:t>5.2.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1">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1">
              <w:r>
                <w:rPr>
                  <w:rStyle w:val="InternetLink"/>
                  <w:rFonts w:ascii="Times New Roman;serif" w:hAnsi="Times New Roman;serif"/>
                  <w:b w:val="false"/>
                  <w:color w:val="0000FF"/>
                  <w:sz w:val="24"/>
                  <w:u w:val="single"/>
                </w:rPr>
                <w:t>A-52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54">
              <w:r>
                <w:rPr>
                  <w:rStyle w:val="InternetLink"/>
                  <w:rFonts w:ascii="Times New Roman;serif" w:hAnsi="Times New Roman;serif"/>
                  <w:b w:val="false"/>
                  <w:color w:val="0000FF"/>
                  <w:sz w:val="24"/>
                  <w:u w:val="single"/>
                </w:rPr>
                <w:t>5.3.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4">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4">
              <w:r>
                <w:rPr>
                  <w:rStyle w:val="InternetLink"/>
                  <w:rFonts w:ascii="Times New Roman;serif" w:hAnsi="Times New Roman;serif"/>
                  <w:b w:val="false"/>
                  <w:color w:val="0000FF"/>
                  <w:sz w:val="24"/>
                  <w:u w:val="single"/>
                </w:rPr>
                <w:t>A-53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57">
              <w:r>
                <w:rPr>
                  <w:rStyle w:val="InternetLink"/>
                  <w:rFonts w:ascii="Times New Roman;serif" w:hAnsi="Times New Roman;serif"/>
                  <w:b w:val="false"/>
                  <w:color w:val="0000FF"/>
                  <w:sz w:val="24"/>
                  <w:u w:val="single"/>
                </w:rPr>
                <w:t>5.4.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7">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57">
              <w:r>
                <w:rPr>
                  <w:rStyle w:val="InternetLink"/>
                  <w:rFonts w:ascii="Times New Roman;serif" w:hAnsi="Times New Roman;serif"/>
                  <w:b w:val="false"/>
                  <w:color w:val="0000FF"/>
                  <w:sz w:val="24"/>
                  <w:u w:val="single"/>
                </w:rPr>
                <w:t>A-54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60">
              <w:r>
                <w:rPr>
                  <w:rStyle w:val="InternetLink"/>
                  <w:rFonts w:ascii="Times New Roman;serif" w:hAnsi="Times New Roman;serif"/>
                  <w:b w:val="false"/>
                  <w:color w:val="0000FF"/>
                  <w:sz w:val="24"/>
                  <w:u w:val="single"/>
                </w:rPr>
                <w:t>5.5.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0">
              <w:r>
                <w:rPr>
                  <w:rStyle w:val="InternetLink"/>
                  <w:rFonts w:ascii="Times New Roman;serif" w:hAnsi="Times New Roman;serif"/>
                  <w:b w:val="false"/>
                  <w:color w:val="0000FF"/>
                  <w:sz w:val="24"/>
                  <w:u w:val="single"/>
                </w:rPr>
                <w:t>Proxy Statement/Prospectus; Parent, Merger Sub and Parent Manager Information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0">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63">
              <w:r>
                <w:rPr>
                  <w:rStyle w:val="InternetLink"/>
                  <w:rFonts w:ascii="Times New Roman;serif" w:hAnsi="Times New Roman;serif"/>
                  <w:b w:val="false"/>
                  <w:color w:val="0000FF"/>
                  <w:sz w:val="24"/>
                  <w:u w:val="single"/>
                </w:rPr>
                <w:t>5.6.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3">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3">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66">
              <w:r>
                <w:rPr>
                  <w:rStyle w:val="InternetLink"/>
                  <w:rFonts w:ascii="Times New Roman;serif" w:hAnsi="Times New Roman;serif"/>
                  <w:b w:val="false"/>
                  <w:color w:val="0000FF"/>
                  <w:sz w:val="24"/>
                  <w:u w:val="single"/>
                </w:rPr>
                <w:t>5.7.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6">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6">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69">
              <w:r>
                <w:rPr>
                  <w:rStyle w:val="InternetLink"/>
                  <w:rFonts w:ascii="Times New Roman;serif" w:hAnsi="Times New Roman;serif"/>
                  <w:b w:val="false"/>
                  <w:color w:val="0000FF"/>
                  <w:sz w:val="24"/>
                  <w:u w:val="single"/>
                </w:rPr>
                <w:t>5.8.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9">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69">
              <w:r>
                <w:rPr>
                  <w:rStyle w:val="InternetLink"/>
                  <w:rFonts w:ascii="Times New Roman;serif" w:hAnsi="Times New Roman;serif"/>
                  <w:b w:val="false"/>
                  <w:color w:val="0000FF"/>
                  <w:sz w:val="24"/>
                  <w:u w:val="single"/>
                </w:rPr>
                <w:t>A-58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72">
              <w:r>
                <w:rPr>
                  <w:rStyle w:val="InternetLink"/>
                  <w:rFonts w:ascii="Times New Roman;serif" w:hAnsi="Times New Roman;serif"/>
                  <w:b w:val="false"/>
                  <w:color w:val="0000FF"/>
                  <w:sz w:val="24"/>
                  <w:u w:val="single"/>
                </w:rPr>
                <w:t>5.9.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2">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2">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75">
              <w:r>
                <w:rPr>
                  <w:rStyle w:val="InternetLink"/>
                  <w:rFonts w:ascii="Times New Roman;serif" w:hAnsi="Times New Roman;serif"/>
                  <w:b w:val="false"/>
                  <w:color w:val="0000FF"/>
                  <w:sz w:val="24"/>
                  <w:u w:val="single"/>
                </w:rPr>
                <w:t>5.10.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5">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5">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78">
              <w:r>
                <w:rPr>
                  <w:rStyle w:val="InternetLink"/>
                  <w:rFonts w:ascii="Times New Roman;serif" w:hAnsi="Times New Roman;serif"/>
                  <w:b w:val="false"/>
                  <w:color w:val="0000FF"/>
                  <w:sz w:val="24"/>
                  <w:u w:val="single"/>
                </w:rPr>
                <w:t>5.11.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8">
              <w:r>
                <w:rPr>
                  <w:rStyle w:val="InternetLink"/>
                  <w:rFonts w:ascii="Times New Roman;serif" w:hAnsi="Times New Roman;serif"/>
                  <w:b w:val="false"/>
                  <w:color w:val="0000FF"/>
                  <w:sz w:val="24"/>
                  <w:u w:val="single"/>
                </w:rPr>
                <w:t>Compensation; Benefits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7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81">
              <w:r>
                <w:rPr>
                  <w:rStyle w:val="InternetLink"/>
                  <w:rFonts w:ascii="Times New Roman;serif" w:hAnsi="Times New Roman;serif"/>
                  <w:b w:val="false"/>
                  <w:color w:val="0000FF"/>
                  <w:sz w:val="24"/>
                  <w:u w:val="single"/>
                </w:rPr>
                <w:t>5.12.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1">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1">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84">
              <w:r>
                <w:rPr>
                  <w:rStyle w:val="InternetLink"/>
                  <w:rFonts w:ascii="Times New Roman;serif" w:hAnsi="Times New Roman;serif"/>
                  <w:b w:val="false"/>
                  <w:color w:val="0000FF"/>
                  <w:sz w:val="24"/>
                  <w:u w:val="single"/>
                </w:rPr>
                <w:t>5.13.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4">
              <w:r>
                <w:rPr>
                  <w:rStyle w:val="InternetLink"/>
                  <w:rFonts w:ascii="Times New Roman;serif" w:hAnsi="Times New Roman;serif"/>
                  <w:b w:val="false"/>
                  <w:color w:val="0000FF"/>
                  <w:sz w:val="24"/>
                  <w:u w:val="single"/>
                </w:rPr>
                <w:t>Operations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4">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87">
              <w:r>
                <w:rPr>
                  <w:rStyle w:val="InternetLink"/>
                  <w:rFonts w:ascii="Times New Roman;serif" w:hAnsi="Times New Roman;serif"/>
                  <w:b w:val="false"/>
                  <w:color w:val="0000FF"/>
                  <w:sz w:val="24"/>
                  <w:u w:val="single"/>
                </w:rPr>
                <w:t>5.14.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7">
              <w:r>
                <w:rPr>
                  <w:rStyle w:val="InternetLink"/>
                  <w:rFonts w:ascii="Times New Roman;serif" w:hAnsi="Times New Roman;serif"/>
                  <w:b w:val="false"/>
                  <w:color w:val="0000FF"/>
                  <w:sz w:val="24"/>
                  <w:u w:val="single"/>
                </w:rPr>
                <w:t>Ownership of Company Common Stock, Company Preferred Stock or Company Partnership Units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87">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90">
              <w:r>
                <w:rPr>
                  <w:rStyle w:val="InternetLink"/>
                  <w:rFonts w:ascii="Times New Roman;serif" w:hAnsi="Times New Roman;serif"/>
                  <w:b w:val="false"/>
                  <w:color w:val="0000FF"/>
                  <w:sz w:val="24"/>
                  <w:u w:val="single"/>
                </w:rPr>
                <w:t>5.15.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0">
              <w:r>
                <w:rPr>
                  <w:rStyle w:val="InternetLink"/>
                  <w:rFonts w:ascii="Times New Roman;serif" w:hAnsi="Times New Roman;serif"/>
                  <w:b w:val="false"/>
                  <w:color w:val="0000FF"/>
                  <w:sz w:val="24"/>
                  <w:u w:val="single"/>
                </w:rPr>
                <w:t>Available Funds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0">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93">
              <w:r>
                <w:rPr>
                  <w:rStyle w:val="InternetLink"/>
                  <w:rFonts w:ascii="Times New Roman;serif" w:hAnsi="Times New Roman;serif"/>
                  <w:b w:val="false"/>
                  <w:color w:val="0000FF"/>
                  <w:sz w:val="24"/>
                  <w:u w:val="single"/>
                </w:rPr>
                <w:t>5.16.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3">
              <w:r>
                <w:rPr>
                  <w:rStyle w:val="InternetLink"/>
                  <w:rFonts w:ascii="Times New Roman;serif" w:hAnsi="Times New Roman;serif"/>
                  <w:b w:val="false"/>
                  <w:color w:val="0000FF"/>
                  <w:sz w:val="24"/>
                  <w:u w:val="single"/>
                </w:rPr>
                <w:t>Support Agreement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3">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96">
              <w:r>
                <w:rPr>
                  <w:rStyle w:val="InternetLink"/>
                  <w:rFonts w:ascii="Times New Roman;serif" w:hAnsi="Times New Roman;serif"/>
                  <w:b w:val="false"/>
                  <w:color w:val="0000FF"/>
                  <w:sz w:val="24"/>
                  <w:u w:val="single"/>
                </w:rPr>
                <w:t>5.17.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6">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6">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499">
              <w:r>
                <w:rPr>
                  <w:rStyle w:val="InternetLink"/>
                  <w:rFonts w:ascii="Times New Roman;serif" w:hAnsi="Times New Roman;serif"/>
                  <w:b w:val="false"/>
                  <w:color w:val="0000FF"/>
                  <w:sz w:val="24"/>
                  <w:u w:val="single"/>
                </w:rPr>
                <w:t>5.18.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9">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499">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02">
              <w:r>
                <w:rPr>
                  <w:rStyle w:val="InternetLink"/>
                  <w:rFonts w:ascii="Times New Roman;serif" w:hAnsi="Times New Roman;serif"/>
                  <w:b w:val="false"/>
                  <w:color w:val="0000FF"/>
                  <w:sz w:val="24"/>
                  <w:u w:val="single"/>
                </w:rPr>
                <w:t>5.19.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2">
              <w:r>
                <w:rPr>
                  <w:rStyle w:val="InternetLink"/>
                  <w:rFonts w:ascii="Times New Roman;serif" w:hAnsi="Times New Roman;serif"/>
                  <w:b w:val="false"/>
                  <w:color w:val="0000FF"/>
                  <w:sz w:val="24"/>
                  <w:u w:val="single"/>
                </w:rPr>
                <w:t>Investigation; No Other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2">
              <w:r>
                <w:rPr>
                  <w:rStyle w:val="InternetLink"/>
                  <w:rFonts w:ascii="Times New Roman;serif" w:hAnsi="Times New Roman;serif"/>
                  <w:b w:val="false"/>
                  <w:color w:val="0000FF"/>
                  <w:sz w:val="24"/>
                  <w:u w:val="single"/>
                </w:rPr>
                <w:t>A-61</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5">
              <w:r>
                <w:rPr>
                  <w:rStyle w:val="InternetLink"/>
                  <w:rFonts w:ascii="Times New Roman;serif" w:hAnsi="Times New Roman;serif"/>
                  <w:b w:val="false"/>
                  <w:color w:val="0000FF"/>
                  <w:sz w:val="24"/>
                  <w:u w:val="single"/>
                </w:rPr>
                <w:t xml:space="preserve">ARTICLE VI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505">
              <w:r>
                <w:rPr>
                  <w:rStyle w:val="InternetLink"/>
                  <w:rFonts w:ascii="Times New Roman;serif" w:hAnsi="Times New Roman;serif"/>
                  <w:b w:val="false"/>
                  <w:color w:val="0000FF"/>
                  <w:sz w:val="24"/>
                  <w:u w:val="single"/>
                </w:rPr>
                <w:t>COVENANTS AND AGREEMENTS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5">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08">
              <w:r>
                <w:rPr>
                  <w:rStyle w:val="InternetLink"/>
                  <w:rFonts w:ascii="Times New Roman;serif" w:hAnsi="Times New Roman;serif"/>
                  <w:b w:val="false"/>
                  <w:color w:val="0000FF"/>
                  <w:sz w:val="24"/>
                  <w:u w:val="single"/>
                </w:rPr>
                <w:t>6.1.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8">
              <w:r>
                <w:rPr>
                  <w:rStyle w:val="InternetLink"/>
                  <w:rFonts w:ascii="Times New Roman;serif" w:hAnsi="Times New Roman;serif"/>
                  <w:b w:val="false"/>
                  <w:color w:val="0000FF"/>
                  <w:sz w:val="24"/>
                  <w:u w:val="single"/>
                </w:rPr>
                <w:t>Access to Information, Personnel and Facilities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08">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11">
              <w:r>
                <w:rPr>
                  <w:rStyle w:val="InternetLink"/>
                  <w:rFonts w:ascii="Times New Roman;serif" w:hAnsi="Times New Roman;serif"/>
                  <w:b w:val="false"/>
                  <w:color w:val="0000FF"/>
                  <w:sz w:val="24"/>
                  <w:u w:val="single"/>
                </w:rPr>
                <w:t>6.2.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1">
              <w:r>
                <w:rPr>
                  <w:rStyle w:val="InternetLink"/>
                  <w:rFonts w:ascii="Times New Roman;serif" w:hAnsi="Times New Roman;serif"/>
                  <w:b w:val="false"/>
                  <w:color w:val="0000FF"/>
                  <w:sz w:val="24"/>
                  <w:u w:val="single"/>
                </w:rPr>
                <w:t>Conduct of Company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1">
              <w:r>
                <w:rPr>
                  <w:rStyle w:val="InternetLink"/>
                  <w:rFonts w:ascii="Times New Roman;serif" w:hAnsi="Times New Roman;serif"/>
                  <w:b w:val="false"/>
                  <w:color w:val="0000FF"/>
                  <w:sz w:val="24"/>
                  <w:u w:val="single"/>
                </w:rPr>
                <w:t>A-63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14">
              <w:r>
                <w:rPr>
                  <w:rStyle w:val="InternetLink"/>
                  <w:rFonts w:ascii="Times New Roman;serif" w:hAnsi="Times New Roman;serif"/>
                  <w:b w:val="false"/>
                  <w:color w:val="0000FF"/>
                  <w:sz w:val="24"/>
                  <w:u w:val="single"/>
                </w:rPr>
                <w:t>6.3.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4">
              <w:r>
                <w:rPr>
                  <w:rStyle w:val="InternetLink"/>
                  <w:rFonts w:ascii="Times New Roman;serif" w:hAnsi="Times New Roman;serif"/>
                  <w:b w:val="false"/>
                  <w:color w:val="0000FF"/>
                  <w:sz w:val="24"/>
                  <w:u w:val="single"/>
                </w:rPr>
                <w:t>Conduct of Parent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4">
              <w:r>
                <w:rPr>
                  <w:rStyle w:val="InternetLink"/>
                  <w:rFonts w:ascii="Times New Roman;serif" w:hAnsi="Times New Roman;serif"/>
                  <w:b w:val="false"/>
                  <w:color w:val="0000FF"/>
                  <w:sz w:val="24"/>
                  <w:u w:val="single"/>
                </w:rPr>
                <w:t>A-67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17">
              <w:r>
                <w:rPr>
                  <w:rStyle w:val="InternetLink"/>
                  <w:rFonts w:ascii="Times New Roman;serif" w:hAnsi="Times New Roman;serif"/>
                  <w:b w:val="false"/>
                  <w:color w:val="0000FF"/>
                  <w:sz w:val="24"/>
                  <w:u w:val="single"/>
                </w:rPr>
                <w:t>6.4.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7">
              <w:r>
                <w:rPr>
                  <w:rStyle w:val="InternetLink"/>
                  <w:rFonts w:ascii="Times New Roman;serif" w:hAnsi="Times New Roman;serif"/>
                  <w:b w:val="false"/>
                  <w:color w:val="0000FF"/>
                  <w:sz w:val="24"/>
                  <w:u w:val="single"/>
                </w:rPr>
                <w:t>Obligations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7">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20">
              <w:r>
                <w:rPr>
                  <w:rStyle w:val="InternetLink"/>
                  <w:rFonts w:ascii="Times New Roman;serif" w:hAnsi="Times New Roman;serif"/>
                  <w:b w:val="false"/>
                  <w:color w:val="0000FF"/>
                  <w:sz w:val="24"/>
                  <w:u w:val="single"/>
                </w:rPr>
                <w:t>6.5.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0">
              <w:r>
                <w:rPr>
                  <w:rStyle w:val="InternetLink"/>
                  <w:rFonts w:ascii="Times New Roman;serif" w:hAnsi="Times New Roman;serif"/>
                  <w:b w:val="false"/>
                  <w:color w:val="0000FF"/>
                  <w:sz w:val="24"/>
                  <w:u w:val="single"/>
                </w:rPr>
                <w:t>Company No 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0">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23">
              <w:r>
                <w:rPr>
                  <w:rStyle w:val="InternetLink"/>
                  <w:rFonts w:ascii="Times New Roman;serif" w:hAnsi="Times New Roman;serif"/>
                  <w:b w:val="false"/>
                  <w:color w:val="0000FF"/>
                  <w:sz w:val="24"/>
                  <w:u w:val="single"/>
                </w:rPr>
                <w:t>6.6.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3">
              <w:r>
                <w:rPr>
                  <w:rStyle w:val="InternetLink"/>
                  <w:rFonts w:ascii="Times New Roman;serif" w:hAnsi="Times New Roman;serif"/>
                  <w:b w:val="false"/>
                  <w:color w:val="0000FF"/>
                  <w:sz w:val="24"/>
                  <w:u w:val="single"/>
                </w:rPr>
                <w:t>Parent No-Solicitation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17">
              <w:r>
                <w:rPr>
                  <w:rStyle w:val="InternetLink"/>
                  <w:rFonts w:ascii="Times New Roman;serif" w:hAnsi="Times New Roman;serif"/>
                  <w:b w:val="false"/>
                  <w:color w:val="0000FF"/>
                  <w:sz w:val="24"/>
                  <w:u w:val="single"/>
                </w:rPr>
                <w:t>A-74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26">
              <w:r>
                <w:rPr>
                  <w:rStyle w:val="InternetLink"/>
                  <w:rFonts w:ascii="Times New Roman;serif" w:hAnsi="Times New Roman;serif"/>
                  <w:b w:val="false"/>
                  <w:color w:val="0000FF"/>
                  <w:sz w:val="24"/>
                  <w:u w:val="single"/>
                </w:rPr>
                <w:t>6.7.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6">
              <w:r>
                <w:rPr>
                  <w:rStyle w:val="InternetLink"/>
                  <w:rFonts w:ascii="Times New Roman;serif" w:hAnsi="Times New Roman;serif"/>
                  <w:b w:val="false"/>
                  <w:color w:val="0000FF"/>
                  <w:sz w:val="24"/>
                  <w:u w:val="single"/>
                </w:rPr>
                <w:t>Form S-4 and Joint Proxy Statement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6">
              <w:r>
                <w:rPr>
                  <w:rStyle w:val="InternetLink"/>
                  <w:rFonts w:ascii="Times New Roman;serif" w:hAnsi="Times New Roman;serif"/>
                  <w:b w:val="false"/>
                  <w:color w:val="0000FF"/>
                  <w:sz w:val="24"/>
                  <w:u w:val="single"/>
                </w:rPr>
                <w:t>A-77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52"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3"/>
        <w:gridCol w:w="179"/>
        <w:gridCol w:w="181"/>
        <w:gridCol w:w="3227"/>
        <w:gridCol w:w="3183"/>
        <w:gridCol w:w="2653"/>
        <w:gridCol w:w="196"/>
        <w:gridCol w:w="171"/>
        <w:gridCol w:w="212"/>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29">
              <w:r>
                <w:rPr>
                  <w:rStyle w:val="InternetLink"/>
                  <w:rFonts w:ascii="Times New Roman;serif" w:hAnsi="Times New Roman;serif"/>
                  <w:b w:val="false"/>
                  <w:color w:val="0000FF"/>
                  <w:sz w:val="24"/>
                  <w:u w:val="single"/>
                </w:rPr>
                <w:t>6.8.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9">
              <w:r>
                <w:rPr>
                  <w:rStyle w:val="InternetLink"/>
                  <w:rFonts w:ascii="Times New Roman;serif" w:hAnsi="Times New Roman;serif"/>
                  <w:b w:val="false"/>
                  <w:color w:val="0000FF"/>
                  <w:sz w:val="24"/>
                  <w:u w:val="single"/>
                </w:rPr>
                <w:t>Stockholders Meetings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29">
              <w:r>
                <w:rPr>
                  <w:rStyle w:val="InternetLink"/>
                  <w:rFonts w:ascii="Times New Roman;serif" w:hAnsi="Times New Roman;serif"/>
                  <w:b w:val="false"/>
                  <w:color w:val="0000FF"/>
                  <w:sz w:val="24"/>
                  <w:u w:val="single"/>
                </w:rPr>
                <w:t>A-78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32">
              <w:r>
                <w:rPr>
                  <w:rStyle w:val="InternetLink"/>
                  <w:rFonts w:ascii="Times New Roman;serif" w:hAnsi="Times New Roman;serif"/>
                  <w:b w:val="false"/>
                  <w:color w:val="0000FF"/>
                  <w:sz w:val="24"/>
                  <w:u w:val="single"/>
                </w:rPr>
                <w:t>6.9.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2">
              <w:r>
                <w:rPr>
                  <w:rStyle w:val="InternetLink"/>
                  <w:rFonts w:ascii="Times New Roman;serif" w:hAnsi="Times New Roman;serif"/>
                  <w:b w:val="false"/>
                  <w:color w:val="0000FF"/>
                  <w:sz w:val="24"/>
                  <w:u w:val="single"/>
                </w:rPr>
                <w:t>Efforts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2">
              <w:r>
                <w:rPr>
                  <w:rStyle w:val="InternetLink"/>
                  <w:rFonts w:ascii="Times New Roman;serif" w:hAnsi="Times New Roman;serif"/>
                  <w:b w:val="false"/>
                  <w:color w:val="0000FF"/>
                  <w:sz w:val="24"/>
                  <w:u w:val="single"/>
                </w:rPr>
                <w:t>A-79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35">
              <w:r>
                <w:rPr>
                  <w:rStyle w:val="InternetLink"/>
                  <w:rFonts w:ascii="Times New Roman;serif" w:hAnsi="Times New Roman;serif"/>
                  <w:b w:val="false"/>
                  <w:color w:val="0000FF"/>
                  <w:sz w:val="24"/>
                  <w:u w:val="single"/>
                </w:rPr>
                <w:t>6.10.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5">
              <w:r>
                <w:rPr>
                  <w:rStyle w:val="InternetLink"/>
                  <w:rFonts w:ascii="Times New Roman;serif" w:hAnsi="Times New Roman;serif"/>
                  <w:b w:val="false"/>
                  <w:color w:val="0000FF"/>
                  <w:sz w:val="24"/>
                  <w:u w:val="single"/>
                </w:rPr>
                <w:t>Public Announcements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5">
              <w:r>
                <w:rPr>
                  <w:rStyle w:val="InternetLink"/>
                  <w:rFonts w:ascii="Times New Roman;serif" w:hAnsi="Times New Roman;serif"/>
                  <w:b w:val="false"/>
                  <w:color w:val="0000FF"/>
                  <w:sz w:val="24"/>
                  <w:u w:val="single"/>
                </w:rPr>
                <w:t>A-81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38">
              <w:r>
                <w:rPr>
                  <w:rStyle w:val="InternetLink"/>
                  <w:rFonts w:ascii="Times New Roman;serif" w:hAnsi="Times New Roman;serif"/>
                  <w:b w:val="false"/>
                  <w:color w:val="0000FF"/>
                  <w:sz w:val="24"/>
                  <w:u w:val="single"/>
                </w:rPr>
                <w:t>6.11.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8">
              <w:r>
                <w:rPr>
                  <w:rStyle w:val="InternetLink"/>
                  <w:rFonts w:ascii="Times New Roman;serif" w:hAnsi="Times New Roman;serif"/>
                  <w:b w:val="false"/>
                  <w:color w:val="0000FF"/>
                  <w:sz w:val="24"/>
                  <w:u w:val="single"/>
                </w:rPr>
                <w:t>Indemnification and Insurance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38">
              <w:r>
                <w:rPr>
                  <w:rStyle w:val="InternetLink"/>
                  <w:rFonts w:ascii="Times New Roman;serif" w:hAnsi="Times New Roman;serif"/>
                  <w:b w:val="false"/>
                  <w:color w:val="0000FF"/>
                  <w:sz w:val="24"/>
                  <w:u w:val="single"/>
                </w:rPr>
                <w:t>A-82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41">
              <w:r>
                <w:rPr>
                  <w:rStyle w:val="InternetLink"/>
                  <w:rFonts w:ascii="Times New Roman;serif" w:hAnsi="Times New Roman;serif"/>
                  <w:b w:val="false"/>
                  <w:color w:val="0000FF"/>
                  <w:sz w:val="24"/>
                  <w:u w:val="single"/>
                </w:rPr>
                <w:t>6.12.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1">
              <w:r>
                <w:rPr>
                  <w:rStyle w:val="InternetLink"/>
                  <w:rFonts w:ascii="Times New Roman;serif" w:hAnsi="Times New Roman;serif"/>
                  <w:b w:val="false"/>
                  <w:color w:val="0000FF"/>
                  <w:sz w:val="24"/>
                  <w:u w:val="single"/>
                </w:rPr>
                <w:t>Exchange Delisting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1">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44">
              <w:r>
                <w:rPr>
                  <w:rStyle w:val="InternetLink"/>
                  <w:rFonts w:ascii="Times New Roman;serif" w:hAnsi="Times New Roman;serif"/>
                  <w:b w:val="false"/>
                  <w:color w:val="0000FF"/>
                  <w:sz w:val="24"/>
                  <w:u w:val="single"/>
                </w:rPr>
                <w:t>6.13.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4">
              <w:r>
                <w:rPr>
                  <w:rStyle w:val="InternetLink"/>
                  <w:rFonts w:ascii="Times New Roman;serif" w:hAnsi="Times New Roman;serif"/>
                  <w:b w:val="false"/>
                  <w:color w:val="0000FF"/>
                  <w:sz w:val="24"/>
                  <w:u w:val="single"/>
                </w:rPr>
                <w:t>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4">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47">
              <w:r>
                <w:rPr>
                  <w:rStyle w:val="InternetLink"/>
                  <w:rFonts w:ascii="Times New Roman;serif" w:hAnsi="Times New Roman;serif"/>
                  <w:b w:val="false"/>
                  <w:color w:val="0000FF"/>
                  <w:sz w:val="24"/>
                  <w:u w:val="single"/>
                </w:rPr>
                <w:t>6.14.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7">
              <w:r>
                <w:rPr>
                  <w:rStyle w:val="InternetLink"/>
                  <w:rFonts w:ascii="Times New Roman;serif" w:hAnsi="Times New Roman;serif"/>
                  <w:b w:val="false"/>
                  <w:color w:val="0000FF"/>
                  <w:sz w:val="24"/>
                  <w:u w:val="single"/>
                </w:rPr>
                <w:t>Transaction Litigation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47">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50">
              <w:r>
                <w:rPr>
                  <w:rStyle w:val="InternetLink"/>
                  <w:rFonts w:ascii="Times New Roman;serif" w:hAnsi="Times New Roman;serif"/>
                  <w:b w:val="false"/>
                  <w:color w:val="0000FF"/>
                  <w:sz w:val="24"/>
                  <w:u w:val="single"/>
                </w:rPr>
                <w:t>6.15.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0">
              <w:r>
                <w:rPr>
                  <w:rStyle w:val="InternetLink"/>
                  <w:rFonts w:ascii="Times New Roman;serif" w:hAnsi="Times New Roman;serif"/>
                  <w:b w:val="false"/>
                  <w:color w:val="0000FF"/>
                  <w:sz w:val="24"/>
                  <w:u w:val="single"/>
                </w:rPr>
                <w:t>Rule 16b-3</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0">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53">
              <w:r>
                <w:rPr>
                  <w:rStyle w:val="InternetLink"/>
                  <w:rFonts w:ascii="Times New Roman;serif" w:hAnsi="Times New Roman;serif"/>
                  <w:b w:val="false"/>
                  <w:color w:val="0000FF"/>
                  <w:sz w:val="24"/>
                  <w:u w:val="single"/>
                </w:rPr>
                <w:t>6.16.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3">
              <w:r>
                <w:rPr>
                  <w:rStyle w:val="InternetLink"/>
                  <w:rFonts w:ascii="Times New Roman;serif" w:hAnsi="Times New Roman;serif"/>
                  <w:b w:val="false"/>
                  <w:color w:val="0000FF"/>
                  <w:sz w:val="24"/>
                  <w:u w:val="single"/>
                </w:rPr>
                <w:t>Takeover Law</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3">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56">
              <w:r>
                <w:rPr>
                  <w:rStyle w:val="InternetLink"/>
                  <w:rFonts w:ascii="Times New Roman;serif" w:hAnsi="Times New Roman;serif"/>
                  <w:b w:val="false"/>
                  <w:color w:val="0000FF"/>
                  <w:sz w:val="24"/>
                  <w:u w:val="single"/>
                </w:rPr>
                <w:t>6.17.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6">
              <w:r>
                <w:rPr>
                  <w:rStyle w:val="InternetLink"/>
                  <w:rFonts w:ascii="Times New Roman;serif" w:hAnsi="Times New Roman;serif"/>
                  <w:b w:val="false"/>
                  <w:color w:val="0000FF"/>
                  <w:sz w:val="24"/>
                  <w:u w:val="single"/>
                </w:rPr>
                <w:t>Resignations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6">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59">
              <w:r>
                <w:rPr>
                  <w:rStyle w:val="InternetLink"/>
                  <w:rFonts w:ascii="Times New Roman;serif" w:hAnsi="Times New Roman;serif"/>
                  <w:b w:val="false"/>
                  <w:color w:val="0000FF"/>
                  <w:sz w:val="24"/>
                  <w:u w:val="single"/>
                </w:rPr>
                <w:t>6.18.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9">
              <w:r>
                <w:rPr>
                  <w:rStyle w:val="InternetLink"/>
                  <w:rFonts w:ascii="Times New Roman;serif" w:hAnsi="Times New Roman;serif"/>
                  <w:b w:val="false"/>
                  <w:color w:val="0000FF"/>
                  <w:sz w:val="24"/>
                  <w:u w:val="single"/>
                </w:rPr>
                <w:t>Control of Operations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59">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62">
              <w:r>
                <w:rPr>
                  <w:rStyle w:val="InternetLink"/>
                  <w:rFonts w:ascii="Times New Roman;serif" w:hAnsi="Times New Roman;serif"/>
                  <w:b w:val="false"/>
                  <w:color w:val="0000FF"/>
                  <w:sz w:val="24"/>
                  <w:u w:val="single"/>
                </w:rPr>
                <w:t>6.19.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2">
              <w:r>
                <w:rPr>
                  <w:rStyle w:val="InternetLink"/>
                  <w:rFonts w:ascii="Times New Roman;serif" w:hAnsi="Times New Roman;serif"/>
                  <w:b w:val="false"/>
                  <w:color w:val="0000FF"/>
                  <w:sz w:val="24"/>
                  <w:u w:val="single"/>
                </w:rPr>
                <w:t>Additional Dividends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2">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65">
              <w:r>
                <w:rPr>
                  <w:rStyle w:val="InternetLink"/>
                  <w:rFonts w:ascii="Times New Roman;serif" w:hAnsi="Times New Roman;serif"/>
                  <w:b w:val="false"/>
                  <w:color w:val="0000FF"/>
                  <w:sz w:val="24"/>
                  <w:u w:val="single"/>
                </w:rPr>
                <w:t>6.20.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5">
              <w:r>
                <w:rPr>
                  <w:rStyle w:val="InternetLink"/>
                  <w:rFonts w:ascii="Times New Roman;serif" w:hAnsi="Times New Roman;serif"/>
                  <w:b w:val="false"/>
                  <w:color w:val="0000FF"/>
                  <w:sz w:val="24"/>
                  <w:u w:val="single"/>
                </w:rPr>
                <w:t>Tax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5">
              <w:r>
                <w:rPr>
                  <w:rStyle w:val="InternetLink"/>
                  <w:rFonts w:ascii="Times New Roman;serif" w:hAnsi="Times New Roman;serif"/>
                  <w:b w:val="false"/>
                  <w:color w:val="0000FF"/>
                  <w:sz w:val="24"/>
                  <w:u w:val="single"/>
                </w:rPr>
                <w:t>A-85</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68">
              <w:r>
                <w:rPr>
                  <w:rStyle w:val="InternetLink"/>
                  <w:rFonts w:ascii="Times New Roman;serif" w:hAnsi="Times New Roman;serif"/>
                  <w:b w:val="false"/>
                  <w:color w:val="0000FF"/>
                  <w:sz w:val="24"/>
                  <w:u w:val="single"/>
                </w:rPr>
                <w:t>6.21.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8">
              <w:r>
                <w:rPr>
                  <w:rStyle w:val="InternetLink"/>
                  <w:rFonts w:ascii="Times New Roman;serif" w:hAnsi="Times New Roman;serif"/>
                  <w:b w:val="false"/>
                  <w:color w:val="0000FF"/>
                  <w:sz w:val="24"/>
                  <w:u w:val="single"/>
                </w:rPr>
                <w:t>Employee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68">
              <w:r>
                <w:rPr>
                  <w:rStyle w:val="InternetLink"/>
                  <w:rFonts w:ascii="Times New Roman;serif" w:hAnsi="Times New Roman;serif"/>
                  <w:b w:val="false"/>
                  <w:color w:val="0000FF"/>
                  <w:sz w:val="24"/>
                  <w:u w:val="single"/>
                </w:rPr>
                <w:t>A-85</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1">
              <w:r>
                <w:rPr>
                  <w:rStyle w:val="InternetLink"/>
                  <w:rFonts w:ascii="Times New Roman;serif" w:hAnsi="Times New Roman;serif"/>
                  <w:b w:val="false"/>
                  <w:color w:val="0000FF"/>
                  <w:sz w:val="24"/>
                  <w:u w:val="single"/>
                </w:rPr>
                <w:t xml:space="preserve">ARTICLE VII </w:t>
              </w:r>
            </w:hyperlink>
          </w:p>
          <w:p>
            <w:pPr>
              <w:pStyle w:val="TableContents"/>
              <w:bidi w:val="0"/>
              <w:spacing w:before="0" w:after="0"/>
              <w:jc w:val="left"/>
              <w:rPr/>
            </w:pPr>
            <w:r>
              <w:rPr/>
            </w:r>
          </w:p>
          <w:p>
            <w:pPr>
              <w:pStyle w:val="TableContents"/>
              <w:bidi w:val="0"/>
              <w:spacing w:lineRule="auto" w:line="240" w:before="0" w:after="240"/>
              <w:jc w:val="left"/>
              <w:rPr/>
            </w:pPr>
            <w:hyperlink w:anchor="i38e3236674744b24bbd77f8ede5bb2eb_571">
              <w:r>
                <w:rPr>
                  <w:rStyle w:val="InternetLink"/>
                  <w:rFonts w:ascii="Times New Roman;serif" w:hAnsi="Times New Roman;serif"/>
                  <w:b w:val="false"/>
                  <w:color w:val="0000FF"/>
                  <w:sz w:val="24"/>
                  <w:u w:val="single"/>
                  <w:shd w:fill="FFFFFF" w:val="clear"/>
                </w:rPr>
                <w:t>CONDITIONS PRECEDENT TO THE MERGERS</w:t>
              </w:r>
            </w:hyperlink>
            <w:r>
              <w:rPr>
                <w:rFonts w:ascii="Times New Roman;serif" w:hAnsi="Times New Roman;serif"/>
                <w:b w:val="false"/>
                <w:color w:val="000000"/>
                <w:sz w:val="24"/>
                <w:shd w:fill="FFFFFF" w:val="clear"/>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1">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74">
              <w:r>
                <w:rPr>
                  <w:rStyle w:val="InternetLink"/>
                  <w:rFonts w:ascii="Times New Roman;serif" w:hAnsi="Times New Roman;serif"/>
                  <w:b w:val="false"/>
                  <w:color w:val="0000FF"/>
                  <w:sz w:val="24"/>
                  <w:u w:val="single"/>
                </w:rPr>
                <w:t>7.1.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4">
              <w:r>
                <w:rPr>
                  <w:rStyle w:val="InternetLink"/>
                  <w:rFonts w:ascii="Times New Roman;serif" w:hAnsi="Times New Roman;serif"/>
                  <w:b w:val="false"/>
                  <w:color w:val="0000FF"/>
                  <w:sz w:val="24"/>
                  <w:u w:val="single"/>
                </w:rPr>
                <w:t>Conditions to Each Party’s Obligations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4">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77">
              <w:r>
                <w:rPr>
                  <w:rStyle w:val="InternetLink"/>
                  <w:rFonts w:ascii="Times New Roman;serif" w:hAnsi="Times New Roman;serif"/>
                  <w:b w:val="false"/>
                  <w:color w:val="0000FF"/>
                  <w:sz w:val="24"/>
                  <w:u w:val="single"/>
                </w:rPr>
                <w:t>7.2.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7">
              <w:r>
                <w:rPr>
                  <w:rStyle w:val="InternetLink"/>
                  <w:rFonts w:ascii="Times New Roman;serif" w:hAnsi="Times New Roman;serif"/>
                  <w:b w:val="false"/>
                  <w:color w:val="0000FF"/>
                  <w:sz w:val="24"/>
                  <w:u w:val="single"/>
                </w:rPr>
                <w:t>Conditions to Obligations of Parent, Merger Sub and Parent Manager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77">
              <w:r>
                <w:rPr>
                  <w:rStyle w:val="InternetLink"/>
                  <w:rFonts w:ascii="Times New Roman;serif" w:hAnsi="Times New Roman;serif"/>
                  <w:b w:val="false"/>
                  <w:color w:val="0000FF"/>
                  <w:sz w:val="24"/>
                  <w:u w:val="single"/>
                </w:rPr>
                <w:t>A-89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80">
              <w:r>
                <w:rPr>
                  <w:rStyle w:val="InternetLink"/>
                  <w:rFonts w:ascii="Times New Roman;serif" w:hAnsi="Times New Roman;serif"/>
                  <w:b w:val="false"/>
                  <w:color w:val="0000FF"/>
                  <w:sz w:val="24"/>
                  <w:u w:val="single"/>
                </w:rPr>
                <w:t>7.3.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0">
              <w:r>
                <w:rPr>
                  <w:rStyle w:val="InternetLink"/>
                  <w:rFonts w:ascii="Times New Roman;serif" w:hAnsi="Times New Roman;serif"/>
                  <w:b w:val="false"/>
                  <w:color w:val="0000FF"/>
                  <w:sz w:val="24"/>
                  <w:u w:val="single"/>
                </w:rPr>
                <w:t>Conditions to Obligations of the Company and the Company Operating Partnership</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0">
              <w:r>
                <w:rPr>
                  <w:rStyle w:val="InternetLink"/>
                  <w:rFonts w:ascii="Times New Roman;serif" w:hAnsi="Times New Roman;serif"/>
                  <w:b w:val="false"/>
                  <w:color w:val="0000FF"/>
                  <w:sz w:val="24"/>
                  <w:u w:val="single"/>
                </w:rPr>
                <w:t>A-90</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3">
              <w:r>
                <w:rPr>
                  <w:rStyle w:val="InternetLink"/>
                  <w:rFonts w:ascii="Times New Roman;serif" w:hAnsi="Times New Roman;serif"/>
                  <w:b w:val="false"/>
                  <w:color w:val="0000FF"/>
                  <w:sz w:val="24"/>
                  <w:u w:val="single"/>
                </w:rPr>
                <w:t xml:space="preserve">ARTICLE VIII </w:t>
              </w:r>
            </w:hyperlink>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583">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3">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86">
              <w:r>
                <w:rPr>
                  <w:rStyle w:val="InternetLink"/>
                  <w:rFonts w:ascii="Times New Roman;serif" w:hAnsi="Times New Roman;serif"/>
                  <w:b w:val="false"/>
                  <w:color w:val="0000FF"/>
                  <w:sz w:val="24"/>
                  <w:u w:val="single"/>
                </w:rPr>
                <w:t>8.1.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6">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3">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89">
              <w:r>
                <w:rPr>
                  <w:rStyle w:val="InternetLink"/>
                  <w:rFonts w:ascii="Times New Roman;serif" w:hAnsi="Times New Roman;serif"/>
                  <w:b w:val="false"/>
                  <w:color w:val="0000FF"/>
                  <w:sz w:val="24"/>
                  <w:u w:val="single"/>
                </w:rPr>
                <w:t>8.2.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9">
              <w:r>
                <w:rPr>
                  <w:rStyle w:val="InternetLink"/>
                  <w:rFonts w:ascii="Times New Roman;serif" w:hAnsi="Times New Roman;serif"/>
                  <w:b w:val="false"/>
                  <w:color w:val="0000FF"/>
                  <w:sz w:val="24"/>
                  <w:u w:val="single"/>
                </w:rPr>
                <w:t>Expenses; Transfer Taxes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89">
              <w:r>
                <w:rPr>
                  <w:rStyle w:val="InternetLink"/>
                  <w:rFonts w:ascii="Times New Roman;serif" w:hAnsi="Times New Roman;serif"/>
                  <w:b w:val="false"/>
                  <w:color w:val="0000FF"/>
                  <w:sz w:val="24"/>
                  <w:u w:val="single"/>
                </w:rPr>
                <w:t>A-93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92">
              <w:r>
                <w:rPr>
                  <w:rStyle w:val="InternetLink"/>
                  <w:rFonts w:ascii="Times New Roman;serif" w:hAnsi="Times New Roman;serif"/>
                  <w:b w:val="false"/>
                  <w:color w:val="0000FF"/>
                  <w:sz w:val="24"/>
                  <w:u w:val="single"/>
                </w:rPr>
                <w:t>8.3.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2">
              <w:r>
                <w:rPr>
                  <w:rStyle w:val="InternetLink"/>
                  <w:rFonts w:ascii="Times New Roman;serif" w:hAnsi="Times New Roman;serif"/>
                  <w:b w:val="false"/>
                  <w:color w:val="0000FF"/>
                  <w:sz w:val="24"/>
                  <w:u w:val="single"/>
                </w:rPr>
                <w:t>Effect of 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2">
              <w:r>
                <w:rPr>
                  <w:rStyle w:val="InternetLink"/>
                  <w:rFonts w:ascii="Times New Roman;serif" w:hAnsi="Times New Roman;serif"/>
                  <w:b w:val="false"/>
                  <w:color w:val="0000FF"/>
                  <w:sz w:val="24"/>
                  <w:u w:val="single"/>
                </w:rPr>
                <w:t>A-93</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5">
              <w:r>
                <w:rPr>
                  <w:rStyle w:val="InternetLink"/>
                  <w:rFonts w:ascii="Times New Roman;serif" w:hAnsi="Times New Roman;serif"/>
                  <w:b w:val="false"/>
                  <w:color w:val="0000FF"/>
                  <w:sz w:val="24"/>
                  <w:u w:val="single"/>
                </w:rPr>
                <w:t>ARTICLE IX</w:t>
              </w:r>
            </w:hyperlink>
            <w:r>
              <w:rPr>
                <w:color w:val="000000"/>
              </w:rPr>
              <w:t xml:space="preserve"> </w:t>
            </w:r>
          </w:p>
          <w:p>
            <w:pPr>
              <w:pStyle w:val="TableContents"/>
              <w:bidi w:val="0"/>
              <w:spacing w:before="0" w:after="0"/>
              <w:jc w:val="left"/>
              <w:rPr/>
            </w:pPr>
            <w:r>
              <w:rPr/>
            </w:r>
          </w:p>
          <w:p>
            <w:pPr>
              <w:pStyle w:val="TableContents"/>
              <w:bidi w:val="0"/>
              <w:spacing w:lineRule="auto" w:line="240" w:before="0" w:after="0"/>
              <w:jc w:val="left"/>
              <w:rPr/>
            </w:pPr>
            <w:hyperlink w:anchor="i38e3236674744b24bbd77f8ede5bb2eb_595">
              <w:r>
                <w:rPr>
                  <w:rStyle w:val="InternetLink"/>
                  <w:rFonts w:ascii="Times New Roman;serif" w:hAnsi="Times New Roman;serif"/>
                  <w:b w:val="false"/>
                  <w:color w:val="0000FF"/>
                  <w:sz w:val="24"/>
                  <w:u w:val="single"/>
                </w:rPr>
                <w:t>MISCELLANEOUS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5">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598">
              <w:r>
                <w:rPr>
                  <w:rStyle w:val="InternetLink"/>
                  <w:rFonts w:ascii="Times New Roman;serif" w:hAnsi="Times New Roman;serif"/>
                  <w:b w:val="false"/>
                  <w:color w:val="0000FF"/>
                  <w:sz w:val="24"/>
                  <w:u w:val="single"/>
                </w:rPr>
                <w:t>9.1.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8">
              <w:r>
                <w:rPr>
                  <w:rStyle w:val="InternetLink"/>
                  <w:rFonts w:ascii="Times New Roman;serif" w:hAnsi="Times New Roman;serif"/>
                  <w:b w:val="false"/>
                  <w:color w:val="0000FF"/>
                  <w:sz w:val="24"/>
                  <w:u w:val="single"/>
                </w:rPr>
                <w:t>Nonsurvival of Representations and Warranties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598">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01">
              <w:r>
                <w:rPr>
                  <w:rStyle w:val="InternetLink"/>
                  <w:rFonts w:ascii="Times New Roman;serif" w:hAnsi="Times New Roman;serif"/>
                  <w:b w:val="false"/>
                  <w:color w:val="0000FF"/>
                  <w:sz w:val="24"/>
                  <w:u w:val="single"/>
                </w:rPr>
                <w:t>9.2.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1">
              <w:r>
                <w:rPr>
                  <w:rStyle w:val="InternetLink"/>
                  <w:rFonts w:ascii="Times New Roman;serif" w:hAnsi="Times New Roman;serif"/>
                  <w:b w:val="false"/>
                  <w:color w:val="0000FF"/>
                  <w:sz w:val="24"/>
                  <w:u w:val="single"/>
                </w:rPr>
                <w:t>Amendment; Waiver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1">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04">
              <w:r>
                <w:rPr>
                  <w:rStyle w:val="InternetLink"/>
                  <w:rFonts w:ascii="Times New Roman;serif" w:hAnsi="Times New Roman;serif"/>
                  <w:b w:val="false"/>
                  <w:color w:val="0000FF"/>
                  <w:sz w:val="24"/>
                  <w:u w:val="single"/>
                </w:rPr>
                <w:t>9.3.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4">
              <w:r>
                <w:rPr>
                  <w:rStyle w:val="InternetLink"/>
                  <w:rFonts w:ascii="Times New Roman;serif" w:hAnsi="Times New Roman;serif"/>
                  <w:b w:val="false"/>
                  <w:color w:val="0000FF"/>
                  <w:sz w:val="24"/>
                  <w:u w:val="single"/>
                </w:rPr>
                <w:t>Notice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4">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07">
              <w:r>
                <w:rPr>
                  <w:rStyle w:val="InternetLink"/>
                  <w:rFonts w:ascii="Times New Roman;serif" w:hAnsi="Times New Roman;serif"/>
                  <w:b w:val="false"/>
                  <w:color w:val="0000FF"/>
                  <w:sz w:val="24"/>
                  <w:u w:val="single"/>
                </w:rPr>
                <w:t>9.4.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7">
              <w:r>
                <w:rPr>
                  <w:rStyle w:val="InternetLink"/>
                  <w:rFonts w:ascii="Times New Roman;serif" w:hAnsi="Times New Roman;serif"/>
                  <w:b w:val="false"/>
                  <w:color w:val="0000FF"/>
                  <w:sz w:val="24"/>
                  <w:u w:val="single"/>
                </w:rPr>
                <w:t>Counterparts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07">
              <w:r>
                <w:rPr>
                  <w:rStyle w:val="InternetLink"/>
                  <w:rFonts w:ascii="Times New Roman;serif" w:hAnsi="Times New Roman;serif"/>
                  <w:b w:val="false"/>
                  <w:color w:val="0000FF"/>
                  <w:sz w:val="24"/>
                  <w:u w:val="single"/>
                </w:rPr>
                <w:t>A-99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10">
              <w:r>
                <w:rPr>
                  <w:rStyle w:val="InternetLink"/>
                  <w:rFonts w:ascii="Times New Roman;serif" w:hAnsi="Times New Roman;serif"/>
                  <w:b w:val="false"/>
                  <w:color w:val="0000FF"/>
                  <w:sz w:val="24"/>
                  <w:u w:val="single"/>
                </w:rPr>
                <w:t>9.5.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0">
              <w:r>
                <w:rPr>
                  <w:rStyle w:val="InternetLink"/>
                  <w:rFonts w:ascii="Times New Roman;serif" w:hAnsi="Times New Roman;serif"/>
                  <w:b w:val="false"/>
                  <w:color w:val="0000FF"/>
                  <w:sz w:val="24"/>
                  <w:u w:val="single"/>
                </w:rPr>
                <w:t>Interpretation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0">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13">
              <w:r>
                <w:rPr>
                  <w:rStyle w:val="InternetLink"/>
                  <w:rFonts w:ascii="Times New Roman;serif" w:hAnsi="Times New Roman;serif"/>
                  <w:b w:val="false"/>
                  <w:color w:val="0000FF"/>
                  <w:sz w:val="24"/>
                  <w:u w:val="single"/>
                </w:rPr>
                <w:t>9.6.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3">
              <w:r>
                <w:rPr>
                  <w:rStyle w:val="InternetLink"/>
                  <w:rFonts w:ascii="Times New Roman;serif" w:hAnsi="Times New Roman;serif"/>
                  <w:b w:val="false"/>
                  <w:color w:val="0000FF"/>
                  <w:sz w:val="24"/>
                  <w:u w:val="single"/>
                </w:rPr>
                <w:t>Specific Performance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3">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16">
              <w:r>
                <w:rPr>
                  <w:rStyle w:val="InternetLink"/>
                  <w:rFonts w:ascii="Times New Roman;serif" w:hAnsi="Times New Roman;serif"/>
                  <w:b w:val="false"/>
                  <w:color w:val="0000FF"/>
                  <w:sz w:val="24"/>
                  <w:u w:val="single"/>
                </w:rPr>
                <w:t>9.7.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6">
              <w:r>
                <w:rPr>
                  <w:rStyle w:val="InternetLink"/>
                  <w:rFonts w:ascii="Times New Roman;serif" w:hAnsi="Times New Roman;serif"/>
                  <w:b w:val="false"/>
                  <w:color w:val="0000FF"/>
                  <w:sz w:val="24"/>
                  <w:u w:val="single"/>
                </w:rPr>
                <w:t>Governing Law and Venue; Submission to Jurisdiction; Selection of Forum; Waiver of Trial by Jury</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6">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19">
              <w:r>
                <w:rPr>
                  <w:rStyle w:val="InternetLink"/>
                  <w:rFonts w:ascii="Times New Roman;serif" w:hAnsi="Times New Roman;serif"/>
                  <w:b w:val="false"/>
                  <w:color w:val="0000FF"/>
                  <w:sz w:val="24"/>
                  <w:u w:val="single"/>
                </w:rPr>
                <w:t>9.8.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9">
              <w:r>
                <w:rPr>
                  <w:rStyle w:val="InternetLink"/>
                  <w:rFonts w:ascii="Times New Roman;serif" w:hAnsi="Times New Roman;serif"/>
                  <w:b w:val="false"/>
                  <w:color w:val="0000FF"/>
                  <w:sz w:val="24"/>
                  <w:u w:val="single"/>
                </w:rPr>
                <w:t>Binding Agreement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19">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22">
              <w:r>
                <w:rPr>
                  <w:rStyle w:val="InternetLink"/>
                  <w:rFonts w:ascii="Times New Roman;serif" w:hAnsi="Times New Roman;serif"/>
                  <w:b w:val="false"/>
                  <w:color w:val="0000FF"/>
                  <w:sz w:val="24"/>
                  <w:u w:val="single"/>
                </w:rPr>
                <w:t>9.9.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2">
              <w:r>
                <w:rPr>
                  <w:rStyle w:val="InternetLink"/>
                  <w:rFonts w:ascii="Times New Roman;serif" w:hAnsi="Times New Roman;serif"/>
                  <w:b w:val="false"/>
                  <w:color w:val="0000FF"/>
                  <w:sz w:val="24"/>
                  <w:u w:val="single"/>
                </w:rPr>
                <w:t>Entire Understanding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2">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25">
              <w:r>
                <w:rPr>
                  <w:rStyle w:val="InternetLink"/>
                  <w:rFonts w:ascii="Times New Roman;serif" w:hAnsi="Times New Roman;serif"/>
                  <w:b w:val="false"/>
                  <w:color w:val="0000FF"/>
                  <w:sz w:val="24"/>
                  <w:u w:val="single"/>
                </w:rPr>
                <w:t>9.10.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5">
              <w:r>
                <w:rPr>
                  <w:rStyle w:val="InternetLink"/>
                  <w:rFonts w:ascii="Times New Roman;serif" w:hAnsi="Times New Roman;serif"/>
                  <w:b w:val="false"/>
                  <w:color w:val="0000FF"/>
                  <w:sz w:val="24"/>
                  <w:u w:val="single"/>
                </w:rPr>
                <w:t>Assignment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5">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28">
              <w:r>
                <w:rPr>
                  <w:rStyle w:val="InternetLink"/>
                  <w:rFonts w:ascii="Times New Roman;serif" w:hAnsi="Times New Roman;serif"/>
                  <w:b w:val="false"/>
                  <w:color w:val="0000FF"/>
                  <w:sz w:val="24"/>
                  <w:u w:val="single"/>
                </w:rPr>
                <w:t>9.11.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8">
              <w:r>
                <w:rPr>
                  <w:rStyle w:val="InternetLink"/>
                  <w:rFonts w:ascii="Times New Roman;serif" w:hAnsi="Times New Roman;serif"/>
                  <w:b w:val="false"/>
                  <w:color w:val="0000FF"/>
                  <w:sz w:val="24"/>
                  <w:u w:val="single"/>
                </w:rPr>
                <w:t>Third-Party Beneficiaries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28">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53"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p>
                  </w:txbxContent>
                </v:textbox>
                <w10:wrap type="none"/>
              </v:rect>
            </w:pict>
          </mc:Fallback>
        </mc:AlternateContent>
      </w:r>
    </w:p>
    <w:tbl>
      <w:tblPr>
        <w:tblW w:w="9044" w:type="dxa"/>
        <w:jc w:val="left"/>
        <w:tblInd w:w="0" w:type="dxa"/>
        <w:tblLayout w:type="fixed"/>
        <w:tblCellMar>
          <w:top w:w="28" w:type="dxa"/>
          <w:left w:w="28" w:type="dxa"/>
          <w:bottom w:w="28" w:type="dxa"/>
          <w:right w:w="28" w:type="dxa"/>
        </w:tblCellMar>
      </w:tblPr>
      <w:tblGrid>
        <w:gridCol w:w="217"/>
        <w:gridCol w:w="191"/>
        <w:gridCol w:w="192"/>
        <w:gridCol w:w="2559"/>
        <w:gridCol w:w="2559"/>
        <w:gridCol w:w="2561"/>
        <w:gridCol w:w="223"/>
        <w:gridCol w:w="223"/>
        <w:gridCol w:w="31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31">
              <w:r>
                <w:rPr>
                  <w:rStyle w:val="InternetLink"/>
                  <w:rFonts w:ascii="Times New Roman;serif" w:hAnsi="Times New Roman;serif"/>
                  <w:b w:val="false"/>
                  <w:color w:val="0000FF"/>
                  <w:sz w:val="24"/>
                  <w:u w:val="single"/>
                </w:rPr>
                <w:t>9.12.</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31">
              <w:r>
                <w:rPr>
                  <w:rStyle w:val="InternetLink"/>
                  <w:rFonts w:ascii="Times New Roman;serif" w:hAnsi="Times New Roman;serif"/>
                  <w:b w:val="false"/>
                  <w:color w:val="0000FF"/>
                  <w:sz w:val="24"/>
                  <w:u w:val="single"/>
                </w:rPr>
                <w:t>Severability</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31">
              <w:r>
                <w:rPr>
                  <w:rStyle w:val="InternetLink"/>
                  <w:rFonts w:ascii="Times New Roman;serif" w:hAnsi="Times New Roman;serif"/>
                  <w:b w:val="false"/>
                  <w:color w:val="0000FF"/>
                  <w:sz w:val="24"/>
                  <w:u w:val="single"/>
                </w:rPr>
                <w:t>A-102</w:t>
              </w:r>
            </w:hyperlink>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e3236674744b24bbd77f8ede5bb2eb_634">
              <w:r>
                <w:rPr>
                  <w:rStyle w:val="InternetLink"/>
                  <w:rFonts w:ascii="Times New Roman;serif" w:hAnsi="Times New Roman;serif"/>
                  <w:b w:val="false"/>
                  <w:color w:val="0000FF"/>
                  <w:sz w:val="24"/>
                  <w:u w:val="single"/>
                </w:rPr>
                <w:t>9.13.</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34">
              <w:r>
                <w:rPr>
                  <w:rStyle w:val="InternetLink"/>
                  <w:rFonts w:ascii="Times New Roman;serif" w:hAnsi="Times New Roman;serif"/>
                  <w:b w:val="false"/>
                  <w:color w:val="0000FF"/>
                  <w:sz w:val="24"/>
                  <w:u w:val="single"/>
                </w:rPr>
                <w:t>Construction</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34">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ANNEXES</w:t>
      </w:r>
    </w:p>
    <w:p>
      <w:pPr>
        <w:pStyle w:val="TextBody"/>
        <w:bidi w:val="0"/>
        <w:spacing w:lineRule="auto" w:line="288" w:before="0" w:after="0"/>
        <w:ind w:left="0" w:right="0" w:hanging="1440"/>
        <w:jc w:val="left"/>
        <w:rPr/>
      </w:pPr>
      <w:hyperlink w:anchor="i38e3236674744b24bbd77f8ede5bb2eb_640">
        <w:r>
          <w:rPr>
            <w:rStyle w:val="InternetLink"/>
            <w:rFonts w:ascii="Times New Roman;serif" w:hAnsi="Times New Roman;serif"/>
            <w:b w:val="false"/>
            <w:color w:val="0000FF"/>
            <w:sz w:val="24"/>
            <w:u w:val="single"/>
            <w:shd w:fill="FFFFFF" w:val="clear"/>
          </w:rPr>
          <w:t>Annex A</w:t>
        </w:r>
      </w:hyperlink>
      <w:r>
        <w:rPr>
          <w:color w:val="000000"/>
          <w:shd w:fill="FFFFFF" w:val="clear"/>
        </w:rPr>
        <w:t>    </w:t>
      </w:r>
      <w:hyperlink w:anchor="i38e3236674744b24bbd77f8ede5bb2eb_640">
        <w:r>
          <w:rPr>
            <w:rStyle w:val="InternetLink"/>
            <w:rFonts w:ascii="Times New Roman;serif" w:hAnsi="Times New Roman;serif"/>
            <w:b w:val="false"/>
            <w:color w:val="0000FF"/>
            <w:sz w:val="24"/>
            <w:u w:val="single"/>
            <w:shd w:fill="FFFFFF" w:val="clear"/>
          </w:rPr>
          <w:t>Form of Articles Supplementary Classifying Parent Series D Cumulative Redeemable Preferred Stock</w:t>
        </w:r>
      </w:hyperlink>
    </w:p>
    <w:p>
      <w:pPr>
        <w:pStyle w:val="TextBody"/>
        <w:bidi w:val="0"/>
        <w:spacing w:lineRule="auto" w:line="288" w:before="0" w:after="0"/>
        <w:ind w:left="0" w:right="0" w:hanging="1440"/>
        <w:jc w:val="left"/>
        <w:rPr/>
      </w:pPr>
      <w:hyperlink w:anchor="i38e3236674744b24bbd77f8ede5bb2eb_643">
        <w:r>
          <w:rPr>
            <w:rStyle w:val="InternetLink"/>
            <w:rFonts w:ascii="Times New Roman;serif" w:hAnsi="Times New Roman;serif"/>
            <w:b w:val="false"/>
            <w:color w:val="0000FF"/>
            <w:sz w:val="24"/>
            <w:u w:val="single"/>
            <w:shd w:fill="FFFFFF" w:val="clear"/>
          </w:rPr>
          <w:t>Annex B</w:t>
        </w:r>
      </w:hyperlink>
      <w:r>
        <w:rPr>
          <w:color w:val="000000"/>
          <w:shd w:fill="FFFFFF" w:val="clear"/>
        </w:rPr>
        <w:t>    </w:t>
      </w:r>
      <w:hyperlink w:anchor="i38e3236674744b24bbd77f8ede5bb2eb_643">
        <w:r>
          <w:rPr>
            <w:rStyle w:val="InternetLink"/>
            <w:rFonts w:ascii="Times New Roman;serif" w:hAnsi="Times New Roman;serif"/>
            <w:b w:val="false"/>
            <w:color w:val="0000FF"/>
            <w:sz w:val="24"/>
            <w:u w:val="single"/>
            <w:shd w:fill="FFFFFF" w:val="clear"/>
          </w:rPr>
          <w:t>Form of Articles Supplementary Classifying Parent Series E Cumulative Redeemable Preferred Stock</w:t>
        </w:r>
      </w:hyperlink>
    </w:p>
    <w:p>
      <w:pPr>
        <w:pStyle w:val="TextBody"/>
        <w:bidi w:val="0"/>
        <w:spacing w:lineRule="auto" w:line="288" w:before="0" w:after="0"/>
        <w:jc w:val="left"/>
        <w:rPr/>
      </w:pPr>
      <w:hyperlink w:anchor="i38e3236674744b24bbd77f8ede5bb2eb_646">
        <w:r>
          <w:rPr>
            <w:rStyle w:val="InternetLink"/>
            <w:rFonts w:ascii="Times New Roman;serif" w:hAnsi="Times New Roman;serif"/>
            <w:b w:val="false"/>
            <w:color w:val="0000FF"/>
            <w:sz w:val="24"/>
            <w:u w:val="single"/>
            <w:shd w:fill="FFFFFF" w:val="clear"/>
          </w:rPr>
          <w:t>Annex C</w:t>
        </w:r>
      </w:hyperlink>
      <w:r>
        <w:rPr>
          <w:color w:val="000000"/>
          <w:shd w:fill="FFFFFF" w:val="clear"/>
        </w:rPr>
        <w:t>    </w:t>
      </w:r>
      <w:hyperlink w:anchor="i38e3236674744b24bbd77f8ede5bb2eb_646">
        <w:r>
          <w:rPr>
            <w:rStyle w:val="InternetLink"/>
            <w:rFonts w:ascii="Times New Roman;serif" w:hAnsi="Times New Roman;serif"/>
            <w:b w:val="false"/>
            <w:color w:val="0000FF"/>
            <w:sz w:val="24"/>
            <w:u w:val="single"/>
            <w:shd w:fill="FFFFFF" w:val="clear"/>
          </w:rPr>
          <w:t>Form of Mayer Brown LLP Opinion to Parent</w:t>
        </w:r>
      </w:hyperlink>
    </w:p>
    <w:p>
      <w:pPr>
        <w:pStyle w:val="TextBody"/>
        <w:bidi w:val="0"/>
        <w:spacing w:lineRule="auto" w:line="288" w:before="0" w:after="0"/>
        <w:jc w:val="left"/>
        <w:rPr/>
      </w:pPr>
      <w:hyperlink w:anchor="i38e3236674744b24bbd77f8ede5bb2eb_649">
        <w:r>
          <w:rPr>
            <w:rStyle w:val="InternetLink"/>
            <w:rFonts w:ascii="Times New Roman;serif" w:hAnsi="Times New Roman;serif"/>
            <w:b w:val="false"/>
            <w:color w:val="0000FF"/>
            <w:sz w:val="24"/>
            <w:u w:val="single"/>
            <w:shd w:fill="FFFFFF" w:val="clear"/>
          </w:rPr>
          <w:t>Annex D</w:t>
        </w:r>
      </w:hyperlink>
      <w:r>
        <w:rPr>
          <w:color w:val="000000"/>
          <w:shd w:fill="FFFFFF" w:val="clear"/>
        </w:rPr>
        <w:t>    </w:t>
      </w:r>
      <w:hyperlink w:anchor="i38e3236674744b24bbd77f8ede5bb2eb_649">
        <w:r>
          <w:rPr>
            <w:rStyle w:val="InternetLink"/>
            <w:rFonts w:ascii="Times New Roman;serif" w:hAnsi="Times New Roman;serif"/>
            <w:b w:val="false"/>
            <w:color w:val="0000FF"/>
            <w:sz w:val="24"/>
            <w:u w:val="single"/>
            <w:shd w:fill="FFFFFF" w:val="clear"/>
          </w:rPr>
          <w:t>Form of Hunton Andrews Kurth LLP Opinion to Parent</w:t>
        </w:r>
      </w:hyperlink>
    </w:p>
    <w:p>
      <w:pPr>
        <w:pStyle w:val="TextBody"/>
        <w:bidi w:val="0"/>
        <w:spacing w:lineRule="auto" w:line="288" w:before="0" w:after="0"/>
        <w:jc w:val="left"/>
        <w:rPr/>
      </w:pPr>
      <w:hyperlink w:anchor="i38e3236674744b24bbd77f8ede5bb2eb_652">
        <w:r>
          <w:rPr>
            <w:rStyle w:val="InternetLink"/>
            <w:rFonts w:ascii="Times New Roman;serif" w:hAnsi="Times New Roman;serif"/>
            <w:b w:val="false"/>
            <w:color w:val="0000FF"/>
            <w:sz w:val="24"/>
            <w:u w:val="single"/>
            <w:shd w:fill="FFFFFF" w:val="clear"/>
          </w:rPr>
          <w:t>Annex E</w:t>
        </w:r>
      </w:hyperlink>
      <w:r>
        <w:rPr>
          <w:color w:val="000000"/>
          <w:shd w:fill="FFFFFF" w:val="clear"/>
        </w:rPr>
        <w:t>    </w:t>
      </w:r>
      <w:hyperlink w:anchor="i38e3236674744b24bbd77f8ede5bb2eb_652">
        <w:r>
          <w:rPr>
            <w:rStyle w:val="InternetLink"/>
            <w:rFonts w:ascii="Times New Roman;serif" w:hAnsi="Times New Roman;serif"/>
            <w:b w:val="false"/>
            <w:color w:val="0000FF"/>
            <w:sz w:val="24"/>
            <w:u w:val="single"/>
            <w:shd w:fill="FFFFFF" w:val="clear"/>
          </w:rPr>
          <w:t>Form of Hunton Andrews Kurth LLP Opinion to the Company</w:t>
        </w:r>
      </w:hyperlink>
    </w:p>
    <w:p>
      <w:pPr>
        <w:pStyle w:val="TextBody"/>
        <w:bidi w:val="0"/>
        <w:spacing w:lineRule="auto" w:line="288" w:before="0" w:after="0"/>
        <w:jc w:val="left"/>
        <w:rPr/>
      </w:pPr>
      <w:hyperlink w:anchor="i38e3236674744b24bbd77f8ede5bb2eb_655">
        <w:r>
          <w:rPr>
            <w:rStyle w:val="InternetLink"/>
            <w:rFonts w:ascii="Times New Roman;serif" w:hAnsi="Times New Roman;serif"/>
            <w:b w:val="false"/>
            <w:color w:val="0000FF"/>
            <w:sz w:val="24"/>
            <w:u w:val="single"/>
            <w:shd w:fill="FFFFFF" w:val="clear"/>
          </w:rPr>
          <w:t>Annex F</w:t>
        </w:r>
      </w:hyperlink>
      <w:r>
        <w:rPr>
          <w:color w:val="000000"/>
          <w:shd w:fill="FFFFFF" w:val="clear"/>
        </w:rPr>
        <w:t>    </w:t>
      </w:r>
      <w:hyperlink w:anchor="i38e3236674744b24bbd77f8ede5bb2eb_655">
        <w:r>
          <w:rPr>
            <w:rStyle w:val="InternetLink"/>
            <w:rFonts w:ascii="Times New Roman;serif" w:hAnsi="Times New Roman;serif"/>
            <w:b w:val="false"/>
            <w:color w:val="0000FF"/>
            <w:sz w:val="24"/>
            <w:u w:val="single"/>
            <w:shd w:fill="FFFFFF" w:val="clear"/>
          </w:rPr>
          <w:t>Form of Mayer Brown LLP Opinion to the Company</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54"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 AND PLAN OF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AGREEMENT AND PLAN OF MERGER is made as of August 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of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3.4(i)</w:t>
      </w:r>
      <w:r>
        <w:rPr>
          <w:rFonts w:ascii="Times New Roman;serif" w:hAnsi="Times New Roman;serif"/>
          <w:b w:val="false"/>
          <w:color w:val="000000"/>
          <w:sz w:val="24"/>
        </w:rPr>
        <w:t xml:space="preserve">, the applicable sections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IX</w:t>
      </w:r>
      <w:r>
        <w:rPr>
          <w:rFonts w:ascii="Times New Roman;serif" w:hAnsi="Times New Roman;serif"/>
          <w:b w:val="false"/>
          <w:color w:val="000000"/>
          <w:sz w:val="24"/>
        </w:rPr>
        <w: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xml:space="preserve">). Certain capitalized terms used herein are defined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serif" w:hAnsi="Times New Roman;serif"/>
          <w:b w:val="false"/>
          <w:color w:val="000000"/>
          <w:sz w:val="24"/>
          <w:u w:val="single"/>
          <w:shd w:fill="FFFFFF" w:val="clear"/>
        </w:rPr>
        <w:t>Code</w:t>
      </w:r>
      <w:r>
        <w:rPr>
          <w:color w:val="000000"/>
          <w:shd w:fill="FFFFFF" w:val="clear"/>
        </w:rPr>
        <w:t>”</w:t>
      </w:r>
      <w:r>
        <w:rPr>
          <w:rFonts w:ascii="Times New Roman;serif" w:hAnsi="Times New Roman;serif"/>
          <w:b w:val="false"/>
          <w:color w:val="000000"/>
          <w:sz w:val="24"/>
          <w:shd w:fill="FFFFFF" w:val="clear"/>
        </w:rPr>
        <w:t>), for U.S. federal income tax purposes (“</w:t>
      </w:r>
      <w:r>
        <w:rPr>
          <w:rFonts w:ascii="Times New Roman;serif" w:hAnsi="Times New Roman;serif"/>
          <w:b w:val="false"/>
          <w:color w:val="000000"/>
          <w:sz w:val="24"/>
          <w:u w:val="single"/>
          <w:shd w:fill="FFFFFF" w:val="clear"/>
        </w:rPr>
        <w:t>REIT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shd w:fill="FFFFFF" w:val="clear"/>
        </w:rPr>
        <w:t>Partnership Merger</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Revised Uniform Limited Partnership Act (the “</w:t>
      </w:r>
      <w:r>
        <w:rPr>
          <w:rFonts w:ascii="Times New Roman;serif" w:hAnsi="Times New Roman;serif"/>
          <w:b w:val="false"/>
          <w:color w:val="000000"/>
          <w:sz w:val="24"/>
          <w:u w:val="single"/>
          <w:shd w:fill="FFFFFF" w:val="clear"/>
        </w:rPr>
        <w:t>DRULPA</w:t>
      </w:r>
      <w:r>
        <w:rPr>
          <w:color w:val="000000"/>
          <w:shd w:fill="FFFFFF" w:val="clear"/>
        </w:rPr>
        <w:t>”</w:t>
      </w:r>
      <w:r>
        <w:rPr>
          <w:rFonts w:ascii="Times New Roman;serif" w:hAnsi="Times New Roman;serif"/>
          <w:b w:val="false"/>
          <w:color w:val="000000"/>
          <w:sz w:val="24"/>
          <w:shd w:fill="FFFFFF" w:val="clear"/>
        </w:rPr>
        <w:t>) and the Maryland General Corporation Law (the “</w:t>
      </w:r>
      <w:r>
        <w:rPr>
          <w:rFonts w:ascii="Times New Roman;serif" w:hAnsi="Times New Roman;serif"/>
          <w:b w:val="false"/>
          <w:color w:val="000000"/>
          <w:sz w:val="24"/>
          <w:u w:val="single"/>
          <w:shd w:fill="FFFFFF" w:val="clear"/>
        </w:rPr>
        <w:t>MGCL</w:t>
      </w:r>
      <w:r>
        <w:rPr>
          <w:color w:val="000000"/>
          <w:shd w:fill="FFFFFF" w:val="clear"/>
        </w:rPr>
        <w:t>”</w:t>
      </w:r>
      <w:r>
        <w:rPr>
          <w:rFonts w:ascii="Times New Roman;serif" w:hAnsi="Times New Roman;serif"/>
          <w:b w:val="false"/>
          <w:color w:val="000000"/>
          <w:sz w:val="24"/>
          <w:shd w:fill="FFFFFF" w:val="clear"/>
        </w:rPr>
        <w:t>) and then (b) a merger of the Company with and into Merger Sub, with Merger Sub being the Surviving Entity (the “</w:t>
      </w:r>
      <w:r>
        <w:rPr>
          <w:rFonts w:ascii="Times New Roman;serif" w:hAnsi="Times New Roman;serif"/>
          <w:b w:val="false"/>
          <w:color w:val="000000"/>
          <w:sz w:val="24"/>
          <w:u w:val="single"/>
          <w:shd w:fill="FFFFFF" w:val="clear"/>
        </w:rPr>
        <w:t>Company Merger</w:t>
      </w:r>
      <w:r>
        <w:rPr>
          <w:color w:val="000000"/>
          <w:shd w:fill="FFFFFF" w:val="clear"/>
        </w:rPr>
        <w:t xml:space="preserve">” </w:t>
      </w:r>
      <w:r>
        <w:rPr>
          <w:rFonts w:ascii="Times New Roman;serif" w:hAnsi="Times New Roman;serif"/>
          <w:b w:val="false"/>
          <w:color w:val="000000"/>
          <w:sz w:val="24"/>
          <w:shd w:fill="FFFFFF" w:val="clear"/>
        </w:rPr>
        <w:t>and together with the Partnership Merger, the “</w:t>
      </w:r>
      <w:r>
        <w:rPr>
          <w:rFonts w:ascii="Times New Roman;serif" w:hAnsi="Times New Roman;serif"/>
          <w:b w:val="false"/>
          <w:color w:val="000000"/>
          <w:sz w:val="24"/>
          <w:u w:val="single"/>
          <w:shd w:fill="FFFFFF" w:val="clear"/>
        </w:rPr>
        <w:t>Mergers</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Limited Liability Company Act (the “</w:t>
      </w:r>
      <w:r>
        <w:rPr>
          <w:rFonts w:ascii="Times New Roman;serif" w:hAnsi="Times New Roman;serif"/>
          <w:b w:val="false"/>
          <w:color w:val="000000"/>
          <w:sz w:val="24"/>
          <w:u w:val="single"/>
          <w:shd w:fill="FFFFFF" w:val="clear"/>
        </w:rPr>
        <w:t>DLLCA</w:t>
      </w:r>
      <w:r>
        <w:rPr>
          <w:color w:val="000000"/>
          <w:shd w:fill="FFFFFF" w:val="clear"/>
        </w:rPr>
        <w:t>”</w:t>
      </w:r>
      <w:r>
        <w:rPr>
          <w:rFonts w:ascii="Times New Roman;serif" w:hAnsi="Times New Roman;serif"/>
          <w:b w:val="false"/>
          <w:color w:val="000000"/>
          <w:sz w:val="24"/>
          <w:shd w:fill="FFFFFF" w:val="clear"/>
        </w:rPr>
        <w:t>) and the MGCL;</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the Company (the “</w:t>
      </w:r>
      <w:r>
        <w:rPr>
          <w:rFonts w:ascii="Times New Roman;serif" w:hAnsi="Times New Roman;serif"/>
          <w:b w:val="false"/>
          <w:color w:val="000000"/>
          <w:sz w:val="24"/>
          <w:u w:val="single"/>
          <w:shd w:fill="FFFFFF" w:val="clear"/>
        </w:rPr>
        <w:t>Company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contemplated herein, including the Mergers (collectively, the “</w:t>
      </w:r>
      <w:r>
        <w:rPr>
          <w:rFonts w:ascii="Times New Roman;serif" w:hAnsi="Times New Roman;serif"/>
          <w:b w:val="false"/>
          <w:color w:val="000000"/>
          <w:sz w:val="24"/>
          <w:u w:val="single"/>
          <w:shd w:fill="FFFFFF" w:val="clear"/>
        </w:rPr>
        <w:t>Transactions</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Company Merger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Parent (the “</w:t>
      </w:r>
      <w:r>
        <w:rPr>
          <w:rFonts w:ascii="Times New Roman;serif" w:hAnsi="Times New Roman;serif"/>
          <w:b w:val="false"/>
          <w:color w:val="000000"/>
          <w:sz w:val="24"/>
          <w:u w:val="single"/>
          <w:shd w:fill="FFFFFF" w:val="clear"/>
        </w:rPr>
        <w:t>Parent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including the Company Merger and the issuance of shares of Parent Common Stock in connection therewith (the “</w:t>
      </w:r>
      <w:r>
        <w:rPr>
          <w:rFonts w:ascii="Times New Roman;serif" w:hAnsi="Times New Roman;serif"/>
          <w:b w:val="false"/>
          <w:color w:val="000000"/>
          <w:sz w:val="24"/>
          <w:u w:val="single"/>
          <w:shd w:fill="FFFFFF" w:val="clear"/>
        </w:rPr>
        <w:t>Parent Common Stock Issuance</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to recommend that Parent’s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55"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stockholders approve the Parent Common Stock Issuance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serif" w:hAnsi="Times New Roman;serif"/>
          <w:b w:val="false"/>
          <w:color w:val="000000"/>
          <w:sz w:val="24"/>
          <w:u w:val="single"/>
          <w:shd w:fill="FFFFFF" w:val="clear"/>
        </w:rPr>
        <w:t>Merger Sub Sole Member</w:t>
      </w:r>
      <w:r>
        <w:rPr>
          <w:color w:val="000000"/>
          <w:shd w:fill="FFFFFF" w:val="clear"/>
        </w:rPr>
        <w:t>”</w:t>
      </w:r>
      <w:r>
        <w:rPr>
          <w:rFonts w:ascii="Times New Roman;serif" w:hAnsi="Times New Roman;serif"/>
          <w:b w:val="false"/>
          <w:color w:val="000000"/>
          <w:sz w:val="24"/>
          <w:shd w:fill="FFFFFF" w:val="clear"/>
        </w:rPr>
        <w:t>); and (b) approved this Agreement and the Transactions, including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concurrently with the execution and delivery of this Agreement, the Company and AG MIT, LLC have entered into and delivered a voting and support agreement (the “</w:t>
      </w:r>
      <w:r>
        <w:rPr>
          <w:rFonts w:ascii="Times New Roman;serif" w:hAnsi="Times New Roman;serif"/>
          <w:b w:val="false"/>
          <w:color w:val="000000"/>
          <w:sz w:val="24"/>
          <w:u w:val="single"/>
          <w:shd w:fill="FFFFFF" w:val="clear"/>
        </w:rPr>
        <w:t>Support Agreement</w:t>
      </w:r>
      <w:r>
        <w:rPr>
          <w:color w:val="000000"/>
          <w:shd w:fill="FFFFFF" w:val="clear"/>
        </w:rPr>
        <w:t>”</w:t>
      </w:r>
      <w:r>
        <w:rPr>
          <w:rFonts w:ascii="Times New Roman;serif" w:hAnsi="Times New Roman;serif"/>
          <w:b w:val="false"/>
          <w:color w:val="000000"/>
          <w:sz w:val="24"/>
          <w:shd w:fill="FFFFFF" w:val="clear"/>
        </w:rPr>
        <w:t>) in connection with the Transactions;</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w:t>
      </w:r>
      <w:r>
        <w:rPr>
          <w:color w:val="000000"/>
        </w:rPr>
        <w:t xml:space="preserve"> </w:t>
      </w:r>
      <w:r>
        <w:rPr>
          <w:rFonts w:ascii="Times New Roman;serif" w:hAnsi="Times New Roman;serif"/>
          <w:b w:val="false"/>
          <w:color w:val="000000"/>
          <w:sz w:val="24"/>
          <w:shd w:fill="FFFFFF" w:val="clear"/>
        </w:rPr>
        <w:t xml:space="preserve">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parties hereto desire to make certain representations, warranties, covenants and agreements in connection with the Mergers and to prescribe various terms of and conditions to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Article 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rPr>
        <w:t>. The following terms shall have the following meanings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56"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Acceptable Confidentiality Agreement</w:t>
      </w:r>
      <w:r>
        <w:rPr>
          <w:color w:val="000000"/>
          <w:shd w:fill="FFFFFF" w:val="clear"/>
        </w:rPr>
        <w:t xml:space="preserve">” </w:t>
      </w:r>
      <w:r>
        <w:rPr>
          <w:rFonts w:ascii="Times New Roman;serif" w:hAnsi="Times New Roman;serif"/>
          <w:b w:val="false"/>
          <w:color w:val="000000"/>
          <w:sz w:val="24"/>
          <w:shd w:fill="FFFFFF" w:val="clear"/>
        </w:rPr>
        <w:t xml:space="preserve">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that directly or indirectly, through one or more intermediaries, Controls, is Controlled by, or is under common Control with, such first Person. For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securities, by contract, management control, or otherwise.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Incorporation</w:t>
      </w:r>
      <w:r>
        <w:rPr>
          <w:color w:val="000000"/>
        </w:rPr>
        <w:t xml:space="preserve">” </w:t>
      </w:r>
      <w:r>
        <w:rPr>
          <w:rFonts w:ascii="Times New Roman;serif" w:hAnsi="Times New Roman;serif"/>
          <w:b w:val="false"/>
          <w:color w:val="000000"/>
          <w:sz w:val="24"/>
        </w:rPr>
        <w:t>means the Articles of Amendment and Restatement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Aurora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Company Benefit Plan and each PEO Benefit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Book-Entry Shares</w:t>
      </w:r>
      <w:r>
        <w:rPr>
          <w:color w:val="000000"/>
        </w:rPr>
        <w:t xml:space="preserve">” </w:t>
      </w:r>
      <w:r>
        <w:rPr>
          <w:rFonts w:ascii="Times New Roman;serif" w:hAnsi="Times New Roman;serif"/>
          <w:b w:val="false"/>
          <w:color w:val="000000"/>
          <w:sz w:val="24"/>
        </w:rPr>
        <w:t>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Sunday or other day on which banking institutions in the State of Maryland are authorized or required by Law or other action of a Governmental Authority to close.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Permits</w:t>
      </w:r>
      <w:r>
        <w:rPr>
          <w:color w:val="000000"/>
        </w:rPr>
        <w:t xml:space="preserve">” </w:t>
      </w:r>
      <w:r>
        <w:rPr>
          <w:rFonts w:ascii="Times New Roman;serif" w:hAnsi="Times New Roman;serif"/>
          <w:b w:val="false"/>
          <w:color w:val="000000"/>
          <w:sz w:val="24"/>
        </w:rPr>
        <w:t xml:space="preserve">means the Permits of the Company and its Subsidiaries, which are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3.2(c)</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57"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Claim Expenses</w:t>
      </w:r>
      <w:r>
        <w:rPr>
          <w:color w:val="000000"/>
        </w:rPr>
        <w:t xml:space="preserve">” </w:t>
      </w:r>
      <w:r>
        <w:rPr>
          <w:rFonts w:ascii="Times New Roman;serif" w:hAnsi="Times New Roman;serif"/>
          <w:b w:val="false"/>
          <w:color w:val="000000"/>
          <w:sz w:val="24"/>
        </w:rPr>
        <w:t xml:space="preserve">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including any action relating to a claim for indemnification or advancement brought by a Covered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consummation of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Volume-Weighted Average Price</w:t>
      </w:r>
      <w:r>
        <w:rPr>
          <w:color w:val="000000"/>
        </w:rPr>
        <w:t xml:space="preserve">” </w:t>
      </w:r>
      <w:r>
        <w:rPr>
          <w:rFonts w:ascii="Times New Roman;serif" w:hAnsi="Times New Roman;serif"/>
          <w:b w:val="false"/>
          <w:color w:val="000000"/>
          <w:sz w:val="24"/>
        </w:rPr>
        <w:t>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Section 4980B of the Internal Revenue Code of 1986, as amended, Part 6 of Subtitle B of Title I of ERISA, and any similar state or local law requiring continuation of group health plan coverage.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 xml:space="preserve">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58"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Unit</w:t>
      </w:r>
      <w:r>
        <w:rPr>
          <w:color w:val="000000"/>
        </w:rPr>
        <w:t xml:space="preserve">” </w:t>
      </w:r>
      <w:r>
        <w:rPr>
          <w:rFonts w:ascii="Times New Roman;serif" w:hAnsi="Times New Roman;serif"/>
          <w:b w:val="false"/>
          <w:color w:val="000000"/>
          <w:sz w:val="24"/>
        </w:rPr>
        <w:t>means a Common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Director Designee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Awards</w:t>
      </w:r>
      <w:r>
        <w:rPr>
          <w:color w:val="000000"/>
        </w:rPr>
        <w:t xml:space="preserve">” </w:t>
      </w:r>
      <w:r>
        <w:rPr>
          <w:rFonts w:ascii="Times New Roman;serif" w:hAnsi="Times New Roman;serif"/>
          <w:b w:val="false"/>
          <w:color w:val="000000"/>
          <w:sz w:val="24"/>
        </w:rPr>
        <w:t>means, collectively, the Company Restricted Stock Awards, the Company PSU Awards, the Company RSU Awards and the Company LTIP Units.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Plans</w:t>
      </w:r>
      <w:r>
        <w:rPr>
          <w:color w:val="000000"/>
        </w:rPr>
        <w:t xml:space="preserve">” </w:t>
      </w:r>
      <w:r>
        <w:rPr>
          <w:rFonts w:ascii="Times New Roman;serif" w:hAnsi="Times New Roman;serif"/>
          <w:b w:val="false"/>
          <w:color w:val="000000"/>
          <w:sz w:val="24"/>
        </w:rPr>
        <w:t>means any of the Company’s 2023 Equity Incentive Plan and 2013 Equity Incentive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Executive Severance Plan</w:t>
      </w:r>
      <w:r>
        <w:rPr>
          <w:color w:val="000000"/>
        </w:rPr>
        <w:t xml:space="preserve">” </w:t>
      </w:r>
      <w:r>
        <w:rPr>
          <w:rFonts w:ascii="Times New Roman;serif" w:hAnsi="Times New Roman;serif"/>
          <w:b w:val="false"/>
          <w:color w:val="000000"/>
          <w:sz w:val="24"/>
        </w:rPr>
        <w:t>means the Cherry Hill Mortgage Investment Corporation Executive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Facilities</w:t>
      </w:r>
      <w:r>
        <w:rPr>
          <w:color w:val="000000"/>
        </w:rPr>
        <w:t xml:space="preserve">” </w:t>
      </w:r>
      <w:r>
        <w:rPr>
          <w:rFonts w:ascii="Times New Roman;serif" w:hAnsi="Times New Roman;serif"/>
          <w:b w:val="false"/>
          <w:color w:val="000000"/>
          <w:sz w:val="24"/>
        </w:rPr>
        <w:t>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all Intellectual Property used in the operation of the business of the Company and its Subsidiaries as presently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Intervening Event</w:t>
      </w:r>
      <w:r>
        <w:rPr>
          <w:color w:val="000000"/>
        </w:rPr>
        <w:t xml:space="preserve">” </w:t>
      </w:r>
      <w:r>
        <w:rPr>
          <w:rFonts w:ascii="Times New Roman;serif" w:hAnsi="Times New Roman;serif"/>
          <w:b w:val="false"/>
          <w:color w:val="000000"/>
          <w:sz w:val="24"/>
        </w:rPr>
        <w:t xml:space="preserve">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the foregoing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the underlying cause of such change, failure or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59"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LTIP Unit</w:t>
      </w:r>
      <w:r>
        <w:rPr>
          <w:color w:val="000000"/>
        </w:rPr>
        <w:t xml:space="preserve">” </w:t>
      </w:r>
      <w:r>
        <w:rPr>
          <w:rFonts w:ascii="Times New Roman;serif" w:hAnsi="Times New Roman;serif"/>
          <w:b w:val="false"/>
          <w:color w:val="000000"/>
          <w:sz w:val="24"/>
        </w:rPr>
        <w:t>means an LTIP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the Company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the Company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60"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(provided, however, that the underlying causes of any such change referred to in this clause (g)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third-party’s projections, guidance, budgets, milestones, expectations, forecasts or estimates (provided, however, that the underlying causes of any such change referred to in this clause (h)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the Company or any of its Subsidiaries at the written request of Parent or consented to in writing by Parent;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Parent or any of its Affiliates as the acquiror of the Company or any changes arising therefrom; </w: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color w:val="000000"/>
        </w:rPr>
        <w:t xml:space="preserve">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(f)</w:t>
      </w:r>
      <w:r>
        <w:rPr>
          <w:rFonts w:ascii="Times New Roman;serif" w:hAnsi="Times New Roman;serif"/>
          <w:b w:val="false"/>
          <w:color w:val="000000"/>
          <w:sz w:val="24"/>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 Agreement</w:t>
      </w:r>
      <w:r>
        <w:rPr>
          <w:color w:val="000000"/>
        </w:rPr>
        <w:t xml:space="preserve">” </w:t>
      </w:r>
      <w:r>
        <w:rPr>
          <w:rFonts w:ascii="Times New Roman;serif" w:hAnsi="Times New Roman;serif"/>
          <w:b w:val="false"/>
          <w:color w:val="000000"/>
          <w:sz w:val="24"/>
        </w:rPr>
        <w:t>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Partnership Unit</w:t>
      </w:r>
      <w:r>
        <w:rPr>
          <w:color w:val="000000"/>
        </w:rPr>
        <w:t xml:space="preserve">” </w:t>
      </w:r>
      <w:r>
        <w:rPr>
          <w:rFonts w:ascii="Times New Roman;serif" w:hAnsi="Times New Roman;serif"/>
          <w:b w:val="false"/>
          <w:color w:val="000000"/>
          <w:sz w:val="24"/>
        </w:rPr>
        <w:t xml:space="preserve">means a Company Common Unit, a Company Preferred Unit and/or a Company LTIP Unit.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61"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Portfolio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Unit</w:t>
      </w:r>
      <w:r>
        <w:rPr>
          <w:color w:val="000000"/>
        </w:rPr>
        <w:t xml:space="preserve">” </w:t>
      </w:r>
      <w:r>
        <w:rPr>
          <w:rFonts w:ascii="Times New Roman;serif" w:hAnsi="Times New Roman;serif"/>
          <w:b w:val="false"/>
          <w:color w:val="000000"/>
          <w:sz w:val="24"/>
        </w:rPr>
        <w:t>means a Company Series A Preferred Unit or a Company Series B Preferred Unit.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PSU Award</w:t>
      </w:r>
      <w:r>
        <w:rPr>
          <w:color w:val="000000"/>
        </w:rPr>
        <w:t xml:space="preserve">” </w:t>
      </w:r>
      <w:r>
        <w:rPr>
          <w:rFonts w:ascii="Times New Roman;serif" w:hAnsi="Times New Roman;serif"/>
          <w:b w:val="false"/>
          <w:color w:val="000000"/>
          <w:sz w:val="24"/>
        </w:rPr>
        <w:t xml:space="preserve">means each performance-based restricted stock unit award in respect of a share of Company Common Stock granted under the Company Equity Plans.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8.3(i)(i)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Restricted Stock Award</w:t>
      </w:r>
      <w:r>
        <w:rPr>
          <w:color w:val="000000"/>
        </w:rPr>
        <w:t xml:space="preserve">” </w:t>
      </w:r>
      <w:r>
        <w:rPr>
          <w:rFonts w:ascii="Times New Roman;serif" w:hAnsi="Times New Roman;serif"/>
          <w:b w:val="false"/>
          <w:color w:val="000000"/>
          <w:sz w:val="24"/>
        </w:rPr>
        <w:t>means shares of restricted stock and any other shares of Company Common Stock subject to vesting conditions based on continuing service.</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62"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RSU Award</w:t>
      </w:r>
      <w:r>
        <w:rPr>
          <w:color w:val="000000"/>
        </w:rPr>
        <w:t xml:space="preserve">” </w:t>
      </w:r>
      <w:r>
        <w:rPr>
          <w:rFonts w:ascii="Times New Roman;serif" w:hAnsi="Times New Roman;serif"/>
          <w:b w:val="false"/>
          <w:color w:val="000000"/>
          <w:sz w:val="24"/>
        </w:rPr>
        <w:t>means each restricted stock unit award in respect of a share of Company Common Stock granted under the Company Equity Plans (other than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Stock</w:t>
      </w:r>
      <w:r>
        <w:rPr>
          <w:color w:val="000000"/>
        </w:rPr>
        <w:t xml:space="preserve">” </w:t>
      </w:r>
      <w:r>
        <w:rPr>
          <w:rFonts w:ascii="Times New Roman;serif" w:hAnsi="Times New Roman;serif"/>
          <w:b w:val="false"/>
          <w:color w:val="000000"/>
          <w:sz w:val="24"/>
        </w:rPr>
        <w:t>means the Company’s 8.20% Series A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Unit</w:t>
      </w:r>
      <w:r>
        <w:rPr>
          <w:color w:val="000000"/>
        </w:rPr>
        <w:t xml:space="preserve">” </w:t>
      </w:r>
      <w:r>
        <w:rPr>
          <w:rFonts w:ascii="Times New Roman;serif" w:hAnsi="Times New Roman;serif"/>
          <w:b w:val="false"/>
          <w:color w:val="000000"/>
          <w:sz w:val="24"/>
        </w:rPr>
        <w:t>means a Series A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Stock</w:t>
      </w:r>
      <w:r>
        <w:rPr>
          <w:color w:val="000000"/>
        </w:rPr>
        <w:t xml:space="preserve">” </w:t>
      </w:r>
      <w:r>
        <w:rPr>
          <w:rFonts w:ascii="Times New Roman;serif" w:hAnsi="Times New Roman;serif"/>
          <w:b w:val="false"/>
          <w:color w:val="000000"/>
          <w:sz w:val="24"/>
        </w:rPr>
        <w:t>means the Company’s 8.250% Series B Fixed-to-Floating Rate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Unit</w:t>
      </w:r>
      <w:r>
        <w:rPr>
          <w:color w:val="000000"/>
        </w:rPr>
        <w:t xml:space="preserve">” </w:t>
      </w:r>
      <w:r>
        <w:rPr>
          <w:rFonts w:ascii="Times New Roman;serif" w:hAnsi="Times New Roman;serif"/>
          <w:b w:val="false"/>
          <w:color w:val="000000"/>
          <w:sz w:val="24"/>
        </w:rPr>
        <w:t>means a Series B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Service Provider</w:t>
      </w:r>
      <w:r>
        <w:rPr>
          <w:color w:val="000000"/>
        </w:rPr>
        <w:t xml:space="preserve">” </w:t>
      </w:r>
      <w:r>
        <w:rPr>
          <w:rFonts w:ascii="Times New Roman;serif" w:hAnsi="Times New Roman;serif"/>
          <w:b w:val="false"/>
          <w:color w:val="000000"/>
          <w:sz w:val="24"/>
        </w:rPr>
        <w:t>means each current or former director, officer, employee or independent contractor or other service provider of the Company.</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serviced by the Company or any of its Subsidiaries pursuant to a Company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Company Servicing Agreement</w:t>
      </w:r>
      <w:r>
        <w:rPr>
          <w:color w:val="000000"/>
        </w:rPr>
        <w:t xml:space="preserve">” </w:t>
      </w:r>
      <w:r>
        <w:rPr>
          <w:rFonts w:ascii="Times New Roman;serif" w:hAnsi="Times New Roman;serif"/>
          <w:b w:val="false"/>
          <w:color w:val="000000"/>
          <w:sz w:val="24"/>
        </w:rPr>
        <w:t>means any Contract pursuant to which the Company or any of its Subsidiaries is obligated to a Governmental Authority to service or administer Mortgage Loans.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Severance Plan</w:t>
      </w:r>
      <w:r>
        <w:rPr>
          <w:color w:val="000000"/>
        </w:rPr>
        <w:t xml:space="preserve">” </w:t>
      </w:r>
      <w:r>
        <w:rPr>
          <w:rFonts w:ascii="Times New Roman;serif" w:hAnsi="Times New Roman;serif"/>
          <w:b w:val="false"/>
          <w:color w:val="000000"/>
          <w:sz w:val="24"/>
        </w:rPr>
        <w:t>means the Cherry Hill Mortgage Investment Corporation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 Approval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Stockholders Meeting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Sub-REIT</w:t>
      </w:r>
      <w:r>
        <w:rPr>
          <w:color w:val="000000"/>
        </w:rPr>
        <w:t xml:space="preserve">” </w:t>
      </w:r>
      <w:r>
        <w:rPr>
          <w:rFonts w:ascii="Times New Roman;serif" w:hAnsi="Times New Roman;serif"/>
          <w:b w:val="false"/>
          <w:color w:val="000000"/>
          <w:sz w:val="24"/>
        </w:rPr>
        <w:t>means CHMI Sub-REIT, Inc., a Maryland corporation.</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the Company or any of its Subsidiaries pursuant to a Company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the Company or any of its Subsidiaries is obligated to a third party to subservice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63"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Takeover Proposal</w:t>
      </w:r>
      <w:r>
        <w:rPr>
          <w:color w:val="000000"/>
        </w:rPr>
        <w:t xml:space="preserve">” </w:t>
      </w:r>
      <w:r>
        <w:rPr>
          <w:rFonts w:ascii="Times New Roman;serif" w:hAnsi="Times New Roman;serif"/>
          <w:b w:val="false"/>
          <w:color w:val="000000"/>
          <w:sz w:val="24"/>
        </w:rPr>
        <w:t>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Termination Fee</w:t>
      </w:r>
      <w:r>
        <w:rPr>
          <w:color w:val="000000"/>
        </w:rPr>
        <w:t xml:space="preserve">” </w:t>
      </w:r>
      <w:r>
        <w:rPr>
          <w:rFonts w:ascii="Times New Roman;serif" w:hAnsi="Times New Roman;serif"/>
          <w:b w:val="false"/>
          <w:color w:val="000000"/>
          <w:sz w:val="24"/>
        </w:rPr>
        <w:t>means an amount equal to $4,700,000.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confidentiality agreement between Parent and the Company, dated as of May 15, 2026.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Continuing Employee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 xml:space="preserve">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Covered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D&amp;O Claim</w:t>
      </w:r>
      <w:r>
        <w:rPr>
          <w:color w:val="000000"/>
          <w:shd w:fill="FFFFFF" w:val="clear"/>
        </w:rPr>
        <w:t xml:space="preserve">” </w:t>
      </w:r>
      <w:r>
        <w:rPr>
          <w:rFonts w:ascii="Times New Roman;serif" w:hAnsi="Times New Roman;serif"/>
          <w:b w:val="false"/>
          <w:color w:val="000000"/>
          <w:sz w:val="24"/>
          <w:shd w:fill="FFFFFF" w:val="clear"/>
        </w:rPr>
        <w:t xml:space="preserve">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64"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Delaware Secretary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2.3(a)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DRULPA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means any change, effect, development, circumstance, event or occurrence.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Enforceability Exceptions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4.2(c)</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 Person, any Person, whether or not incorporated, that together with such Person is treated as a single employer for purposes of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 xml:space="preserve">means 0.3063, as such number may be adjusted from time to time pursuant to and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Facility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Form S-4</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U.S. generally accepted accounting principles, consistently applied.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65"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Governmental Authorization</w:t>
      </w:r>
      <w:r>
        <w:rPr>
          <w:color w:val="000000"/>
          <w:shd w:fill="FFFFFF" w:val="clear"/>
        </w:rPr>
        <w:t xml:space="preserve">” </w:t>
      </w:r>
      <w:r>
        <w:rPr>
          <w:rFonts w:ascii="Times New Roman;serif" w:hAnsi="Times New Roman;serif"/>
          <w:b w:val="false"/>
          <w:color w:val="000000"/>
          <w:sz w:val="24"/>
          <w:shd w:fill="FFFFFF" w:val="clear"/>
        </w:rPr>
        <w:t>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(b) trademarks, service marks, trade dress, trade names, logos and other designations of origin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serif" w:hAnsi="Times New Roman;serif"/>
          <w:b w:val="false"/>
          <w:color w:val="000000"/>
          <w:sz w:val="24"/>
          <w:u w:val="single"/>
        </w:rPr>
        <w:t>Copyrights</w:t>
      </w:r>
      <w:r>
        <w:rPr>
          <w:color w:val="000000"/>
        </w:rPr>
        <w:t>”</w:t>
      </w:r>
      <w:r>
        <w:rPr>
          <w:rFonts w:ascii="Times New Roman;serif" w:hAnsi="Times New Roman;serif"/>
          <w:b w:val="false"/>
          <w:color w:val="000000"/>
          <w:sz w:val="24"/>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(f) other similar or equivalent intellectual property rights anywhere in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Joint Proxy Statement</w:t>
      </w:r>
      <w:r>
        <w:rPr>
          <w:color w:val="000000"/>
        </w:rPr>
        <w:t xml:space="preserve">” </w:t>
      </w:r>
      <w:r>
        <w:rPr>
          <w:rFonts w:ascii="Times New Roman;serif" w:hAnsi="Times New Roman;serif"/>
          <w:b w:val="false"/>
          <w:color w:val="000000"/>
          <w:sz w:val="24"/>
        </w:rPr>
        <w:t>means a joint proxy statement in preliminary and definitive form (as amended or supplemented from time to time) relating to the Company Stockholders Meeting and the Parent Stockholders Meeting.</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Parent</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Parent Disclosure Letter and such knowledge that would be obtained after conducting a reasonable inquiry of the employees with primary responsibility for the relevant subject matter.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of the Company Disclosure Letter and such knowledge that would be obtained after conducting a reasonable inquiry of the employees with primary responsibility for the relevant subject matter.</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Laws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4.14(a)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Leased Real Property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4.16(b)</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66"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M&amp;A Qualified Beneficiary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6.21(f)</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Maryland Department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means the Common Stock Merger Consideration and the Preferred Stock Merger Consideration.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 Sole Member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MGCL</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Minimum Distribution Dividend</w:t>
      </w:r>
      <w:r>
        <w:rPr>
          <w:color w:val="000000"/>
        </w:rPr>
        <w:t xml:space="preserve">” </w:t>
      </w:r>
      <w:r>
        <w:rPr>
          <w:rFonts w:ascii="Times New Roman;serif" w:hAnsi="Times New Roman;serif"/>
          <w:b w:val="false"/>
          <w:color w:val="000000"/>
          <w:sz w:val="24"/>
        </w:rPr>
        <w:t>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Mortgage Loan</w:t>
      </w:r>
      <w:r>
        <w:rPr>
          <w:color w:val="000000"/>
          <w:shd w:fill="FFFFFF" w:val="clear"/>
        </w:rPr>
        <w:t xml:space="preserve">” </w:t>
      </w:r>
      <w:r>
        <w:rPr>
          <w:rFonts w:ascii="Times New Roman;serif" w:hAnsi="Times New Roman;serif"/>
          <w:b w:val="false"/>
          <w:color w:val="000000"/>
          <w:sz w:val="24"/>
          <w:shd w:fill="FFFFFF" w:val="clear"/>
        </w:rPr>
        <w:t>means any mortgage loan, whether in the form of a mortgage, deed of trust or other equivalent security instrument that was obtained for consumer, household or family purposes, including forward and reverse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Multiemployer Plan</w:t>
      </w:r>
      <w:r>
        <w:rPr>
          <w:color w:val="000000"/>
          <w:shd w:fill="FFFFFF" w:val="clear"/>
        </w:rPr>
        <w:t xml:space="preserve">” </w:t>
      </w:r>
      <w:r>
        <w:rPr>
          <w:rFonts w:ascii="Times New Roman;serif" w:hAnsi="Times New Roman;serif"/>
          <w:b w:val="false"/>
          <w:color w:val="000000"/>
          <w:sz w:val="24"/>
          <w:shd w:fill="FFFFFF" w:val="clear"/>
        </w:rPr>
        <w:t>has the meaning set forth in Section 3(37)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67"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NYSE</w:t>
      </w:r>
      <w:r>
        <w:rPr>
          <w:color w:val="000000"/>
        </w:rPr>
        <w:t xml:space="preserve">” </w:t>
      </w:r>
      <w:r>
        <w:rPr>
          <w:rFonts w:ascii="Times New Roman;serif" w:hAnsi="Times New Roman;serif"/>
          <w:b w:val="false"/>
          <w:color w:val="000000"/>
          <w:sz w:val="24"/>
        </w:rPr>
        <w:t>means the New York Stock Exchange.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judgment, injunction, binding ruling, decree or order (whether temporary, preliminary or permanent) issued, adopted, granted, awarded or entered by any Governmental Authority of competent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 Issuance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Intervening Event</w:t>
      </w:r>
      <w:r>
        <w:rPr>
          <w:color w:val="000000"/>
          <w:shd w:fill="FFFFFF" w:val="clear"/>
        </w:rPr>
        <w:t xml:space="preserve">” </w:t>
      </w:r>
      <w:r>
        <w:rPr>
          <w:rFonts w:ascii="Times New Roman;serif" w:hAnsi="Times New Roman;serif"/>
          <w:b w:val="false"/>
          <w:color w:val="000000"/>
          <w:sz w:val="24"/>
          <w:shd w:fill="FFFFFF" w:val="clear"/>
        </w:rPr>
        <w:t xml:space="preserve">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68"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with respect to the foregoing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Manager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Parent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Parent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Parent Common Stock or any change in the credit ratings or ratings outlook for Parent or any of its Subsidiaries, or the availability or cost of equity, debt or other financing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69"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(provided, however, that the underlying causes of any such change referred to in this clause (g)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Parent or any of its Subsidiaries at the written request of the Company or consented to in writing by the Company;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the Company or any of its Subsidiaries or any changes arising therefrom; </w:t>
        <w:br/>
        <w:b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(d)</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(f)</w:t>
      </w:r>
      <w:r>
        <w:rPr>
          <w:color w:val="000000"/>
          <w:shd w:fill="FFFFFF" w:val="clear"/>
        </w:rPr>
        <w:t xml:space="preserve"> </w:t>
      </w:r>
      <w:r>
        <w:rPr>
          <w:rFonts w:ascii="Times New Roman;serif" w:hAnsi="Times New Roman;serif"/>
          <w:b w:val="false"/>
          <w:color w:val="000000"/>
          <w:sz w:val="24"/>
          <w:shd w:fill="FFFFFF" w:val="clear"/>
        </w:rPr>
        <w:t xml:space="preserve">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Contract</w:t>
      </w:r>
      <w:r>
        <w:rPr>
          <w:color w:val="000000"/>
        </w:rPr>
        <w:t xml:space="preserve">” </w:t>
      </w:r>
      <w:r>
        <w:rPr>
          <w:rFonts w:ascii="Times New Roman;serif" w:hAnsi="Times New Roman;serif"/>
          <w:b w:val="false"/>
          <w:color w:val="000000"/>
          <w:sz w:val="24"/>
        </w:rPr>
        <w:t>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70"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8.3(h)(i)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A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B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C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D Cumulative Redeemable Preferred Stock</w:t>
      </w:r>
      <w:r>
        <w:rPr>
          <w:color w:val="000000"/>
        </w:rPr>
        <w:t xml:space="preserve">” </w:t>
      </w:r>
      <w:r>
        <w:rPr>
          <w:rFonts w:ascii="Times New Roman;serif" w:hAnsi="Times New Roman;serif"/>
          <w:b w:val="false"/>
          <w:color w:val="000000"/>
          <w:sz w:val="24"/>
        </w:rPr>
        <w:t xml:space="preserve">means Parent’s 8.20% Series D Cumulative Redeemable Preferred Stock set forth in the articles supplementary substantially in the form attached hereto as </w:t>
      </w:r>
      <w:r>
        <w:rPr>
          <w:rFonts w:ascii="Times New Roman;serif" w:hAnsi="Times New Roman;serif"/>
          <w:b w:val="false"/>
          <w:color w:val="000000"/>
          <w:sz w:val="24"/>
          <w:u w:val="single"/>
        </w:rPr>
        <w:t>Annex A</w:t>
      </w:r>
      <w:r>
        <w:rPr>
          <w:rFonts w:ascii="Times New Roman;serif" w:hAnsi="Times New Roman;serif"/>
          <w:b w:val="false"/>
          <w:color w:val="000000"/>
          <w:sz w:val="24"/>
        </w:rPr>
        <w:t>, having the rights, preferences, privileges and voting powers substantially the same as those of the Company Series A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E Cumulative Redeemable Preferred Stock</w:t>
      </w:r>
      <w:r>
        <w:rPr>
          <w:color w:val="000000"/>
        </w:rPr>
        <w:t xml:space="preserve">” </w:t>
      </w:r>
      <w:r>
        <w:rPr>
          <w:rFonts w:ascii="Times New Roman;serif" w:hAnsi="Times New Roman;serif"/>
          <w:b w:val="false"/>
          <w:color w:val="000000"/>
          <w:sz w:val="24"/>
        </w:rPr>
        <w:t xml:space="preserve">means Parent’s Series E Floating Rate Cumulative Redeemable Preferred Stock, with the terms of the Parent Series E Cumulative Redeemable Preferred Stock set forth in the articles supplementary substantially in the form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having the rights, preferences, privileges and voting powers substantially the same as those of the Company Series B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Serviced Mortgage Loan</w:t>
      </w:r>
      <w:r>
        <w:rPr>
          <w:color w:val="000000"/>
        </w:rPr>
        <w:t xml:space="preserve">” </w:t>
      </w:r>
      <w:r>
        <w:rPr>
          <w:rFonts w:ascii="Times New Roman;serif" w:hAnsi="Times New Roman;serif"/>
          <w:b w:val="false"/>
          <w:color w:val="000000"/>
          <w:sz w:val="24"/>
        </w:rPr>
        <w:t>means any Mortgage Loan serviced by Parent or any of its Subsidiaries pursuant to a Parent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Parent Servicing Agreement</w:t>
      </w:r>
      <w:r>
        <w:rPr>
          <w:color w:val="000000"/>
        </w:rPr>
        <w:t xml:space="preserve">” </w:t>
      </w:r>
      <w:r>
        <w:rPr>
          <w:rFonts w:ascii="Times New Roman;serif" w:hAnsi="Times New Roman;serif"/>
          <w:b w:val="false"/>
          <w:color w:val="000000"/>
          <w:sz w:val="24"/>
        </w:rPr>
        <w:t>means any Contract pursuant to which Parent or any of its Subsidiaries is obligated to a Governmental Authority to 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71"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 Approval</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5.2(b)</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Stockholders Meeting</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Parent or any of its Subsidiaries pursuant to a Parent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Parent or any of its Subsidiaries is obligated to a third party to subservice or administer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Superior Proposal</w:t>
      </w:r>
      <w:r>
        <w:rPr>
          <w:color w:val="000000"/>
          <w:shd w:fill="FFFFFF" w:val="clear"/>
        </w:rPr>
        <w:t xml:space="preserve">” </w:t>
      </w:r>
      <w:r>
        <w:rPr>
          <w:rFonts w:ascii="Times New Roman;serif" w:hAnsi="Times New Roman;serif"/>
          <w:b w:val="false"/>
          <w:color w:val="000000"/>
          <w:sz w:val="24"/>
          <w:shd w:fill="FFFFFF" w:val="clear"/>
        </w:rPr>
        <w:t xml:space="preserve">means a </w:t>
      </w:r>
      <w:r>
        <w:rPr>
          <w:rFonts w:ascii="Times New Roman;serif" w:hAnsi="Times New Roman;serif"/>
          <w:b w:val="false"/>
          <w:i/>
          <w:color w:val="000000"/>
          <w:sz w:val="24"/>
          <w:shd w:fill="FFFFFF" w:val="clear"/>
        </w:rPr>
        <w:t>bona fide</w:t>
      </w:r>
      <w:r>
        <w:rPr>
          <w:rFonts w:ascii="Times New Roman;serif" w:hAnsi="Times New Roman;serif"/>
          <w:b w:val="false"/>
          <w:color w:val="000000"/>
          <w:sz w:val="24"/>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Takeover Proposal</w:t>
      </w:r>
      <w:r>
        <w:rPr>
          <w:color w:val="000000"/>
          <w:shd w:fill="FFFFFF" w:val="clear"/>
        </w:rPr>
        <w:t xml:space="preserve">” </w:t>
      </w:r>
      <w:r>
        <w:rPr>
          <w:rFonts w:ascii="Times New Roman;serif" w:hAnsi="Times New Roman;serif"/>
          <w:b w:val="false"/>
          <w:color w:val="000000"/>
          <w:sz w:val="24"/>
          <w:shd w:fill="FFFFFF" w:val="clear"/>
        </w:rPr>
        <w:t>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Termination Fee</w:t>
      </w:r>
      <w:r>
        <w:rPr>
          <w:color w:val="000000"/>
          <w:shd w:fill="FFFFFF" w:val="clear"/>
        </w:rPr>
        <w:t xml:space="preserve">” </w:t>
      </w:r>
      <w:r>
        <w:rPr>
          <w:rFonts w:ascii="Times New Roman;serif" w:hAnsi="Times New Roman;serif"/>
          <w:b w:val="false"/>
          <w:color w:val="000000"/>
          <w:sz w:val="24"/>
          <w:shd w:fill="FFFFFF" w:val="clear"/>
        </w:rPr>
        <w:t>means an amount equal to $7,990,000.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“Intellectual Property.”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Payroll Provider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3.1(c)(iv)</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72"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PEO</w:t>
      </w:r>
      <w:r>
        <w:rPr>
          <w:color w:val="000000"/>
        </w:rPr>
        <w:t xml:space="preserve">” </w:t>
      </w:r>
      <w:r>
        <w:rPr>
          <w:rFonts w:ascii="Times New Roman;serif" w:hAnsi="Times New Roman;serif"/>
          <w:b w:val="false"/>
          <w:color w:val="000000"/>
          <w:sz w:val="24"/>
        </w:rPr>
        <w:t>means Automatic Data Processing, Inc.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PEO Benefit Plan</w:t>
      </w:r>
      <w:r>
        <w:rPr>
          <w:color w:val="000000"/>
        </w:rPr>
        <w:t xml:space="preserve">” </w:t>
      </w:r>
      <w:r>
        <w:rPr>
          <w:rFonts w:ascii="Times New Roman;serif" w:hAnsi="Times New Roman;serif"/>
          <w:b w:val="false"/>
          <w:color w:val="000000"/>
          <w:sz w:val="24"/>
        </w:rPr>
        <w:t>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 Share Additional Manager Consideration</w:t>
      </w:r>
      <w:r>
        <w:rPr>
          <w:color w:val="000000"/>
        </w:rPr>
        <w:t xml:space="preserve">” </w:t>
      </w:r>
      <w:r>
        <w:rPr>
          <w:rFonts w:ascii="Times New Roman;serif" w:hAnsi="Times New Roman;serif"/>
          <w:b w:val="false"/>
          <w:color w:val="000000"/>
          <w:sz w:val="24"/>
        </w:rPr>
        <w:t>means $0.52 in cash.</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Cash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Stock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Performance Payout Percentage</w:t>
      </w:r>
      <w:r>
        <w:rPr>
          <w:color w:val="000000"/>
        </w:rPr>
        <w:t xml:space="preserve">” </w:t>
      </w:r>
      <w:r>
        <w:rPr>
          <w:rFonts w:ascii="Times New Roman;serif" w:hAnsi="Times New Roman;serif"/>
          <w:b w:val="false"/>
          <w:color w:val="000000"/>
          <w:sz w:val="24"/>
        </w:rPr>
        <w:t>has the meaning set forth in the applicable grant agreement for the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partnership, joint venture, trust, association, estate, joint stock company, limited liability company, Governmental Authority or any other organization or entity of any kind.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Preferred Stock Merger Consideration</w:t>
      </w:r>
      <w:r>
        <w:rPr>
          <w:color w:val="000000"/>
        </w:rPr>
        <w:t xml:space="preserve">” </w:t>
      </w:r>
      <w:r>
        <w:rPr>
          <w:rFonts w:ascii="Times New Roman;serif" w:hAnsi="Times New Roman;serif"/>
          <w:b w:val="false"/>
          <w:color w:val="000000"/>
          <w:sz w:val="24"/>
        </w:rPr>
        <w:t>means the Series A Preferred Stock Merger Consideration and the Series B Preferred Stock Merger Consideration, as applicable.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Proxy Statement/Prospectus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Qualified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Real Property 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REIT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 Person, such Person’s directors, officers, employees, investment bankers, attorneys, accountants and other advisors or representatives.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73"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Notifications</w:t>
      </w:r>
      <w:r>
        <w:rPr>
          <w:color w:val="000000"/>
        </w:rPr>
        <w:t xml:space="preserve">” </w:t>
      </w:r>
      <w:r>
        <w:rPr>
          <w:rFonts w:ascii="Times New Roman;serif" w:hAnsi="Times New Roman;serif"/>
          <w:b w:val="false"/>
          <w:color w:val="000000"/>
          <w:sz w:val="24"/>
        </w:rPr>
        <w:t xml:space="preserve">means the pre-Closing notification filings to be made with any Governmental Authority under applicable Law in connection with the consummation of the Transactions set forth on </w:t>
      </w:r>
      <w:r>
        <w:rPr>
          <w:rFonts w:ascii="Times New Roman;serif" w:hAnsi="Times New Roman;serif"/>
          <w:b w:val="false"/>
          <w:color w:val="000000"/>
          <w:sz w:val="24"/>
          <w:u w:val="single"/>
        </w:rPr>
        <w:t>Section 1.1(d)</w:t>
      </w:r>
      <w:r>
        <w:rPr>
          <w:color w:val="000000"/>
        </w:rPr>
        <w:t xml:space="preserve"> </w:t>
      </w:r>
      <w:r>
        <w:rPr>
          <w:rFonts w:ascii="Times New Roman;serif" w:hAnsi="Times New Roman;serif"/>
          <w:b w:val="false"/>
          <w:color w:val="000000"/>
          <w:sz w:val="24"/>
        </w:rPr>
        <w:t>of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Articles Supplementary</w:t>
      </w:r>
      <w:r>
        <w:rPr>
          <w:color w:val="000000"/>
        </w:rPr>
        <w:t xml:space="preserve">” </w:t>
      </w:r>
      <w:r>
        <w:rPr>
          <w:rFonts w:ascii="Times New Roman;serif" w:hAnsi="Times New Roman;serif"/>
          <w:b w:val="false"/>
          <w:color w:val="000000"/>
          <w:sz w:val="24"/>
        </w:rPr>
        <w:t>means the Articles Supplementary designating the Series A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Articles Supplementary</w:t>
      </w:r>
      <w:r>
        <w:rPr>
          <w:color w:val="000000"/>
        </w:rPr>
        <w:t xml:space="preserve">” </w:t>
      </w:r>
      <w:r>
        <w:rPr>
          <w:rFonts w:ascii="Times New Roman;serif" w:hAnsi="Times New Roman;serif"/>
          <w:b w:val="false"/>
          <w:color w:val="000000"/>
          <w:sz w:val="24"/>
        </w:rPr>
        <w:t>means the Articles Supplementary designating the Series B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 xml:space="preserve">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Support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Takeover Law</w:t>
      </w:r>
      <w:r>
        <w:rPr>
          <w:color w:val="000000"/>
        </w:rPr>
        <w:t xml:space="preserve">” </w:t>
      </w:r>
      <w:r>
        <w:rPr>
          <w:rFonts w:ascii="Times New Roman;serif" w:hAnsi="Times New Roman;serif"/>
          <w:b w:val="false"/>
          <w:color w:val="000000"/>
          <w:sz w:val="24"/>
        </w:rPr>
        <w:t>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all U.S. federal, state, local or foreign taxes, imposts, levies or other similar assessments, including any net income, capital gains, gross income, gross receipts, sales, use,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74"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transfer, </w:t>
      </w:r>
      <w:r>
        <w:rPr>
          <w:rFonts w:ascii="Times New Roman;serif" w:hAnsi="Times New Roman;serif"/>
          <w:b w:val="false"/>
          <w:i/>
          <w:color w:val="000000"/>
          <w:sz w:val="24"/>
        </w:rPr>
        <w:t>ad valorem</w:t>
      </w:r>
      <w:r>
        <w:rPr>
          <w:rFonts w:ascii="Times New Roman;serif" w:hAnsi="Times New Roman;serif"/>
          <w:b w:val="false"/>
          <w:color w:val="000000"/>
          <w:sz w:val="24"/>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Taxable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or the imposition of any Tax.</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Expenses and Interest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8.3(e)</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Transactions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Transfer Taxes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8.2(b)</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as such regulations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MERGERS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2.1.    </w:t>
      </w:r>
      <w:r>
        <w:rPr>
          <w:rFonts w:ascii="Times New Roman;serif" w:hAnsi="Times New Roman;serif"/>
          <w:b w:val="false"/>
          <w:color w:val="000000"/>
          <w:sz w:val="24"/>
          <w:u w:val="single"/>
          <w:shd w:fill="FFFFFF" w:val="clear"/>
        </w:rPr>
        <w:t>Mergers</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serif" w:hAnsi="Times New Roman;serif"/>
          <w:b w:val="false"/>
          <w:color w:val="000000"/>
          <w:sz w:val="24"/>
          <w:u w:val="single"/>
          <w:shd w:fill="FFFFFF" w:val="clear"/>
        </w:rPr>
        <w:t>Surviving Corporation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75"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serif" w:hAnsi="Times New Roman;serif"/>
          <w:b w:val="false"/>
          <w:color w:val="000000"/>
          <w:sz w:val="24"/>
          <w:u w:val="single"/>
          <w:shd w:fill="FFFFFF" w:val="clear"/>
        </w:rPr>
        <w:t>Surviving Entity</w:t>
      </w:r>
      <w:r>
        <w:rPr>
          <w:color w:val="000000"/>
          <w:shd w:fill="FFFFFF" w:val="clear"/>
        </w:rPr>
        <w:t>”</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2.2.    </w:t>
      </w:r>
      <w:r>
        <w:rPr>
          <w:rFonts w:ascii="Times New Roman;serif" w:hAnsi="Times New Roman;serif"/>
          <w:b w:val="false"/>
          <w:color w:val="000000"/>
          <w:sz w:val="24"/>
          <w:u w:val="single"/>
          <w:shd w:fill="FFFFFF" w:val="clear"/>
        </w:rPr>
        <w:t>Closing</w:t>
      </w:r>
      <w:r>
        <w:rPr>
          <w:rFonts w:ascii="Times New Roman;serif" w:hAnsi="Times New Roman;serif"/>
          <w:b w:val="false"/>
          <w:color w:val="000000"/>
          <w:sz w:val="24"/>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serif" w:hAnsi="Times New Roman;serif"/>
          <w:b w:val="false"/>
          <w:color w:val="000000"/>
          <w:sz w:val="24"/>
          <w:u w:val="single"/>
          <w:shd w:fill="FFFFFF" w:val="clear"/>
        </w:rPr>
        <w:t>Closing Date</w:t>
      </w:r>
      <w:r>
        <w:rPr>
          <w:rFonts w:ascii="Times New Roman;serif" w:hAnsi="Times New Roman;serif"/>
          <w:b w:val="false"/>
          <w:color w:val="000000"/>
          <w:sz w:val="24"/>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2.3.    </w:t>
      </w:r>
      <w:r>
        <w:rPr>
          <w:rFonts w:ascii="Times New Roman;serif" w:hAnsi="Times New Roman;serif"/>
          <w:b w:val="false"/>
          <w:color w:val="000000"/>
          <w:sz w:val="24"/>
          <w:u w:val="single"/>
          <w:shd w:fill="FFFFFF" w:val="clear"/>
        </w:rPr>
        <w:t>Effective Times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soon as practicable on the Closing Date, Parent, the Company and the Company Operating Partnership shall (i) cause the Partnership Merger to be consummated by filing with the Secretary of State of the State of Delaware (the “</w:t>
      </w:r>
      <w:r>
        <w:rPr>
          <w:rFonts w:ascii="Times New Roman;serif" w:hAnsi="Times New Roman;serif"/>
          <w:b w:val="false"/>
          <w:color w:val="000000"/>
          <w:sz w:val="24"/>
          <w:u w:val="single"/>
          <w:shd w:fill="FFFFFF" w:val="clear"/>
        </w:rPr>
        <w:t>Delaware Secretary</w:t>
      </w:r>
      <w:r>
        <w:rPr>
          <w:color w:val="000000"/>
          <w:shd w:fill="FFFFFF" w:val="clear"/>
        </w:rPr>
        <w:t>”</w:t>
      </w:r>
      <w:r>
        <w:rPr>
          <w:rFonts w:ascii="Times New Roman;serif" w:hAnsi="Times New Roman;serif"/>
          <w:b w:val="false"/>
          <w:color w:val="000000"/>
          <w:sz w:val="24"/>
          <w:shd w:fill="FFFFFF" w:val="clear"/>
        </w:rPr>
        <w:t>) of a certificate of merger (the “</w:t>
      </w:r>
      <w:r>
        <w:rPr>
          <w:rFonts w:ascii="Times New Roman;serif" w:hAnsi="Times New Roman;serif"/>
          <w:b w:val="false"/>
          <w:color w:val="000000"/>
          <w:sz w:val="24"/>
          <w:u w:val="single"/>
          <w:shd w:fill="FFFFFF" w:val="clear"/>
        </w:rPr>
        <w:t>Partnership Certificate of Merger</w:t>
      </w:r>
      <w:r>
        <w:rPr>
          <w:color w:val="000000"/>
          <w:shd w:fill="FFFFFF" w:val="clear"/>
        </w:rPr>
        <w:t>”</w:t>
      </w:r>
      <w:r>
        <w:rPr>
          <w:rFonts w:ascii="Times New Roman;serif" w:hAnsi="Times New Roman;serif"/>
          <w:b w:val="false"/>
          <w:color w:val="000000"/>
          <w:sz w:val="24"/>
          <w:shd w:fill="FFFFFF" w:val="clear"/>
        </w:rPr>
        <w:t>) and by filing with the State Department of Assessments and Taxation of Maryland (the “Maryland Department”) articles of merger (the “</w:t>
      </w:r>
      <w:r>
        <w:rPr>
          <w:rFonts w:ascii="Times New Roman;serif" w:hAnsi="Times New Roman;serif"/>
          <w:b w:val="false"/>
          <w:color w:val="000000"/>
          <w:sz w:val="24"/>
          <w:u w:val="single"/>
          <w:shd w:fill="FFFFFF" w:val="clear"/>
        </w:rPr>
        <w:t>Partnership Articles of Merger</w:t>
      </w:r>
      <w:r>
        <w:rPr>
          <w:color w:val="000000"/>
          <w:shd w:fill="FFFFFF" w:val="clear"/>
        </w:rPr>
        <w:t>”</w:t>
      </w:r>
      <w:r>
        <w:rPr>
          <w:rFonts w:ascii="Times New Roman;serif" w:hAnsi="Times New Roman;serif"/>
          <w:b w:val="false"/>
          <w:color w:val="000000"/>
          <w:sz w:val="24"/>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serif" w:hAnsi="Times New Roman;serif"/>
          <w:b w:val="false"/>
          <w:color w:val="000000"/>
          <w:sz w:val="24"/>
          <w:u w:val="single"/>
          <w:shd w:fill="FFFFFF" w:val="clear"/>
        </w:rPr>
        <w:t>Partnership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Partnership Merger Effective Time to occur immediately prior to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On the Closing Date, Parent, the Company and Merger Sub shall (i) cause the Company Merger to be consummated by filing with the Delaware Secretary of a certificate of merger (the “</w:t>
      </w:r>
      <w:r>
        <w:rPr>
          <w:rFonts w:ascii="Times New Roman;serif" w:hAnsi="Times New Roman;serif"/>
          <w:b w:val="false"/>
          <w:color w:val="000000"/>
          <w:sz w:val="24"/>
          <w:u w:val="single"/>
          <w:shd w:fill="FFFFFF" w:val="clear"/>
        </w:rPr>
        <w:t>Certificate of Merger</w:t>
      </w:r>
      <w:r>
        <w:rPr>
          <w:color w:val="000000"/>
          <w:shd w:fill="FFFFFF" w:val="clear"/>
        </w:rPr>
        <w:t>”</w:t>
      </w:r>
      <w:r>
        <w:rPr>
          <w:rFonts w:ascii="Times New Roman;serif" w:hAnsi="Times New Roman;serif"/>
          <w:b w:val="false"/>
          <w:color w:val="000000"/>
          <w:sz w:val="24"/>
          <w:shd w:fill="FFFFFF" w:val="clear"/>
        </w:rPr>
        <w:t>) and by filing with the Maryland Department articles of merger (the “</w:t>
      </w:r>
      <w:r>
        <w:rPr>
          <w:rFonts w:ascii="Times New Roman;serif" w:hAnsi="Times New Roman;serif"/>
          <w:b w:val="false"/>
          <w:color w:val="000000"/>
          <w:sz w:val="24"/>
          <w:u w:val="single"/>
          <w:shd w:fill="FFFFFF" w:val="clear"/>
        </w:rPr>
        <w:t>Articles of Merger</w:t>
      </w:r>
      <w:r>
        <w:rPr>
          <w:color w:val="000000"/>
          <w:shd w:fill="FFFFFF" w:val="clear"/>
        </w:rPr>
        <w:t xml:space="preserve">” </w:t>
      </w:r>
      <w:r>
        <w:rPr>
          <w:rFonts w:ascii="Times New Roman;serif" w:hAnsi="Times New Roman;serif"/>
          <w:b w:val="false"/>
          <w:color w:val="000000"/>
          <w:sz w:val="24"/>
          <w:shd w:fill="FFFFFF" w:val="clear"/>
        </w:rPr>
        <w:t>and, together with the Partnership Certificate of Merger, the Partnership Articles of Merger and the Certificate of Merger, the “</w:t>
      </w:r>
      <w:r>
        <w:rPr>
          <w:rFonts w:ascii="Times New Roman;serif" w:hAnsi="Times New Roman;serif"/>
          <w:b w:val="false"/>
          <w:color w:val="000000"/>
          <w:sz w:val="24"/>
          <w:u w:val="single"/>
          <w:shd w:fill="FFFFFF" w:val="clear"/>
        </w:rPr>
        <w:t>Merger Filings</w:t>
      </w:r>
      <w:r>
        <w:rPr>
          <w:color w:val="000000"/>
          <w:shd w:fill="FFFFFF" w:val="clear"/>
        </w:rPr>
        <w:t>”</w:t>
      </w:r>
      <w:r>
        <w:rPr>
          <w:rFonts w:ascii="Times New Roman;serif" w:hAnsi="Times New Roman;serif"/>
          <w:b w:val="false"/>
          <w:color w:val="000000"/>
          <w:sz w:val="24"/>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serif" w:hAnsi="Times New Roman;serif"/>
          <w:b w:val="false"/>
          <w:color w:val="000000"/>
          <w:sz w:val="24"/>
          <w:u w:val="single"/>
          <w:shd w:fill="FFFFFF" w:val="clear"/>
        </w:rPr>
        <w:t>Company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Company Merger Effective Time to occur immediately after the Partnership Merger Effective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2.4.    </w:t>
      </w:r>
      <w:r>
        <w:rPr>
          <w:rFonts w:ascii="Times New Roman;serif" w:hAnsi="Times New Roman;serif"/>
          <w:b w:val="false"/>
          <w:color w:val="000000"/>
          <w:sz w:val="24"/>
          <w:u w:val="single"/>
          <w:shd w:fill="FFFFFF" w:val="clear"/>
        </w:rPr>
        <w:t>Effects of the Mergers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76"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2.5.    </w:t>
      </w:r>
      <w:r>
        <w:rPr>
          <w:rFonts w:ascii="Times New Roman;serif" w:hAnsi="Times New Roman;serif"/>
          <w:b w:val="false"/>
          <w:color w:val="000000"/>
          <w:sz w:val="24"/>
          <w:u w:val="single"/>
          <w:shd w:fill="FFFFFF" w:val="clear"/>
        </w:rPr>
        <w:t>Organizational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2.6.    </w:t>
      </w:r>
      <w:r>
        <w:rPr>
          <w:rFonts w:ascii="Times New Roman;serif" w:hAnsi="Times New Roman;serif"/>
          <w:b w:val="false"/>
          <w:color w:val="000000"/>
          <w:sz w:val="24"/>
          <w:u w:val="single"/>
          <w:shd w:fill="FFFFFF" w:val="clear"/>
        </w:rPr>
        <w:t>Directors and Officers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2.7.    </w:t>
      </w:r>
      <w:r>
        <w:rPr>
          <w:rFonts w:ascii="Times New Roman;serif" w:hAnsi="Times New Roman;serif"/>
          <w:b w:val="false"/>
          <w:color w:val="000000"/>
          <w:sz w:val="24"/>
          <w:u w:val="single"/>
          <w:shd w:fill="FFFFFF" w:val="clear"/>
        </w:rPr>
        <w:t>Directors of Parent</w:t>
      </w:r>
      <w:r>
        <w:rPr>
          <w:rFonts w:ascii="Times New Roman;serif" w:hAnsi="Times New Roman;serif"/>
          <w:b w:val="false"/>
          <w:color w:val="000000"/>
          <w:sz w:val="24"/>
          <w:shd w:fill="FFFFFF" w:val="clear"/>
        </w:rPr>
        <w:t xml:space="preserve">. Prior to the Company Merger Effective Time, Parent shall take all necessary corporate action so that upon and immediately after the Company Merger Effective Time, (a) the size of the Parent Board is increased by two (2) members and (b) two (2)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77"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members of the Company Board designated by the Company no later than twenty (20) Business Days prior to the Closing Date shall be appointed to the Parent Board (each, a “</w:t>
      </w:r>
      <w:r>
        <w:rPr>
          <w:rFonts w:ascii="Times New Roman;serif" w:hAnsi="Times New Roman;serif"/>
          <w:b w:val="false"/>
          <w:color w:val="000000"/>
          <w:sz w:val="24"/>
          <w:u w:val="single"/>
          <w:shd w:fill="FFFFFF" w:val="clear"/>
        </w:rPr>
        <w:t>Company Director Designee</w:t>
      </w:r>
      <w:r>
        <w:rPr>
          <w:color w:val="000000"/>
          <w:shd w:fill="FFFFFF" w:val="clear"/>
        </w:rPr>
        <w:t>”</w:t>
      </w:r>
      <w:r>
        <w:rPr>
          <w:rFonts w:ascii="Times New Roman;serif" w:hAnsi="Times New Roman;serif"/>
          <w:b w:val="false"/>
          <w:color w:val="000000"/>
          <w:sz w:val="24"/>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serif" w:hAnsi="Times New Roman;serif"/>
          <w:b w:val="false"/>
          <w:color w:val="000000"/>
          <w:sz w:val="24"/>
          <w:u w:val="single"/>
          <w:shd w:fill="FFFFFF" w:val="clear"/>
        </w:rPr>
        <w:t>Section 2.7</w:t>
      </w:r>
      <w:r>
        <w:rPr>
          <w:color w:val="000000"/>
          <w:shd w:fill="FFFFFF" w:val="clear"/>
        </w:rPr>
        <w:t xml:space="preserve"> </w:t>
      </w:r>
      <w:r>
        <w:rPr>
          <w:rFonts w:ascii="Times New Roman;serif" w:hAnsi="Times New Roman;serif"/>
          <w:b w:val="false"/>
          <w:color w:val="000000"/>
          <w:sz w:val="24"/>
          <w:shd w:fill="FFFFFF" w:val="clear"/>
        </w:rPr>
        <w:t xml:space="preserve">are intended to be for the benefit of, and shall be enforceable by, the Company Director Designees.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2.8.    </w:t>
      </w:r>
      <w:r>
        <w:rPr>
          <w:rFonts w:ascii="Times New Roman;serif" w:hAnsi="Times New Roman;serif"/>
          <w:b w:val="false"/>
          <w:color w:val="000000"/>
          <w:sz w:val="24"/>
          <w:u w:val="single"/>
          <w:shd w:fill="FFFFFF" w:val="clear"/>
        </w:rPr>
        <w:t>Tax Consequences</w:t>
      </w:r>
      <w:r>
        <w:rPr>
          <w:rFonts w:ascii="Times New Roman;serif" w:hAnsi="Times New Roman;serif"/>
          <w:b w:val="false"/>
          <w:color w:val="000000"/>
          <w:sz w:val="24"/>
          <w:shd w:fill="FFFFFF" w:val="clear"/>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III</w:t>
        <w:br/>
        <w:br/>
      </w:r>
      <w:r>
        <w:rPr>
          <w:rFonts w:ascii="Times New Roman;serif" w:hAnsi="Times New Roman;serif"/>
          <w:b w:val="false"/>
          <w:color w:val="000000"/>
          <w:sz w:val="24"/>
          <w:shd w:fill="FFFFFF" w:val="clear"/>
        </w:rPr>
        <w:t>CONVERSION OF SHARES, UNITS AND AWARDS;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3.1.    </w:t>
      </w:r>
      <w:r>
        <w:rPr>
          <w:rFonts w:ascii="Times New Roman;serif" w:hAnsi="Times New Roman;serif"/>
          <w:b w:val="false"/>
          <w:color w:val="000000"/>
          <w:sz w:val="24"/>
          <w:u w:val="single"/>
          <w:shd w:fill="FFFFFF" w:val="clear"/>
        </w:rPr>
        <w:t>Treatment of Merger Sub Units, Company Common Stock, Company Preferred Stock and Company Equity Awards</w:t>
      </w:r>
      <w:r>
        <w:rPr>
          <w:rFonts w:ascii="Times New Roman;serif" w:hAnsi="Times New Roman;serif"/>
          <w:b w:val="false"/>
          <w:color w:val="000000"/>
          <w:sz w:val="24"/>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Conversion of Merger Sub Units</w:t>
      </w:r>
      <w:r>
        <w:rPr>
          <w:rFonts w:ascii="Times New Roman;serif" w:hAnsi="Times New Roman;serif"/>
          <w:b w:val="false"/>
          <w:color w:val="000000"/>
          <w:sz w:val="24"/>
          <w:shd w:fill="FFFFFF" w:val="clear"/>
        </w:rPr>
        <w:t xml:space="preserve">. Each unit of Merger Sub issued and outstanding immediately prior to the Company Merger Effective Time shall remain outstanding as one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78"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validly issued, fully paid and non-assessable unit of the Surviving Entity, and shall constitute the only issued or outstanding shares of equity securities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Treatment of Company Common Stock and Company Preferred Stock</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    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serif" w:hAnsi="Times New Roman;serif"/>
          <w:b w:val="false"/>
          <w:color w:val="000000"/>
          <w:sz w:val="24"/>
          <w:u w:val="single"/>
        </w:rPr>
        <w:t>Per Share Parent Stock Consideration</w:t>
      </w:r>
      <w:r>
        <w:rPr>
          <w:color w:val="000000"/>
        </w:rPr>
        <w:t>”</w:t>
      </w:r>
      <w:r>
        <w:rPr>
          <w:rFonts w:ascii="Times New Roman;serif" w:hAnsi="Times New Roman;serif"/>
          <w:b w:val="false"/>
          <w:color w:val="000000"/>
          <w:sz w:val="24"/>
        </w:rPr>
        <w:t>), and (B) $0.41 per share in cash, without interest (the “</w:t>
      </w:r>
      <w:r>
        <w:rPr>
          <w:rFonts w:ascii="Times New Roman;serif" w:hAnsi="Times New Roman;serif"/>
          <w:b w:val="false"/>
          <w:color w:val="000000"/>
          <w:sz w:val="24"/>
          <w:u w:val="single"/>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val="false"/>
          <w:color w:val="000000"/>
          <w:sz w:val="24"/>
          <w:u w:val="single"/>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the Per Share Additional Manager Consideration (as used in this Agreement, the “</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means the Per Share Parent Consideration and the Per Share Additional Manager Consideration). All such shares of Company Common Stock, when so converted pursuant to this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serif" w:hAnsi="Times New Roman;serif"/>
          <w:b w:val="false"/>
          <w:color w:val="000000"/>
          <w:sz w:val="24"/>
          <w:u w:val="single"/>
        </w:rPr>
        <w:t>Section 3.4(g)</w:t>
      </w:r>
      <w:r>
        <w:rPr>
          <w:color w:val="000000"/>
        </w:rPr>
        <w:t xml:space="preserve"> </w:t>
      </w:r>
      <w:r>
        <w:rPr>
          <w:rFonts w:ascii="Times New Roman;serif" w:hAnsi="Times New Roman;serif"/>
          <w:b w:val="false"/>
          <w:color w:val="000000"/>
          <w:sz w:val="24"/>
        </w:rPr>
        <w:t xml:space="preserve">and (z) any cash to be paid in lieu of any fractional shares of Parent Common Stock in accordance with </w:t>
      </w:r>
      <w:r>
        <w:rPr>
          <w:rFonts w:ascii="Times New Roman;serif" w:hAnsi="Times New Roman;serif"/>
          <w:b w:val="false"/>
          <w:color w:val="000000"/>
          <w:sz w:val="24"/>
          <w:u w:val="single"/>
        </w:rPr>
        <w:t>Section 3.4(h)</w:t>
      </w:r>
      <w:r>
        <w:rPr>
          <w:rFonts w:ascii="Times New Roman;serif" w:hAnsi="Times New Roman;serif"/>
          <w:b w:val="false"/>
          <w:color w:val="000000"/>
          <w:sz w:val="24"/>
        </w:rPr>
        <w:t xml:space="preserve">, in each case, to be issued or paid in consideration therefor upon the surrender of any Book-Entry Shares or certificates, as applicable,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Each share of Company Common Stock and Company Preferred Stock held by the Company, Parent or any direct or indirect Subsidiary of Parent or the Company, in each case, immediately prior to the Company Merger Effective Time (the “</w:t>
      </w:r>
      <w:r>
        <w:rPr>
          <w:rFonts w:ascii="Times New Roman;serif" w:hAnsi="Times New Roman;serif"/>
          <w:b w:val="false"/>
          <w:color w:val="000000"/>
          <w:sz w:val="24"/>
          <w:u w:val="single"/>
        </w:rPr>
        <w:t>Canceled Shares</w:t>
      </w:r>
      <w:r>
        <w:rPr>
          <w:color w:val="000000"/>
        </w:rPr>
        <w:t>”</w:t>
      </w:r>
      <w:r>
        <w:rPr>
          <w:rFonts w:ascii="Times New Roman;serif" w:hAnsi="Times New Roman;serif"/>
          <w:b w:val="false"/>
          <w:color w:val="000000"/>
          <w:sz w:val="24"/>
        </w:rPr>
        <w:t>), shall automatically be cancelled and retired and shall cease to exist as of the Company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    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serif" w:hAnsi="Times New Roman;serif"/>
          <w:b w:val="false"/>
          <w:color w:val="000000"/>
          <w:sz w:val="24"/>
          <w:u w:val="single"/>
        </w:rPr>
        <w:t>Series A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(iv)    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serif" w:hAnsi="Times New Roman;serif"/>
          <w:b w:val="false"/>
          <w:color w:val="000000"/>
          <w:sz w:val="24"/>
          <w:u w:val="single"/>
        </w:rPr>
        <w:t>Series B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All shares of Company Preferred Stock, when so converted pursuant to </w:t>
      </w:r>
      <w:r>
        <w:rPr>
          <w:rFonts w:ascii="Times New Roman;serif" w:hAnsi="Times New Roman;serif"/>
          <w:b w:val="false"/>
          <w:color w:val="000000"/>
          <w:sz w:val="24"/>
          <w:u w:val="single"/>
        </w:rPr>
        <w:t>Section 3.1(b)(iii)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79"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Treatment of Company Equity Awards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    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    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(iii)    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w:t>
      </w:r>
      <w:r>
        <w:rPr>
          <w:rFonts w:ascii="Times New Roman;serif" w:hAnsi="Times New Roman;serif"/>
          <w:b w:val="false"/>
          <w:color w:val="000000"/>
          <w:sz w:val="24"/>
        </w:rPr>
        <w:t xml:space="preserve">Common Stock Merger Consideration 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rPr>
        <w:t xml:space="preserve">. For the avoidance of doubt, any amounts relating to dividend equivalent rights, if any,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280"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(iv)    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serif" w:hAnsi="Times New Roman;serif"/>
          <w:b w:val="false"/>
          <w:color w:val="000000"/>
          <w:sz w:val="24"/>
          <w:u w:val="single"/>
          <w:shd w:fill="FFFFFF" w:val="clear"/>
        </w:rPr>
        <w:t>Payroll Provider</w:t>
      </w:r>
      <w:r>
        <w:rPr>
          <w:color w:val="000000"/>
          <w:shd w:fill="FFFFFF" w:val="clear"/>
        </w:rPr>
        <w:t>”</w:t>
      </w:r>
      <w:r>
        <w:rPr>
          <w:rFonts w:ascii="Times New Roman;serif" w:hAnsi="Times New Roman;serif"/>
          <w:b w:val="false"/>
          <w:color w:val="000000"/>
          <w:sz w:val="24"/>
          <w:shd w:fill="FFFFFF" w:val="clear"/>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Prior to the Company Merger Effective Time, the Company Board or the appropriate committee thereof shall take all actions necessary to approve and effectuate the provisions of this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serif" w:hAnsi="Times New Roman;serif"/>
          <w:b w:val="false"/>
          <w:color w:val="000000"/>
          <w:sz w:val="24"/>
          <w:u w:val="single"/>
        </w:rPr>
        <w:t>Section 3.1(c)(v)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(vi)    Notwithstanding anything in this Agreement to the contrary, the treatment of the Company RSU Awards and Company PSU Awards pursuant to this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Adjustments</w:t>
      </w:r>
      <w:r>
        <w:rPr>
          <w:rFonts w:ascii="Times New Roman;serif" w:hAnsi="Times New Roman;serif"/>
          <w:b w:val="false"/>
          <w:color w:val="000000"/>
          <w:sz w:val="24"/>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281"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nothing in this </w:t>
      </w:r>
      <w:r>
        <w:rPr>
          <w:rFonts w:ascii="Times New Roman;serif" w:hAnsi="Times New Roman;serif"/>
          <w:b w:val="false"/>
          <w:color w:val="000000"/>
          <w:sz w:val="24"/>
          <w:u w:val="single"/>
          <w:shd w:fill="FFFFFF" w:val="clear"/>
        </w:rPr>
        <w:t>Section 3.1(d)</w:t>
      </w:r>
      <w:r>
        <w:rPr>
          <w:color w:val="000000"/>
          <w:shd w:fill="FFFFFF" w:val="clear"/>
        </w:rPr>
        <w:t xml:space="preserve"> </w:t>
      </w:r>
      <w:r>
        <w:rPr>
          <w:rFonts w:ascii="Times New Roman;serif" w:hAnsi="Times New Roman;serif"/>
          <w:b w:val="false"/>
          <w:color w:val="000000"/>
          <w:sz w:val="24"/>
          <w:shd w:fill="FFFFFF" w:val="clear"/>
        </w:rPr>
        <w:t>shall be construed to permit the Company or any of its Subsidiaries, Parent or any other Person to take any action that is otherwise prohibited by the terms of this Agreement.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firstLine="720"/>
        <w:jc w:val="left"/>
        <w:rPr/>
      </w:pPr>
      <w:r>
        <w:rPr>
          <w:rFonts w:ascii="Times New Roman;serif" w:hAnsi="Times New Roman;serif"/>
          <w:b w:val="false"/>
          <w:color w:val="000000"/>
          <w:sz w:val="24"/>
        </w:rPr>
        <w:t>3.2.</w:t>
      </w:r>
      <w:r>
        <w:rPr>
          <w:rFonts w:ascii="Times New Roman;serif" w:hAnsi="Times New Roman;serif"/>
          <w:b w:val="false"/>
          <w:color w:val="000000"/>
          <w:sz w:val="24"/>
          <w:u w:val="single"/>
          <w:shd w:fill="FFFFFF" w:val="clear"/>
        </w:rPr>
        <w:t>Treatment of Company Partnership Units</w:t>
      </w:r>
      <w:r>
        <w:rPr>
          <w:rFonts w:ascii="Times New Roman;serif" w:hAnsi="Times New Roman;serif"/>
          <w:b w:val="false"/>
          <w:color w:val="000000"/>
          <w:sz w:val="24"/>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serif" w:hAnsi="Times New Roman;serif"/>
          <w:b w:val="false"/>
          <w:color w:val="000000"/>
          <w:sz w:val="24"/>
          <w:u w:val="single"/>
          <w:shd w:fill="FFFFFF" w:val="clear"/>
        </w:rPr>
        <w:t>Section 3.2(a)</w:t>
      </w:r>
      <w:r>
        <w:rPr>
          <w:rFonts w:ascii="Times New Roman;serif" w:hAnsi="Times New Roman;serif"/>
          <w:b w:val="false"/>
          <w:color w:val="000000"/>
          <w:sz w:val="24"/>
          <w:shd w:fill="FFFFFF" w:val="clear"/>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color w:val="000000"/>
        </w:rPr>
        <w:t xml:space="preserve"> </w:t>
      </w:r>
      <w:r>
        <w:rPr>
          <w:rFonts w:ascii="Times New Roman;serif" w:hAnsi="Times New Roman;serif"/>
          <w:b w:val="false"/>
          <w:color w:val="000000"/>
          <w:sz w:val="24"/>
          <w:shd w:fill="FFFFFF" w:val="clear"/>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xml:space="preserve">. Such shares of Company Common Stock shall have the right to receive the Common Stock Merger Consideration pursuant to </w:t>
      </w:r>
      <w:r>
        <w:rPr>
          <w:rFonts w:ascii="Times New Roman;serif" w:hAnsi="Times New Roman;serif"/>
          <w:b w:val="false"/>
          <w:color w:val="000000"/>
          <w:sz w:val="24"/>
          <w:u w:val="single"/>
          <w:shd w:fill="FFFFFF" w:val="clear"/>
        </w:rPr>
        <w:t>Section 3.1(b)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Company Partnership Units held by the Company, Parent or any direct or indirect Subsidiary of the Company or Parent, in each case, immediately prior to the Partnership Merger Effective Time (the “</w:t>
      </w:r>
      <w:r>
        <w:rPr>
          <w:rFonts w:ascii="Times New Roman;serif" w:hAnsi="Times New Roman;serif"/>
          <w:b w:val="false"/>
          <w:color w:val="000000"/>
          <w:sz w:val="24"/>
          <w:u w:val="single"/>
          <w:shd w:fill="FFFFFF" w:val="clear"/>
        </w:rPr>
        <w:t>Canceled Units</w:t>
      </w:r>
      <w:r>
        <w:rPr>
          <w:color w:val="000000"/>
          <w:shd w:fill="FFFFFF" w:val="clear"/>
        </w:rPr>
        <w:t>”</w:t>
      </w:r>
      <w:r>
        <w:rPr>
          <w:rFonts w:ascii="Times New Roman;serif" w:hAnsi="Times New Roman;serif"/>
          <w:b w:val="false"/>
          <w:color w:val="000000"/>
          <w:sz w:val="24"/>
          <w:shd w:fill="FFFFFF" w:val="clear"/>
        </w:rPr>
        <w:t>),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3.3.</w:t>
      </w:r>
      <w:r>
        <w:rPr>
          <w:rFonts w:ascii="Times New Roman;serif" w:hAnsi="Times New Roman;serif"/>
          <w:b w:val="false"/>
          <w:color w:val="000000"/>
          <w:sz w:val="24"/>
          <w:u w:val="single"/>
          <w:shd w:fill="FFFFFF" w:val="clear"/>
        </w:rPr>
        <w:t>Dissenters’ Rights</w:t>
      </w:r>
      <w:r>
        <w:rPr>
          <w:rFonts w:ascii="Times New Roman;serif" w:hAnsi="Times New Roman;serif"/>
          <w:b w:val="false"/>
          <w:color w:val="000000"/>
          <w:sz w:val="24"/>
        </w:rPr>
        <w:t>. No dissenters’ or appraisal rights shall be available with respect to the Mergers or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3.4.</w:t>
      </w:r>
      <w:r>
        <w:rPr>
          <w:rFonts w:ascii="Times New Roman;serif" w:hAnsi="Times New Roman;serif"/>
          <w:b w:val="false"/>
          <w:color w:val="000000"/>
          <w:sz w:val="24"/>
          <w:u w:val="single"/>
          <w:shd w:fill="FFFFFF" w:val="clear"/>
        </w:rPr>
        <w:t>Exchange of Company Common Stock and Company Preferred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Exchange Agent. At or prior to the Partnership Merger Effective Time, Parent and Parent Manager shall designate Parent’s or the Company’s transfer agent (the “</w:t>
      </w:r>
      <w:r>
        <w:rPr>
          <w:rFonts w:ascii="Times New Roman;serif" w:hAnsi="Times New Roman;serif"/>
          <w:b w:val="false"/>
          <w:color w:val="000000"/>
          <w:sz w:val="24"/>
          <w:u w:val="single"/>
          <w:shd w:fill="FFFFFF" w:val="clear"/>
        </w:rPr>
        <w:t xml:space="preserve">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282"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Agent</w:t>
      </w:r>
      <w:r>
        <w:rPr>
          <w:color w:val="000000"/>
          <w:shd w:fill="FFFFFF" w:val="clear"/>
        </w:rPr>
        <w:t>”</w:t>
      </w:r>
      <w:r>
        <w:rPr>
          <w:rFonts w:ascii="Times New Roman;serif" w:hAnsi="Times New Roman;serif"/>
          <w:b w:val="false"/>
          <w:color w:val="000000"/>
          <w:sz w:val="24"/>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serif" w:hAnsi="Times New Roman;serif"/>
          <w:b w:val="false"/>
          <w:color w:val="000000"/>
          <w:sz w:val="24"/>
          <w:u w:val="single"/>
          <w:shd w:fill="FFFFFF" w:val="clear"/>
        </w:rPr>
        <w:t>Section 3.4(h)</w:t>
      </w:r>
      <w:r>
        <w:rPr>
          <w:color w:val="000000"/>
        </w:rPr>
        <w:t xml:space="preserve"> </w:t>
      </w:r>
      <w:r>
        <w:rPr>
          <w:rFonts w:ascii="Times New Roman;serif" w:hAnsi="Times New Roman;serif"/>
          <w:b w:val="false"/>
          <w:color w:val="000000"/>
          <w:sz w:val="24"/>
          <w:shd w:fill="FFFFFF" w:val="clear"/>
        </w:rPr>
        <w:t xml:space="preserve">and any dividends or other distributions pursuant to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xml:space="preserve">, to which such holders shall become entitled pursuant to this </w:t>
      </w:r>
      <w:r>
        <w:rPr>
          <w:rFonts w:ascii="Times New Roman;serif" w:hAnsi="Times New Roman;serif"/>
          <w:b w:val="false"/>
          <w:color w:val="000000"/>
          <w:sz w:val="24"/>
          <w:u w:val="single"/>
          <w:shd w:fill="FFFFFF" w:val="clear"/>
        </w:rPr>
        <w:t>Article III</w:t>
      </w:r>
      <w:r>
        <w:rPr>
          <w:color w:val="000000"/>
        </w:rPr>
        <w:t xml:space="preserve"> </w:t>
      </w:r>
      <w:r>
        <w:rPr>
          <w:rFonts w:ascii="Times New Roman;serif" w:hAnsi="Times New Roman;serif"/>
          <w:b w:val="false"/>
          <w:color w:val="000000"/>
          <w:sz w:val="24"/>
          <w:shd w:fill="FFFFFF" w:val="clear"/>
        </w:rPr>
        <w:t xml:space="preserve">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 the number of shares of Parent Common Stock issuable to the holders of Company Common Stock outstanding immediately prior to the Company Merger Effective Time pursuant to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 xml:space="preserve">, (B) cash sufficient to pay the aggregate Per Share Parent Cash Consideration, (C) cash sufficient to make payments in lieu of fractional shares in accordance with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(E) the number of shares of Parent Series E Cumulative Redeemable Preferred Stock issuable to the holders of Company Series B Preferred Stock outstanding immediately prior to the Company Merger Effective Time pursuant to Section 3.1 and (2) Parent Manager (acting solely on its own behalf)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an amount in cash equal to the difference between (x) the amount of cash sufficient to pay the aggregate Per Share Additional Manager Consideration minus (y) the aggregate amount deposited by Parent Manager pursuant to the immediately foregoing clause (2). Parent agrees to deposit with the Exchange Agent, from time to time as needed, cash sufficient to pay any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to make any cash payments in lieu of fractional shares pursuant to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Fund shall not be used for any other purpose, subject to </w:t>
      </w:r>
      <w:r>
        <w:rPr>
          <w:rFonts w:ascii="Times New Roman;serif" w:hAnsi="Times New Roman;serif"/>
          <w:b w:val="false"/>
          <w:color w:val="000000"/>
          <w:sz w:val="24"/>
          <w:u w:val="single"/>
          <w:shd w:fill="FFFFFF" w:val="clear"/>
        </w:rPr>
        <w:t>Section 3.4(f)</w:t>
      </w:r>
      <w:r>
        <w:rPr>
          <w:rFonts w:ascii="Times New Roman;serif" w:hAnsi="Times New Roman;serif"/>
          <w:b w:val="false"/>
          <w:color w:val="000000"/>
          <w:sz w:val="24"/>
          <w:shd w:fill="FFFFFF" w:val="clear"/>
        </w:rPr>
        <w:t xml:space="preserve">. Any cash, shares of Parent Common Stock and shares of Parent Preferred Stock deposited with the Exchange Agent (including as payment for fractional shares in accordance with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any dividends or other distributions in accordance with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shall hereinafter be referred to as the “</w:t>
      </w:r>
      <w:r>
        <w:rPr>
          <w:rFonts w:ascii="Times New Roman;serif" w:hAnsi="Times New Roman;serif"/>
          <w:b w:val="false"/>
          <w:color w:val="000000"/>
          <w:sz w:val="24"/>
          <w:u w:val="single"/>
          <w:shd w:fill="FFFFFF" w:val="clear"/>
        </w:rPr>
        <w:t>Exchange Fund</w:t>
      </w:r>
      <w:r>
        <w:rPr>
          <w:rFonts w:ascii="Times New Roman;serif" w:hAnsi="Times New Roman;serif"/>
          <w:b w:val="false"/>
          <w:color w:val="000000"/>
          <w:sz w:val="24"/>
          <w:shd w:fill="FFFFFF" w:val="clear"/>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Exchange Procedures</w:t>
      </w:r>
      <w:r>
        <w:rPr>
          <w:rFonts w:ascii="Times New Roman;serif" w:hAnsi="Times New Roman;serif"/>
          <w:b w:val="false"/>
          <w:color w:val="000000"/>
          <w:sz w:val="24"/>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instructions for use in effecting the surrender of such Book-Entry Shares in exchange for the Merger Consideration set forth in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3.2(b)</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283"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(other than the portion of such Merger Consideration that is cash (as applicable)); and (ii) a check or wire transfer in the amount equal to (A) the cash payable in lieu of any fractional shares of Parent Common Stock pursuant to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plus (B) the portion of the Merger Consideration contemplated by the foregoing clause (i) 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serif" w:hAnsi="Times New Roman;serif"/>
          <w:b w:val="false"/>
          <w:color w:val="000000"/>
          <w:sz w:val="24"/>
          <w:u w:val="single"/>
          <w:shd w:fill="FFFFFF" w:val="clear"/>
        </w:rPr>
        <w:t>Section 3.4</w:t>
      </w:r>
      <w:r>
        <w:rPr>
          <w:color w:val="000000"/>
          <w:shd w:fill="FFFFFF" w:val="clear"/>
        </w:rPr>
        <w:t xml:space="preserve"> </w:t>
      </w:r>
      <w:r>
        <w:rPr>
          <w:rFonts w:ascii="Times New Roman;serif" w:hAnsi="Times New Roman;serif"/>
          <w:b w:val="false"/>
          <w:color w:val="000000"/>
          <w:sz w:val="24"/>
          <w:shd w:fill="FFFFFF" w:val="clear"/>
        </w:rPr>
        <w:t>with respect to such certificated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Further Ownership Rights in Company Common Stock and Company Preferred Stock</w:t>
      </w:r>
      <w:r>
        <w:rPr>
          <w:rFonts w:ascii="Times New Roman;serif" w:hAnsi="Times New Roman;serif"/>
          <w:b w:val="false"/>
          <w:color w:val="000000"/>
          <w:sz w:val="24"/>
          <w:shd w:fill="FFFFFF" w:val="clear"/>
        </w:rPr>
        <w:t xml:space="preserve">. The Merger Consideration paid upon the surrender of Book-Entry Shares in accordance with the terms of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284"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Termination of Exchange Fund</w:t>
      </w:r>
      <w:r>
        <w:rPr>
          <w:rFonts w:ascii="Times New Roman;serif" w:hAnsi="Times New Roman;serif"/>
          <w:b w:val="false"/>
          <w:color w:val="000000"/>
          <w:sz w:val="24"/>
          <w:shd w:fill="FFFFFF" w:val="clear"/>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No Liability</w:t>
      </w:r>
      <w:r>
        <w:rPr>
          <w:rFonts w:ascii="Times New Roman;serif" w:hAnsi="Times New Roman;serif"/>
          <w:b w:val="false"/>
          <w:color w:val="000000"/>
          <w:sz w:val="24"/>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Investment of Exchange Fund</w:t>
      </w:r>
      <w:r>
        <w:rPr>
          <w:rFonts w:ascii="Times New Roman;serif" w:hAnsi="Times New Roman;serif"/>
          <w:b w:val="false"/>
          <w:color w:val="000000"/>
          <w:sz w:val="24"/>
          <w:shd w:fill="FFFFFF" w:val="clear"/>
        </w:rPr>
        <w:t xml:space="preserve">. The Exchange Agent shall invest any cash included in the Exchange Fund, as directed by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such investment or loss thereon shall affect the amounts payable to holders of Book-Entry Shares pursuant to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shd w:fill="FFFFFF" w:val="clear"/>
        </w:rPr>
        <w:t>Distributions with Respect to Parent Common Stock or Parent Preferred Stock</w:t>
      </w:r>
      <w:r>
        <w:rPr>
          <w:rFonts w:ascii="Times New Roman;serif" w:hAnsi="Times New Roman;serif"/>
          <w:b w:val="false"/>
          <w:color w:val="000000"/>
          <w:sz w:val="24"/>
          <w:shd w:fill="FFFFFF" w:val="clear"/>
        </w:rPr>
        <w:t xml:space="preserve">. 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shd w:fill="FFFFFF" w:val="clear"/>
        </w:rPr>
        <w:t>No Fractional Shares of Parent Common Stock</w:t>
      </w:r>
      <w:r>
        <w:rPr>
          <w:rFonts w:ascii="Times New Roman;serif" w:hAnsi="Times New Roman;serif"/>
          <w:b w:val="false"/>
          <w:color w:val="000000"/>
          <w:sz w:val="24"/>
          <w:shd w:fill="FFFFFF" w:val="clear"/>
        </w:rPr>
        <w:t xml:space="preserve">. 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285"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shall receive, in lieu thereof, cash (without interest) in an amount equal to the product of (i) such fractional part of a share of Parent Common Stock </w:t>
      </w:r>
      <w:r>
        <w:rPr>
          <w:rFonts w:ascii="Times New Roman;serif" w:hAnsi="Times New Roman;serif"/>
          <w:b w:val="false"/>
          <w:i/>
          <w:color w:val="000000"/>
          <w:sz w:val="24"/>
          <w:shd w:fill="FFFFFF" w:val="clear"/>
        </w:rPr>
        <w:t>multiplied by</w:t>
      </w:r>
      <w:r>
        <w:rPr>
          <w:color w:val="000000"/>
          <w:shd w:fill="FFFFFF" w:val="clear"/>
        </w:rPr>
        <w:t xml:space="preserve"> </w:t>
      </w:r>
      <w:r>
        <w:rPr>
          <w:rFonts w:ascii="Times New Roman;serif" w:hAnsi="Times New Roman;serif"/>
          <w:b w:val="false"/>
          <w:color w:val="000000"/>
          <w:sz w:val="24"/>
          <w:shd w:fill="FFFFFF" w:val="clear"/>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shd w:fill="FFFFFF" w:val="clear"/>
        </w:rPr>
        <w:t>Withholding Taxes</w:t>
      </w:r>
      <w:r>
        <w:rPr>
          <w:rFonts w:ascii="Times New Roman;serif" w:hAnsi="Times New Roman;serif"/>
          <w:b w:val="false"/>
          <w:color w:val="000000"/>
          <w:sz w:val="24"/>
          <w:shd w:fill="FFFFFF" w:val="clear"/>
        </w:rPr>
        <w:t xml:space="preserve">. 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serif" w:hAnsi="Times New Roman;serif"/>
          <w:b w:val="false"/>
          <w:color w:val="000000"/>
          <w:sz w:val="24"/>
          <w:u w:val="single"/>
          <w:shd w:fill="FFFFFF" w:val="clear"/>
        </w:rPr>
        <w:t>Section 3.4(i)</w:t>
      </w:r>
      <w:r>
        <w:rPr>
          <w:color w:val="000000"/>
          <w:shd w:fill="FFFFFF" w:val="clear"/>
        </w:rPr>
        <w:t xml:space="preserve"> </w:t>
      </w:r>
      <w:r>
        <w:rPr>
          <w:rFonts w:ascii="Times New Roman;serif" w:hAnsi="Times New Roman;serif"/>
          <w:b w:val="false"/>
          <w:color w:val="000000"/>
          <w:sz w:val="24"/>
          <w:shd w:fill="FFFFFF" w:val="clear"/>
        </w:rPr>
        <w:t>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IV</w:t>
        <w:br/>
        <w:br/>
      </w:r>
      <w:r>
        <w:rPr>
          <w:rFonts w:ascii="Times New Roman;serif" w:hAnsi="Times New Roman;serif"/>
          <w:b w:val="false"/>
          <w:color w:val="000000"/>
          <w:sz w:val="24"/>
          <w:shd w:fill="FFFFFF" w:val="clear"/>
        </w:rPr>
        <w:t>REPRESENTATIONS AND WARRANTIES OF THE COMPANY AND THE COMPANY OPERATING PARTNERSHIP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4.18</w:t>
      </w:r>
      <w:r>
        <w:rPr>
          <w:rFonts w:ascii="Times New Roman;serif" w:hAnsi="Times New Roman;serif"/>
          <w:b w:val="false"/>
          <w:color w:val="000000"/>
          <w:sz w:val="24"/>
        </w:rPr>
        <w:t>), or in the disclosure schedule delivered by the Company to Parent immediately prior to the execution and delivery of this Agreement (the “</w:t>
      </w:r>
      <w:r>
        <w:rPr>
          <w:rFonts w:ascii="Times New Roman;serif" w:hAnsi="Times New Roman;serif"/>
          <w:b w:val="false"/>
          <w:color w:val="000000"/>
          <w:sz w:val="24"/>
          <w:u w:val="single"/>
        </w:rPr>
        <w:t>Company Disclosure Letter</w:t>
      </w:r>
      <w:r>
        <w:rPr>
          <w:color w:val="000000"/>
        </w:rPr>
        <w:t>”</w:t>
      </w:r>
      <w:r>
        <w:rPr>
          <w:rFonts w:ascii="Times New Roman;serif" w:hAnsi="Times New Roman;serif"/>
          <w:b w:val="false"/>
          <w:color w:val="000000"/>
          <w:sz w:val="24"/>
        </w:rPr>
        <w:t xml:space="preserve">), each of the Company and the Company Operating Partnership, jointly and severally, represents and warrants to Parent and Merger Sub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shd w:fill="FFFFFF" w:val="clear"/>
        </w:rPr>
        <w:t>Due Incorporation; Capitalization; Indebtedness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286"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serif" w:hAnsi="Times New Roman;serif"/>
          <w:b w:val="false"/>
          <w:color w:val="000000"/>
          <w:sz w:val="24"/>
          <w:u w:val="single"/>
          <w:shd w:fill="FFFFFF" w:val="clear"/>
        </w:rPr>
        <w:t>Qualified REIT Subsidiary</w:t>
      </w:r>
      <w:r>
        <w:rPr>
          <w:color w:val="000000"/>
          <w:shd w:fill="FFFFFF" w:val="clear"/>
        </w:rPr>
        <w:t>”</w:t>
      </w:r>
      <w:r>
        <w:rPr>
          <w:rFonts w:ascii="Times New Roman;serif" w:hAnsi="Times New Roman;serif"/>
          <w:b w:val="false"/>
          <w:color w:val="000000"/>
          <w:sz w:val="24"/>
          <w:shd w:fill="FFFFFF" w:val="clear"/>
        </w:rPr>
        <w:t>), a “taxable REIT subsidiary” within the meaning of Section 856(l) of the Code (“</w:t>
      </w:r>
      <w:r>
        <w:rPr>
          <w:rFonts w:ascii="Times New Roman;serif" w:hAnsi="Times New Roman;serif"/>
          <w:b w:val="false"/>
          <w:color w:val="000000"/>
          <w:sz w:val="24"/>
          <w:u w:val="single"/>
          <w:shd w:fill="FFFFFF" w:val="clear"/>
        </w:rPr>
        <w:t>Taxable REIT Subsidiary</w:t>
      </w:r>
      <w:r>
        <w:rPr>
          <w:color w:val="000000"/>
          <w:shd w:fill="FFFFFF" w:val="clear"/>
        </w:rPr>
        <w:t>”</w:t>
      </w:r>
      <w:r>
        <w:rPr>
          <w:rFonts w:ascii="Times New Roman;serif" w:hAnsi="Times New Roman;serif"/>
          <w:b w:val="false"/>
          <w:color w:val="000000"/>
          <w:sz w:val="24"/>
          <w:shd w:fill="FFFFFF" w:val="clear"/>
        </w:rPr>
        <w:t>),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w:t>
      </w:r>
      <w:r>
        <w:rPr>
          <w:color w:val="000000"/>
        </w:rPr>
        <w:t xml:space="preserve"> </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also sets forth an accurate and complete list of Persons, other than the Subsidiaries of the Company, in which the Company or any Subsidiary of the Company has an equity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208" w:name="i93d4b0e169764ef4a8a3571c943d87f3"/>
      <w:bookmarkEnd w:id="208"/>
      <w:r>
        <w:rPr>
          <w:rFonts w:ascii="Times New Roman;serif" w:hAnsi="Times New Roman;serif"/>
          <w:b w:val="false"/>
          <w:color w:val="000000"/>
          <w:sz w:val="24"/>
        </w:rPr>
        <w:t>(i)    The entire authorized capital stock of the Company is (A) 500,000,000 shares of common stock, par value $0.01 per share (the “</w:t>
      </w:r>
      <w:r>
        <w:rPr>
          <w:rFonts w:ascii="Times New Roman;serif" w:hAnsi="Times New Roman;serif"/>
          <w:b w:val="false"/>
          <w:color w:val="000000"/>
          <w:sz w:val="24"/>
          <w:u w:val="single"/>
        </w:rPr>
        <w:t>Company Common Stock</w:t>
      </w:r>
      <w:r>
        <w:rPr>
          <w:color w:val="000000"/>
        </w:rPr>
        <w:t>”</w:t>
      </w:r>
      <w:r>
        <w:rPr>
          <w:rFonts w:ascii="Times New Roman;serif" w:hAnsi="Times New Roman;serif"/>
          <w:b w:val="false"/>
          <w:color w:val="000000"/>
          <w:sz w:val="24"/>
        </w:rPr>
        <w:t>); and (B) 100,000,000 shares of preferred stock, par value $0.01 per share (the “</w:t>
      </w:r>
      <w:r>
        <w:rPr>
          <w:rFonts w:ascii="Times New Roman;serif" w:hAnsi="Times New Roman;serif"/>
          <w:b w:val="false"/>
          <w:color w:val="000000"/>
          <w:sz w:val="24"/>
          <w:u w:val="single"/>
        </w:rPr>
        <w:t>Company Preferred Stock</w:t>
      </w:r>
      <w:r>
        <w:rPr>
          <w:color w:val="000000"/>
        </w:rPr>
        <w:t>”</w:t>
      </w:r>
      <w:r>
        <w:rPr>
          <w:rFonts w:ascii="Times New Roman;serif" w:hAnsi="Times New Roman;serif"/>
          <w:b w:val="false"/>
          <w:color w:val="000000"/>
          <w:sz w:val="24"/>
        </w:rPr>
        <w:t xml:space="preserve">), of which (1) 3,800,000 shares are designated as Company Series A Preferred Stock, and (2) 2,070,000 shares are designated as Company Series B Preferred Stock. </w:t>
      </w:r>
    </w:p>
    <w:p>
      <w:pPr>
        <w:pStyle w:val="TextBody"/>
        <w:bidi w:val="0"/>
        <w:spacing w:lineRule="auto" w:line="240" w:before="0" w:after="240"/>
        <w:ind w:left="0" w:right="0" w:firstLine="720"/>
        <w:jc w:val="both"/>
        <w:rPr/>
      </w:pPr>
      <w:bookmarkStart w:id="209" w:name="iea660b0dacdc4cefb3fc6d9dcc2d05cb"/>
      <w:bookmarkEnd w:id="209"/>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Capitalization Date</w:t>
      </w:r>
      <w:r>
        <w:rPr>
          <w:color w:val="000000"/>
        </w:rPr>
        <w:t>”</w:t>
      </w:r>
      <w:r>
        <w:rPr>
          <w:rFonts w:ascii="Times New Roman;serif" w:hAnsi="Times New Roman;serif"/>
          <w:b w:val="false"/>
          <w:color w:val="000000"/>
          <w:sz w:val="24"/>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287"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0" w:name="i9d4d272c347d4c7ab832f4832d030df4"/>
      <w:bookmarkEnd w:id="210"/>
      <w:r>
        <w:rPr>
          <w:rFonts w:ascii="Times New Roman;serif" w:hAnsi="Times New Roman;serif"/>
          <w:b w:val="false"/>
          <w:color w:val="000000"/>
          <w:sz w:val="24"/>
        </w:rPr>
        <w:t>(iii)    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lineRule="auto" w:line="240" w:before="0" w:after="240"/>
        <w:ind w:left="0" w:right="0" w:firstLine="720"/>
        <w:jc w:val="both"/>
        <w:rPr/>
      </w:pPr>
      <w:bookmarkStart w:id="211" w:name="i270ba380c3f34b629472a3069b8ae95c"/>
      <w:bookmarkEnd w:id="211"/>
      <w:r>
        <w:rPr>
          <w:rFonts w:ascii="Times New Roman;serif" w:hAnsi="Times New Roman;serif"/>
          <w:b w:val="false"/>
          <w:color w:val="000000"/>
          <w:sz w:val="24"/>
        </w:rPr>
        <w:t xml:space="preserve">(iv)    Except as set forth in </w:t>
      </w:r>
      <w:r>
        <w:rPr>
          <w:rFonts w:ascii="Times New Roman;serif" w:hAnsi="Times New Roman;serif"/>
          <w:b w:val="false"/>
          <w:color w:val="000000"/>
          <w:sz w:val="24"/>
          <w:u w:val="single"/>
        </w:rPr>
        <w:t>Section 4.1(d)(ii)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4.1(d)(iii)</w:t>
      </w:r>
      <w:r>
        <w:rPr>
          <w:rFonts w:ascii="Times New Roman;serif" w:hAnsi="Times New Roman;serif"/>
          <w:b w:val="false"/>
          <w:color w:val="000000"/>
          <w:sz w:val="24"/>
        </w:rPr>
        <w:t xml:space="preserve">, as of the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288"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2" w:name="i6ee803c709f04d9f82cfd3963e54610a"/>
      <w:bookmarkEnd w:id="212"/>
      <w:r>
        <w:rPr>
          <w:rFonts w:ascii="Times New Roman;serif" w:hAnsi="Times New Roman;serif"/>
          <w:b w:val="false"/>
          <w:color w:val="000000"/>
          <w:sz w:val="24"/>
        </w:rPr>
        <w:t>(v)    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4.1(e)</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serif" w:hAnsi="Times New Roman;serif"/>
          <w:b w:val="false"/>
          <w:color w:val="000000"/>
          <w:sz w:val="24"/>
          <w:u w:val="single"/>
          <w:shd w:fill="FFFFFF" w:val="clear"/>
        </w:rPr>
        <w:t>Section 4.1(d)</w:t>
      </w:r>
      <w:r>
        <w:rPr>
          <w:color w:val="000000"/>
          <w:shd w:fill="FFFFFF" w:val="clear"/>
        </w:rPr>
        <w:t xml:space="preserve"> </w:t>
      </w:r>
      <w:r>
        <w:rPr>
          <w:rFonts w:ascii="Times New Roman;serif" w:hAnsi="Times New Roman;serif"/>
          <w:b w:val="false"/>
          <w:color w:val="000000"/>
          <w:sz w:val="24"/>
          <w:shd w:fill="FFFFFF" w:val="clear"/>
        </w:rPr>
        <w:t>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Company and the Company Operating Partnership has all requisite corporate or partnership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 xml:space="preserve">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289"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Transactions (the “</w:t>
      </w:r>
      <w:r>
        <w:rPr>
          <w:rFonts w:ascii="Times New Roman;serif" w:hAnsi="Times New Roman;serif"/>
          <w:b w:val="false"/>
          <w:color w:val="000000"/>
          <w:sz w:val="24"/>
          <w:u w:val="single"/>
          <w:shd w:fill="FFFFFF" w:val="clear"/>
        </w:rPr>
        <w:t>Company Recommendation</w:t>
      </w:r>
      <w:r>
        <w:rPr>
          <w:color w:val="000000"/>
          <w:shd w:fill="FFFFFF" w:val="clear"/>
        </w:rPr>
        <w:t>”</w:t>
      </w:r>
      <w:r>
        <w:rPr>
          <w:rFonts w:ascii="Times New Roman;serif" w:hAnsi="Times New Roman;serif"/>
          <w:b w:val="false"/>
          <w:color w:val="000000"/>
          <w:sz w:val="24"/>
          <w:shd w:fill="FFFFFF" w:val="clear"/>
        </w:rPr>
        <w:t>) on the terms and subject to the conditions of this Agreement. The Company Stockholder Approval is the only vote of holders of securities of the Company that is required to adopt this Agreement and approve the Mergers and the other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serif" w:hAnsi="Times New Roman;serif"/>
          <w:b w:val="false"/>
          <w:color w:val="000000"/>
          <w:sz w:val="24"/>
          <w:u w:val="single"/>
          <w:shd w:fill="FFFFFF" w:val="clear"/>
        </w:rPr>
        <w:t>Enforceability Exceptions</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assuming that the Company Merger and this Agreement are approved by the affirmative vote of the holders of a majority of the outstanding shares of Company Common Stock entitled to vote on such matters (the “</w:t>
      </w:r>
      <w:r>
        <w:rPr>
          <w:rFonts w:ascii="Times New Roman;serif" w:hAnsi="Times New Roman;serif"/>
          <w:b w:val="false"/>
          <w:color w:val="000000"/>
          <w:sz w:val="24"/>
          <w:u w:val="single"/>
          <w:shd w:fill="FFFFFF" w:val="clear"/>
        </w:rPr>
        <w:t>Company Stockholder Approval</w:t>
      </w:r>
      <w:r>
        <w:rPr>
          <w:color w:val="000000"/>
          <w:shd w:fill="FFFFFF" w:val="clear"/>
        </w:rPr>
        <w:t>”</w:t>
      </w:r>
      <w:r>
        <w:rPr>
          <w:rFonts w:ascii="Times New Roman;serif" w:hAnsi="Times New Roman;serif"/>
          <w:b w:val="false"/>
          <w:color w:val="000000"/>
          <w:sz w:val="24"/>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serif" w:hAnsi="Times New Roman;serif"/>
          <w:b w:val="false"/>
          <w:color w:val="000000"/>
          <w:sz w:val="24"/>
          <w:u w:val="single"/>
          <w:shd w:fill="FFFFFF" w:val="clear"/>
        </w:rPr>
        <w:t>Section 4.3(b)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any such contraventions, conflicts, violations, defaults,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290"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acceleration, losses or Liens that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Company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291"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Company nor any of the Subsidiaries of the Company (including the Company Operating Partnership)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shd w:fill="FFFFFF" w:val="clear"/>
        </w:rPr>
        <w:t>Proxy Statement/Prospectus; Company Information</w:t>
      </w:r>
      <w:r>
        <w:rPr>
          <w:rFonts w:ascii="Times New Roman;serif" w:hAnsi="Times New Roman;serif"/>
          <w:b w:val="false"/>
          <w:color w:val="000000"/>
          <w:sz w:val="24"/>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292"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 Liabilities incurred in the ordinary course of business since January 1, 2026, and (d) Liabilities which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shd w:fill="FFFFFF" w:val="clear"/>
        </w:rPr>
        <w:t>Intellectual Property</w:t>
      </w:r>
      <w:r>
        <w:rPr>
          <w:rFonts w:ascii="Times New Roman;serif" w:hAnsi="Times New Roman;serif"/>
          <w:b w:val="false"/>
          <w:color w:val="000000"/>
          <w:sz w:val="24"/>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4.8(a)</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serif" w:hAnsi="Times New Roman;serif"/>
          <w:b w:val="false"/>
          <w:color w:val="000000"/>
          <w:sz w:val="24"/>
          <w:u w:val="single"/>
          <w:shd w:fill="FFFFFF" w:val="clear"/>
        </w:rPr>
        <w:t>Company Material Contracts</w:t>
      </w:r>
      <w:r>
        <w:rPr>
          <w:color w:val="000000"/>
          <w:shd w:fill="FFFFFF" w:val="clear"/>
        </w:rPr>
        <w:t>”</w:t>
      </w:r>
      <w:r>
        <w:rPr>
          <w:rFonts w:ascii="Times New Roman;serif" w:hAnsi="Times New Roman;serif"/>
          <w:b w:val="false"/>
          <w:color w:val="000000"/>
          <w:sz w:val="24"/>
          <w:shd w:fill="FFFFFF" w:val="clear"/>
        </w:rPr>
        <w:t>), true and complete copies of which have been made available to Parent prior to date of this Agreement:</w:t>
      </w:r>
      <w:r>
        <w:rPr>
          <w:color w:val="000000"/>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(i)    any Contract that is filed by the Company as a material Contract pursuant to Item 601(b)(10) of Regulation S-K of the SEC;</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3" w:name="i9a82ecafff2f4def857bbbffb7c8502b"/>
      <w:bookmarkEnd w:id="213"/>
      <w:r>
        <w:rPr>
          <w:rFonts w:ascii="Times New Roman;serif" w:hAnsi="Times New Roman;serif"/>
          <w:b w:val="false"/>
          <w:color w:val="000000"/>
          <w:sz w:val="24"/>
        </w:rPr>
        <w:t>(ii)    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4" w:name="i2e4a27d219d94a6a903f916b56007470"/>
      <w:bookmarkEnd w:id="214"/>
      <w:r>
        <w:rPr>
          <w:rFonts w:ascii="Times New Roman;serif" w:hAnsi="Times New Roman;serif"/>
          <w:b w:val="false"/>
          <w:color w:val="000000"/>
          <w:sz w:val="24"/>
        </w:rPr>
        <w:t xml:space="preserve">(iii)    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293"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assets (other than provisions requiring notice of or consent to assignment by any counterparty thereto);</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5" w:name="i8252711e8c87477c9e86f234e7219410"/>
      <w:bookmarkEnd w:id="215"/>
      <w:r>
        <w:rPr>
          <w:rFonts w:ascii="Times New Roman;serif" w:hAnsi="Times New Roman;serif"/>
          <w:b w:val="false"/>
          <w:color w:val="000000"/>
          <w:sz w:val="24"/>
        </w:rPr>
        <w:t>(iv)    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lineRule="auto" w:line="240" w:before="0" w:after="240"/>
        <w:ind w:left="0" w:right="0" w:firstLine="720"/>
        <w:jc w:val="both"/>
        <w:rPr/>
      </w:pPr>
      <w:bookmarkStart w:id="216" w:name="i4c6f45948b1c4130b8d909da80eab029"/>
      <w:bookmarkEnd w:id="216"/>
      <w:r>
        <w:rPr>
          <w:rFonts w:ascii="Times New Roman;serif" w:hAnsi="Times New Roman;serif"/>
          <w:b w:val="false"/>
          <w:color w:val="000000"/>
          <w:sz w:val="24"/>
        </w:rPr>
        <w:t xml:space="preserve">(v)    each Contract that involves or constitutes an interest rate cap, interest rate collar, interest rate swap or other Contract relating to a forward, swap or other hedging transaction of any type, unless entered into for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hedging purposes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7" w:name="ibeaa182d23754aafb2c24e8938bf5885"/>
      <w:bookmarkEnd w:id="217"/>
      <w:r>
        <w:rPr>
          <w:rFonts w:ascii="Times New Roman;serif" w:hAnsi="Times New Roman;serif"/>
          <w:b w:val="false"/>
          <w:color w:val="000000"/>
          <w:sz w:val="24"/>
        </w:rPr>
        <w:t>(vi)    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8" w:name="i85240b7b6539460fa76d6c105d5a6188"/>
      <w:bookmarkEnd w:id="218"/>
      <w:r>
        <w:rPr>
          <w:rFonts w:ascii="Times New Roman;serif" w:hAnsi="Times New Roman;serif"/>
          <w:b w:val="false"/>
          <w:color w:val="000000"/>
          <w:sz w:val="24"/>
        </w:rPr>
        <w:t>(vii)    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9" w:name="i9d19e96b468f45c8bfaaf6edd9ee4294"/>
      <w:bookmarkEnd w:id="219"/>
      <w:r>
        <w:rPr>
          <w:rFonts w:ascii="Times New Roman;serif" w:hAnsi="Times New Roman;serif"/>
          <w:b w:val="false"/>
          <w:color w:val="000000"/>
          <w:sz w:val="24"/>
        </w:rPr>
        <w:t>(viii)    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0" w:name="id7e3f78a278d48358f1e2bd1eaa00ec8"/>
      <w:bookmarkEnd w:id="220"/>
      <w:r>
        <w:rPr>
          <w:rFonts w:ascii="Times New Roman;serif" w:hAnsi="Times New Roman;serif"/>
          <w:b w:val="false"/>
          <w:color w:val="000000"/>
          <w:sz w:val="24"/>
        </w:rPr>
        <w:t xml:space="preserve">(ix)    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 </w:t>
      </w:r>
    </w:p>
    <w:p>
      <w:pPr>
        <w:pStyle w:val="TextBody"/>
        <w:bidi w:val="0"/>
        <w:spacing w:lineRule="auto" w:line="240" w:before="0" w:after="240"/>
        <w:ind w:left="0" w:right="0" w:firstLine="720"/>
        <w:jc w:val="both"/>
        <w:rPr/>
      </w:pPr>
      <w:bookmarkStart w:id="221" w:name="i2e123d9471fc4e07b017e5dc15ec75c7"/>
      <w:bookmarkEnd w:id="221"/>
      <w:r>
        <w:rPr>
          <w:rFonts w:ascii="Times New Roman;serif" w:hAnsi="Times New Roman;serif"/>
          <w:b w:val="false"/>
          <w:color w:val="000000"/>
          <w:sz w:val="24"/>
        </w:rPr>
        <w:t xml:space="preserve">(x)    each vendor, supplier or third-party consulting or similar Contract not otherwise described in this </w:t>
      </w:r>
      <w:r>
        <w:rPr>
          <w:rFonts w:ascii="Times New Roman;serif" w:hAnsi="Times New Roman;serif"/>
          <w:b w:val="false"/>
          <w:color w:val="000000"/>
          <w:sz w:val="24"/>
          <w:u w:val="single"/>
        </w:rPr>
        <w:t>Section 4.8(a)</w:t>
      </w:r>
      <w:r>
        <w:rPr>
          <w:color w:val="000000"/>
        </w:rPr>
        <w:t xml:space="preserve"> </w:t>
      </w:r>
      <w:r>
        <w:rPr>
          <w:rFonts w:ascii="Times New Roman;serif" w:hAnsi="Times New Roman;serif"/>
          <w:b w:val="false"/>
          <w:color w:val="000000"/>
          <w:sz w:val="24"/>
        </w:rPr>
        <w:t>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2" w:name="iacb71ea87fcf405dbb9e8154ba9c759f"/>
      <w:bookmarkEnd w:id="222"/>
      <w:r>
        <w:rPr>
          <w:rFonts w:ascii="Times New Roman;serif" w:hAnsi="Times New Roman;serif"/>
          <w:b w:val="false"/>
          <w:color w:val="000000"/>
          <w:sz w:val="24"/>
        </w:rPr>
        <w:t xml:space="preserve">(xi)    each Contract for the purchase, sale, acquisition, disposition, lease, sublease, license, sublicense, use or occupancy of any real property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294"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limitation, any Leased Real Property or any direct or indirect interest in any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shd w:fill="FFFFFF" w:val="clear"/>
        </w:rPr>
        <w:t>Insurance</w:t>
      </w:r>
      <w:r>
        <w:rPr>
          <w:rFonts w:ascii="Times New Roman;serif" w:hAnsi="Times New Roman;serif"/>
          <w:b w:val="false"/>
          <w:color w:val="000000"/>
          <w:sz w:val="24"/>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4.10.</w:t>
      </w:r>
      <w:r>
        <w:rPr>
          <w:rFonts w:ascii="Times New Roman;serif" w:hAnsi="Times New Roman;serif"/>
          <w:b w:val="false"/>
          <w:color w:val="000000"/>
          <w:sz w:val="24"/>
          <w:u w:val="single"/>
          <w:shd w:fill="FFFFFF" w:val="clear"/>
        </w:rPr>
        <w:t>Employee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4.10(a)</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Company Benefit Plan and each PEO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295"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applicable); (vii) actuarial reports received for any Company Benefit Plan with respect to the three most recently completed plan years; (viii) nondiscrimination testing results for the most recent three years; (ix) Forms 1094 and 1095 and summaries of benefits and coverage for the past three years; and (x) any non-routine correspondence with any Governmental Authority within the last three years.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Except as set forth on </w:t>
      </w:r>
      <w:r>
        <w:rPr>
          <w:rFonts w:ascii="Times New Roman;serif" w:hAnsi="Times New Roman;serif"/>
          <w:b w:val="false"/>
          <w:color w:val="000000"/>
          <w:sz w:val="24"/>
          <w:u w:val="single"/>
          <w:shd w:fill="FFFFFF" w:val="clear"/>
        </w:rPr>
        <w:t>Section 4.10(d)</w:t>
      </w:r>
      <w:r>
        <w:rPr>
          <w:color w:val="000000"/>
          <w:shd w:fill="FFFFFF" w:val="clear"/>
        </w:rPr>
        <w:t xml:space="preserve"> </w:t>
      </w:r>
      <w:r>
        <w:rPr>
          <w:rFonts w:ascii="Times New Roman;serif" w:hAnsi="Times New Roman;serif"/>
          <w:b w:val="false"/>
          <w:color w:val="000000"/>
          <w:sz w:val="24"/>
          <w:shd w:fill="FFFFFF" w:val="clear"/>
        </w:rPr>
        <w:t>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4.10(g)</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296"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Service Provider; (ii) result in or cause any acceleration of the time of payment or vesting of any compensation or benefits, or trigger any funding or payment of any compensation or benefits (including funding of compensation or benefits through a trust or otherwise); (iii) 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297"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Awards, Company PSU Awards, and Company Restricted Stock Awards, in each case such that the treatment of such awards set forth in Section 3.1(c) is permitted by, and may be effected in accordance with, the terms of the applicable Company Equity Plan and award or grant agreement without the consent of any holder and without any acceleration, payment, or settlement that is not otherwise permitted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4.11.</w:t>
      </w:r>
      <w:r>
        <w:rPr>
          <w:rFonts w:ascii="Times New Roman;serif" w:hAnsi="Times New Roman;serif"/>
          <w:b w:val="false"/>
          <w:color w:val="000000"/>
          <w:sz w:val="24"/>
          <w:u w:val="single"/>
          <w:shd w:fill="FFFFFF" w:val="clear"/>
        </w:rPr>
        <w:t>Labor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ind w:left="0" w:right="0" w:firstLine="720"/>
        <w:jc w:val="left"/>
        <w:rPr/>
      </w:pPr>
      <w:r>
        <w:rPr>
          <w:rFonts w:ascii="Times New Roman;serif" w:hAnsi="Times New Roman;serif"/>
          <w:b w:val="false"/>
          <w:color w:val="000000"/>
          <w:sz w:val="24"/>
        </w:rPr>
        <w:t>4.12.</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Company Material Adverse Effect, provided that any breach of the representations or warranties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Company Material Adverse Effect:</w:t>
      </w:r>
    </w:p>
    <w:p>
      <w:pPr>
        <w:pStyle w:val="TextBody"/>
        <w:bidi w:val="0"/>
        <w:spacing w:lineRule="auto" w:line="240" w:before="0" w:after="20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0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298"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0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lineRule="auto" w:line="240" w:before="0" w:after="20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0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0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299"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4"/>
          <w:shd w:fill="FFFFFF" w:val="clear"/>
        </w:rPr>
        <w:t>material risk that any material amount of Tax described in the previous sentence will be imposed upon the Company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0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0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There are no material Tax Liens upon any property or assets of the Company or any of its Subsidiaries except for Company Permitted Liens.</w:t>
      </w:r>
    </w:p>
    <w:p>
      <w:pPr>
        <w:pStyle w:val="TextBody"/>
        <w:bidi w:val="0"/>
        <w:spacing w:lineRule="auto" w:line="240" w:before="0" w:after="20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Neither the Company nor any of its Subsidiaries has requested, has received or is subject to any written ruling of a Taxing Authority or has entered into any written agreement with a Taxing Authority.</w:t>
      </w:r>
    </w:p>
    <w:p>
      <w:pPr>
        <w:pStyle w:val="TextBody"/>
        <w:bidi w:val="0"/>
        <w:spacing w:lineRule="auto" w:line="240" w:before="0" w:after="20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0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 xml:space="preserve">Except as provided in </w:t>
      </w:r>
      <w:r>
        <w:rPr>
          <w:rFonts w:ascii="Times New Roman;serif" w:hAnsi="Times New Roman;serif"/>
          <w:b w:val="false"/>
          <w:color w:val="000000"/>
          <w:sz w:val="24"/>
          <w:u w:val="single"/>
          <w:shd w:fill="FFFFFF" w:val="clear"/>
        </w:rPr>
        <w:t>Section 4.12(m)</w:t>
      </w:r>
      <w:r>
        <w:rPr>
          <w:color w:val="000000"/>
          <w:shd w:fill="FFFFFF" w:val="clear"/>
        </w:rPr>
        <w:t xml:space="preserve"> </w:t>
      </w:r>
      <w:r>
        <w:rPr>
          <w:rFonts w:ascii="Times New Roman;serif" w:hAnsi="Times New Roman;serif"/>
          <w:b w:val="false"/>
          <w:color w:val="000000"/>
          <w:sz w:val="24"/>
          <w:shd w:fill="FFFFFF" w:val="clear"/>
        </w:rPr>
        <w:t>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0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the Company nor any of its Subsidiaries has participated in any “listed transaction” within the meaning of Treasury Regulation Section 1.6011-4(b)(2).</w:t>
      </w:r>
    </w:p>
    <w:p>
      <w:pPr>
        <w:pStyle w:val="TextBody"/>
        <w:bidi w:val="0"/>
        <w:spacing w:lineRule="auto" w:line="240" w:before="0" w:after="20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lineRule="auto" w:line="240" w:before="0" w:after="20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No written power of attorney that has been granted by the Company or any of its Subsidiaries (other than to the Company or any of its Subsidiaries) is currently in force with respect to any matter relating to Taxes.</w:t>
      </w:r>
    </w:p>
    <w:p>
      <w:pPr>
        <w:pStyle w:val="TextBody"/>
        <w:bidi w:val="0"/>
        <w:spacing w:lineRule="auto" w:line="240" w:before="0" w:after="20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 xml:space="preserve">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00"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income Tax law); (iv) installment sale or open transaction disposition made on or prior to the Closing Date; or (v) prepaid amount received on or prior to the Closing Date.</w:t>
      </w:r>
    </w:p>
    <w:p>
      <w:pPr>
        <w:pStyle w:val="TextBody"/>
        <w:bidi w:val="0"/>
        <w:spacing w:lineRule="auto" w:line="240" w:before="0" w:after="20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the Company nor any of its Subsidiaries have experienced an ownership change within the meaning of Section 382 of the Code.</w:t>
      </w:r>
      <w:r>
        <w:rPr>
          <w:color w:val="000000"/>
        </w:rPr>
        <w:t xml:space="preserve"> </w:t>
      </w:r>
    </w:p>
    <w:p>
      <w:pPr>
        <w:pStyle w:val="TextBody"/>
        <w:bidi w:val="0"/>
        <w:spacing w:lineRule="auto" w:line="240" w:before="0" w:after="20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00"/>
        <w:ind w:left="0" w:right="0" w:firstLine="720"/>
        <w:jc w:val="both"/>
        <w:rPr/>
      </w:pP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serif" w:hAnsi="Times New Roman;serif"/>
          <w:b w:val="false"/>
          <w:color w:val="000000"/>
          <w:sz w:val="24"/>
          <w:u w:val="single"/>
          <w:shd w:fill="FFFFFF" w:val="clear"/>
        </w:rPr>
        <w:t>Section 4.10</w:t>
      </w:r>
      <w:r>
        <w:rPr>
          <w:color w:val="000000"/>
          <w:shd w:fill="FFFFFF" w:val="clear"/>
        </w:rPr>
        <w:t xml:space="preserve"> </w:t>
      </w:r>
      <w:r>
        <w:rPr>
          <w:rFonts w:ascii="Times New Roman;serif" w:hAnsi="Times New Roman;serif"/>
          <w:b w:val="false"/>
          <w:color w:val="000000"/>
          <w:sz w:val="24"/>
          <w:shd w:fill="FFFFFF" w:val="clear"/>
        </w:rPr>
        <w:t xml:space="preserve">and this </w:t>
      </w:r>
      <w:r>
        <w:rPr>
          <w:rFonts w:ascii="Times New Roman;serif" w:hAnsi="Times New Roman;serif"/>
          <w:b w:val="false"/>
          <w:color w:val="000000"/>
          <w:sz w:val="24"/>
          <w:u w:val="single"/>
          <w:shd w:fill="FFFFFF" w:val="clear"/>
        </w:rPr>
        <w:t>Section 4.12</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serif" w:hAnsi="Times New Roman;serif"/>
          <w:b w:val="false"/>
          <w:color w:val="000000"/>
          <w:sz w:val="24"/>
          <w:u w:val="single"/>
        </w:rPr>
        <w:t>Litigation</w:t>
      </w:r>
      <w:r>
        <w:rPr>
          <w:color w:val="000000"/>
        </w:rPr>
        <w:t>”</w:t>
      </w:r>
      <w:r>
        <w:rPr>
          <w:rFonts w:ascii="Times New Roman;serif" w:hAnsi="Times New Roman;serif"/>
          <w:b w:val="false"/>
          <w:color w:val="000000"/>
          <w:sz w:val="24"/>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4.14.</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serif" w:hAnsi="Times New Roman;serif"/>
          <w:b w:val="false"/>
          <w:color w:val="000000"/>
          <w:sz w:val="24"/>
          <w:u w:val="single"/>
          <w:shd w:fill="FFFFFF" w:val="clear"/>
        </w:rPr>
        <w:t>Laws</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01"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since January 1, 2024 through the date of this Agreement, neither the Company nor any of its Subsidiaries has 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Other than Aurora Financial Group, Inc. (“</w:t>
      </w:r>
      <w:r>
        <w:rPr>
          <w:rFonts w:ascii="Times New Roman;serif" w:hAnsi="Times New Roman;serif"/>
          <w:b w:val="false"/>
          <w:color w:val="000000"/>
          <w:sz w:val="24"/>
          <w:u w:val="single"/>
          <w:shd w:fill="FFFFFF" w:val="clear"/>
        </w:rPr>
        <w:t>Aurora</w:t>
      </w:r>
      <w:r>
        <w:rPr>
          <w:color w:val="000000"/>
          <w:shd w:fill="FFFFFF" w:val="clear"/>
        </w:rPr>
        <w:t>”</w:t>
      </w:r>
      <w:r>
        <w:rPr>
          <w:rFonts w:ascii="Times New Roman;serif" w:hAnsi="Times New Roman;serif"/>
          <w:b w:val="false"/>
          <w:color w:val="000000"/>
          <w:sz w:val="24"/>
          <w:shd w:fill="FFFFFF" w:val="clear"/>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4.14</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4.14</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4.15.</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xml:space="preserve">. Since December 31, 2025, through the date of this Agreement, except for the discussion and negotiation of this Agreement, the Company and its Subsidiaries have conducted their respective businesses in all material respects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02"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course of business consistent with past practice. Since December 31, 2025, there has not been any change, event, effect, development or occurrence that has had or would reasonably be expected to have, individually or in the aggregate, a Company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4.16.</w:t>
      </w:r>
      <w:r>
        <w:rPr>
          <w:rFonts w:ascii="Times New Roman;serif" w:hAnsi="Times New Roman;serif"/>
          <w:b w:val="false"/>
          <w:color w:val="000000"/>
          <w:sz w:val="24"/>
          <w:u w:val="single"/>
          <w:shd w:fill="FFFFFF" w:val="clear"/>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Subsidiary of the Company owns any direct or indirect interest in any real property, other than as and to the extent disclosed in Section 4.16(a) of the Company Disclosure Letter, and neither the Company nor any Subsidiary of the Company is a party to any Contract for the purchase or acquisition of any direct or indirect interest in any real property.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4.16(b)</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serif" w:hAnsi="Times New Roman;serif"/>
          <w:b w:val="false"/>
          <w:color w:val="000000"/>
          <w:sz w:val="24"/>
          <w:u w:val="single"/>
          <w:shd w:fill="FFFFFF" w:val="clear"/>
        </w:rPr>
        <w:t>Real Property Lease</w:t>
      </w:r>
      <w:r>
        <w:rPr>
          <w:color w:val="000000"/>
          <w:shd w:fill="FFFFFF" w:val="clear"/>
        </w:rPr>
        <w:t>”</w:t>
      </w:r>
      <w:r>
        <w:rPr>
          <w:rFonts w:ascii="Times New Roman;serif" w:hAnsi="Times New Roman;serif"/>
          <w:b w:val="false"/>
          <w:color w:val="000000"/>
          <w:sz w:val="24"/>
          <w:shd w:fill="FFFFFF" w:val="clear"/>
        </w:rPr>
        <w:t>) pursuant to which the Company or any of the Subsidiaries leases, subleases, licenses, sublicenses, uses or occupies real property as tenant, lessee or sublessee (as applicable) (the “</w:t>
      </w:r>
      <w:r>
        <w:rPr>
          <w:rFonts w:ascii="Times New Roman;serif" w:hAnsi="Times New Roman;serif"/>
          <w:b w:val="false"/>
          <w:color w:val="000000"/>
          <w:sz w:val="24"/>
          <w:u w:val="single"/>
          <w:shd w:fill="FFFFFF" w:val="clear"/>
        </w:rPr>
        <w:t>Leased Real Property</w:t>
      </w:r>
      <w:r>
        <w:rPr>
          <w:color w:val="000000"/>
          <w:shd w:fill="FFFFFF" w:val="clear"/>
        </w:rPr>
        <w:t>”</w:t>
      </w:r>
      <w:r>
        <w:rPr>
          <w:rFonts w:ascii="Times New Roman;serif" w:hAnsi="Times New Roman;serif"/>
          <w:b w:val="false"/>
          <w:color w:val="000000"/>
          <w:sz w:val="24"/>
          <w:shd w:fill="FFFFFF" w:val="clear"/>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4.17.</w:t>
      </w:r>
      <w:r>
        <w:rPr>
          <w:rFonts w:ascii="Times New Roman;serif" w:hAnsi="Times New Roman;serif"/>
          <w:b w:val="false"/>
          <w:color w:val="000000"/>
          <w:sz w:val="24"/>
          <w:u w:val="single"/>
          <w:shd w:fill="FFFFFF" w:val="clear"/>
        </w:rPr>
        <w:t>Related Party Transactions</w:t>
      </w:r>
      <w:r>
        <w:rPr>
          <w:rFonts w:ascii="Times New Roman;serif" w:hAnsi="Times New Roman;serif"/>
          <w:b w:val="false"/>
          <w:color w:val="000000"/>
          <w:sz w:val="24"/>
          <w:shd w:fill="FFFFFF" w:val="clear"/>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4.18.</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4.19.</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xml:space="preserve">.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03"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(other than holders of Canceled Shares). A copy of such opinion will be promptly provided to Parent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4.20.</w:t>
      </w:r>
      <w:r>
        <w:rPr>
          <w:rFonts w:ascii="Times New Roman;serif" w:hAnsi="Times New Roman;serif"/>
          <w:b w:val="false"/>
          <w:color w:val="000000"/>
          <w:sz w:val="24"/>
          <w:u w:val="single"/>
          <w:shd w:fill="FFFFFF" w:val="clear"/>
        </w:rPr>
        <w:t>No Additional Representations</w:t>
      </w:r>
      <w:r>
        <w:rPr>
          <w:rFonts w:ascii="Times New Roman;serif" w:hAnsi="Times New Roman;serif"/>
          <w:b w:val="false"/>
          <w:color w:val="000000"/>
          <w:sz w:val="24"/>
        </w:rPr>
        <w:t xml:space="preserve">. The Company and the Company Operating Partnership acknowledge and agree that,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 xml:space="preserve">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20"/>
        <w:jc w:val="center"/>
        <w:rPr/>
      </w:pPr>
      <w:r>
        <w:rPr>
          <w:rFonts w:ascii="Times New Roman;serif" w:hAnsi="Times New Roman;serif"/>
          <w:b w:val="false"/>
          <w:color w:val="000000"/>
          <w:sz w:val="24"/>
        </w:rPr>
        <w:t>Article V</w:t>
        <w:br/>
        <w:br/>
      </w:r>
      <w:r>
        <w:rPr>
          <w:rFonts w:ascii="Times New Roman;serif" w:hAnsi="Times New Roman;serif"/>
          <w:b w:val="false"/>
          <w:color w:val="000000"/>
          <w:sz w:val="24"/>
          <w:shd w:fill="FFFFFF" w:val="clear"/>
        </w:rPr>
        <w:t>REPRESENTATIONS AND WARRANTIES OF PARENT, MERGER SUB AND PARENT MANAGER</w:t>
      </w:r>
    </w:p>
    <w:p>
      <w:pPr>
        <w:pStyle w:val="TextBody"/>
        <w:bidi w:val="0"/>
        <w:spacing w:lineRule="auto" w:line="264" w:before="0" w:after="180"/>
        <w:ind w:left="0" w:right="0" w:firstLine="720"/>
        <w:jc w:val="both"/>
        <w:rPr/>
      </w:pPr>
      <w:r>
        <w:rPr>
          <w:rFonts w:ascii="Times New Roman;serif" w:hAnsi="Times New Roman;serif"/>
          <w:b w:val="false"/>
          <w:color w:val="000000"/>
          <w:sz w:val="24"/>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serif" w:hAnsi="Times New Roman;serif"/>
          <w:b w:val="false"/>
          <w:color w:val="000000"/>
          <w:sz w:val="24"/>
          <w:u w:val="single"/>
        </w:rPr>
        <w:t>Parent Disclosure Letter</w:t>
      </w:r>
      <w:r>
        <w:rPr>
          <w:color w:val="000000"/>
        </w:rPr>
        <w:t>”</w:t>
      </w:r>
      <w:r>
        <w:rPr>
          <w:rFonts w:ascii="Times New Roman;serif" w:hAnsi="Times New Roman;serif"/>
          <w:b w:val="false"/>
          <w:color w:val="000000"/>
          <w:sz w:val="24"/>
        </w:rPr>
        <w:t xml:space="preserve">), Parent and, Merger Sub, jointly and severally, and Parent Manager, severally and only with respect to itself, as applicable, represent and warrant to the Company and the Company Operating Partnership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firstLine="720"/>
        <w:jc w:val="left"/>
        <w:rPr/>
      </w:pPr>
      <w:r>
        <w:rPr>
          <w:rFonts w:ascii="Times New Roman;serif" w:hAnsi="Times New Roman;serif"/>
          <w:b w:val="false"/>
          <w:color w:val="000000"/>
          <w:sz w:val="24"/>
        </w:rPr>
        <w:t>5.1.</w:t>
      </w:r>
      <w:r>
        <w:rPr>
          <w:rFonts w:ascii="Times New Roman;serif" w:hAnsi="Times New Roman;serif"/>
          <w:b w:val="false"/>
          <w:color w:val="000000"/>
          <w:sz w:val="24"/>
          <w:u w:val="single"/>
          <w:shd w:fill="FFFFFF" w:val="clear"/>
        </w:rPr>
        <w:t>Due Incorporation; 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is duly organized, validly existing and, where such concept is applicable, in good standing under the Laws of the jurisdiction of its incorporation or organization and has all requisite corporate power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04"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authority to own, lease and operate its properties and assets and to carry on its business as 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lineRule="auto" w:line="240" w:before="0" w:after="18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lineRule="auto" w:line="240" w:before="0" w:after="18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shd w:fill="FFFFFF" w:val="clear"/>
        </w:rPr>
        <w:t>(i)    The entire authorized capital stock of Parent is (A) Four Hundred Fifty Million (450,000,000) shares of common stock, par value $0.01 per share (the “</w:t>
      </w:r>
      <w:r>
        <w:rPr>
          <w:rFonts w:ascii="Times New Roman;serif" w:hAnsi="Times New Roman;serif"/>
          <w:b w:val="false"/>
          <w:color w:val="000000"/>
          <w:sz w:val="24"/>
          <w:u w:val="single"/>
          <w:shd w:fill="FFFFFF" w:val="clear"/>
        </w:rPr>
        <w:t>Parent Common Stock</w:t>
      </w:r>
      <w:r>
        <w:rPr>
          <w:color w:val="000000"/>
          <w:shd w:fill="FFFFFF" w:val="clear"/>
        </w:rPr>
        <w:t>”</w:t>
      </w:r>
      <w:r>
        <w:rPr>
          <w:rFonts w:ascii="Times New Roman;serif" w:hAnsi="Times New Roman;serif"/>
          <w:b w:val="false"/>
          <w:color w:val="000000"/>
          <w:sz w:val="24"/>
          <w:shd w:fill="FFFFFF" w:val="clear"/>
        </w:rPr>
        <w:t>); and (B) Fifty Million (50,000,000) shares of preferred stock, $0.01 par value per share (“</w:t>
      </w:r>
      <w:r>
        <w:rPr>
          <w:rFonts w:ascii="Times New Roman;serif" w:hAnsi="Times New Roman;serif"/>
          <w:b w:val="false"/>
          <w:color w:val="000000"/>
          <w:sz w:val="24"/>
          <w:u w:val="single"/>
          <w:shd w:fill="FFFFFF" w:val="clear"/>
        </w:rPr>
        <w:t>Parent Preferred Stock</w:t>
      </w:r>
      <w:r>
        <w:rPr>
          <w:color w:val="000000"/>
          <w:shd w:fill="FFFFFF" w:val="clear"/>
        </w:rPr>
        <w:t>”</w:t>
      </w:r>
      <w:r>
        <w:rPr>
          <w:rFonts w:ascii="Times New Roman;serif" w:hAnsi="Times New Roman;serif"/>
          <w:b w:val="false"/>
          <w:color w:val="000000"/>
          <w:sz w:val="24"/>
          <w:shd w:fill="FFFFFF" w:val="clear"/>
        </w:rPr>
        <w:t>), of which (1) 3,000,000 shares have been designated as 8.25% Series A Cumulative Redeemable Preferred Stock, $0.01 par value per share (“</w:t>
      </w:r>
      <w:r>
        <w:rPr>
          <w:rFonts w:ascii="Times New Roman;serif" w:hAnsi="Times New Roman;serif"/>
          <w:b w:val="false"/>
          <w:color w:val="000000"/>
          <w:sz w:val="24"/>
          <w:u w:val="single"/>
          <w:shd w:fill="FFFFFF" w:val="clear"/>
        </w:rPr>
        <w:t>Parent Series A Preferred Stock</w:t>
      </w:r>
      <w:r>
        <w:rPr>
          <w:color w:val="000000"/>
          <w:shd w:fill="FFFFFF" w:val="clear"/>
        </w:rPr>
        <w:t>”</w:t>
      </w:r>
      <w:r>
        <w:rPr>
          <w:rFonts w:ascii="Times New Roman;serif" w:hAnsi="Times New Roman;serif"/>
          <w:b w:val="false"/>
          <w:color w:val="000000"/>
          <w:sz w:val="24"/>
          <w:shd w:fill="FFFFFF" w:val="clear"/>
        </w:rPr>
        <w:t>), (2) 6,000,000 shares have been designated as 8.00% Series B Cumulative Redeemable Preferred Stock, $0.01 par value per share (“</w:t>
      </w:r>
      <w:r>
        <w:rPr>
          <w:rFonts w:ascii="Times New Roman;serif" w:hAnsi="Times New Roman;serif"/>
          <w:b w:val="false"/>
          <w:color w:val="000000"/>
          <w:sz w:val="24"/>
          <w:u w:val="single"/>
          <w:shd w:fill="FFFFFF" w:val="clear"/>
        </w:rPr>
        <w:t>Parent Series B Preferred Stock</w:t>
      </w:r>
      <w:r>
        <w:rPr>
          <w:color w:val="000000"/>
          <w:shd w:fill="FFFFFF" w:val="clear"/>
        </w:rPr>
        <w:t>”</w:t>
      </w:r>
      <w:r>
        <w:rPr>
          <w:rFonts w:ascii="Times New Roman;serif" w:hAnsi="Times New Roman;serif"/>
          <w:b w:val="false"/>
          <w:color w:val="000000"/>
          <w:sz w:val="24"/>
          <w:shd w:fill="FFFFFF" w:val="clear"/>
        </w:rPr>
        <w:t>) and (3) 4,600,000 shares have been designated as 8.000% Series C Fixed-to-Floating Rate Cumulative Redeemable Preferred Stock, $0.01 par value per share (“</w:t>
      </w:r>
      <w:r>
        <w:rPr>
          <w:rFonts w:ascii="Times New Roman;serif" w:hAnsi="Times New Roman;serif"/>
          <w:b w:val="false"/>
          <w:color w:val="000000"/>
          <w:sz w:val="24"/>
          <w:u w:val="single"/>
          <w:shd w:fill="FFFFFF" w:val="clear"/>
        </w:rPr>
        <w:t>Parent Series C Preferred Stock</w:t>
      </w:r>
      <w:r>
        <w:rPr>
          <w:color w:val="000000"/>
          <w:shd w:fill="FFFFFF" w:val="clear"/>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Parent Capitalization Date</w:t>
      </w:r>
      <w:r>
        <w:rPr>
          <w:color w:val="000000"/>
        </w:rPr>
        <w:t>”</w:t>
      </w:r>
      <w:r>
        <w:rPr>
          <w:rFonts w:ascii="Times New Roman;serif" w:hAnsi="Times New Roman;serif"/>
          <w:b w:val="false"/>
          <w:color w:val="000000"/>
          <w:sz w:val="24"/>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05"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applicable Laws, Parent’s Organizational Documents or any agreement to which Parent is a party or otherwise bound.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    Except as set forth in </w:t>
      </w:r>
      <w:r>
        <w:rPr>
          <w:rFonts w:ascii="Times New Roman;serif" w:hAnsi="Times New Roman;serif"/>
          <w:b w:val="false"/>
          <w:color w:val="000000"/>
          <w:sz w:val="24"/>
          <w:u w:val="single"/>
        </w:rPr>
        <w:t>Section 5.1(c)(i)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5.1(c)(ii)</w:t>
      </w:r>
      <w:r>
        <w:rPr>
          <w:rFonts w:ascii="Times New Roman;serif" w:hAnsi="Times New Roman;serif"/>
          <w:b w:val="false"/>
          <w:color w:val="000000"/>
          <w:sz w:val="24"/>
        </w:rPr>
        <w:t xml:space="preserve">, as of the Parent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Parent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has all requisite corporate or other organizational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serif" w:hAnsi="Times New Roman;serif"/>
          <w:b w:val="false"/>
          <w:color w:val="000000"/>
          <w:sz w:val="24"/>
          <w:u w:val="single"/>
          <w:shd w:fill="FFFFFF" w:val="clear"/>
        </w:rPr>
        <w:t>Section 6.7</w:t>
      </w:r>
      <w:r>
        <w:rPr>
          <w:rFonts w:ascii="Times New Roman;serif" w:hAnsi="Times New Roman;serif"/>
          <w:b w:val="false"/>
          <w:color w:val="000000"/>
          <w:sz w:val="24"/>
          <w:shd w:fill="FFFFFF" w:val="clear"/>
        </w:rPr>
        <w:t>, to recommend that the Parent’s stockholders approve the Parent Common Stock Issuance (the “</w:t>
      </w:r>
      <w:r>
        <w:rPr>
          <w:rFonts w:ascii="Times New Roman;serif" w:hAnsi="Times New Roman;serif"/>
          <w:b w:val="false"/>
          <w:color w:val="000000"/>
          <w:sz w:val="24"/>
          <w:u w:val="single"/>
          <w:shd w:fill="FFFFFF" w:val="clear"/>
        </w:rPr>
        <w:t>Parent Recommendation</w:t>
      </w:r>
      <w:r>
        <w:rPr>
          <w:color w:val="000000"/>
          <w:shd w:fill="FFFFFF" w:val="clear"/>
        </w:rPr>
        <w:t>”</w:t>
      </w:r>
      <w:r>
        <w:rPr>
          <w:rFonts w:ascii="Times New Roman;serif" w:hAnsi="Times New Roman;serif"/>
          <w:b w:val="false"/>
          <w:color w:val="000000"/>
          <w:sz w:val="24"/>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serif" w:hAnsi="Times New Roman;serif"/>
          <w:b w:val="false"/>
          <w:color w:val="000000"/>
          <w:sz w:val="24"/>
          <w:u w:val="single"/>
          <w:shd w:fill="FFFFFF" w:val="clear"/>
        </w:rPr>
        <w:t>Parent Stockholder Approval</w:t>
      </w:r>
      <w:r>
        <w:rPr>
          <w:color w:val="000000"/>
          <w:shd w:fill="FFFFFF" w:val="clear"/>
        </w:rPr>
        <w:t>”</w:t>
      </w:r>
      <w:r>
        <w:rPr>
          <w:rFonts w:ascii="Times New Roman;serif" w:hAnsi="Times New Roman;serif"/>
          <w:b w:val="false"/>
          <w:color w:val="000000"/>
          <w:sz w:val="24"/>
          <w:shd w:fill="FFFFFF" w:val="clear"/>
        </w:rPr>
        <w:t xml:space="preserve">) is the only vote of the stockholders of Parent or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06"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other securities of Parent (equity or otherwise) required by any applicable Law or the Organizational Documents of Parent or the applicable rules of any exchange on which securities of Parent are traded, in order for Parent to consummate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serif" w:hAnsi="Times New Roman;serif"/>
          <w:b w:val="false"/>
          <w:color w:val="000000"/>
          <w:sz w:val="24"/>
          <w:u w:val="single"/>
          <w:shd w:fill="FFFFFF" w:val="clear"/>
        </w:rPr>
        <w:t>Section 5.3(b)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07"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Parent Manager, prevent or materially impair or delay the ability of Parent Manager to consummate the Transactions before the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Parent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08"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Parent nor any of the Subsidiaries of the Parent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shd w:fill="FFFFFF" w:val="clear"/>
        </w:rPr>
        <w:t>Proxy Statement/Prospectus; Parent, Merger Sub and Parent Manager Information</w:t>
      </w:r>
      <w:r>
        <w:rPr>
          <w:rFonts w:ascii="Times New Roman;serif" w:hAnsi="Times New Roman;serif"/>
          <w:b w:val="false"/>
          <w:color w:val="000000"/>
          <w:sz w:val="24"/>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serif" w:hAnsi="Times New Roman;serif"/>
          <w:b w:val="false"/>
          <w:color w:val="000000"/>
          <w:sz w:val="24"/>
          <w:u w:val="single"/>
          <w:shd w:fill="FFFFFF" w:val="clear"/>
        </w:rPr>
        <w:t>Section 5.5</w:t>
      </w:r>
      <w:r>
        <w:rPr>
          <w:color w:val="000000"/>
          <w:shd w:fill="FFFFFF" w:val="clear"/>
        </w:rPr>
        <w:t xml:space="preserve"> </w:t>
      </w:r>
      <w:r>
        <w:rPr>
          <w:rFonts w:ascii="Times New Roman;serif" w:hAnsi="Times New Roman;serif"/>
          <w:b w:val="false"/>
          <w:color w:val="000000"/>
          <w:sz w:val="24"/>
          <w:shd w:fill="FFFFFF" w:val="clear"/>
        </w:rPr>
        <w:t>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shd w:fill="FFFFFF" w:val="clear"/>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5.7.</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Parent Material Adverse Effect, provided that any breach of the representations or warranties in </w:t>
      </w:r>
      <w:r>
        <w:rPr>
          <w:rFonts w:ascii="Times New Roman;serif" w:hAnsi="Times New Roman;serif"/>
          <w:b w:val="false"/>
          <w:color w:val="000000"/>
          <w:sz w:val="24"/>
          <w:u w:val="single"/>
        </w:rPr>
        <w:t>Section 5.7(b)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Parent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09"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10"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There are no material Tax Liens upon any property or assets of Parent or any of its Subsidiaries except for Parent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Neither Parent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Parent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11"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No written power of attorney that has been granted by Parent or any of its Subsidiaries (other than to Parent or any of its Subsidiaries) is currently in force with respect to any matter relating to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Parent nor any of its Subsidiaries have experienced an ownership change within the meaning of Section 382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shd w:fill="FFFFFF" w:val="clear"/>
        </w:rPr>
        <w:t>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serif" w:hAnsi="Times New Roman;serif"/>
          <w:b w:val="false"/>
          <w:color w:val="000000"/>
          <w:sz w:val="24"/>
          <w:u w:val="single"/>
          <w:shd w:fill="FFFFFF" w:val="clear"/>
        </w:rPr>
        <w:t>Section 5.7</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before="0" w:after="3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12"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5.10.</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No Subsidiary of Parent is required as of the date hereof to be licensed or registered with any Governmental Authority as an owner or servicer of Mortgage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13"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5.10</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5.10</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shd w:fill="FFFFFF" w:val="clear"/>
        </w:rPr>
        <w:t>Compensation;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Other than as set forth on </w:t>
      </w:r>
      <w:r>
        <w:rPr>
          <w:rFonts w:ascii="Times New Roman;serif" w:hAnsi="Times New Roman;serif"/>
          <w:b w:val="false"/>
          <w:color w:val="000000"/>
          <w:sz w:val="24"/>
          <w:u w:val="single"/>
          <w:shd w:fill="FFFFFF" w:val="clear"/>
        </w:rPr>
        <w:t>Schedule 5.11(a)</w:t>
      </w:r>
      <w:r>
        <w:rPr>
          <w:color w:val="000000"/>
          <w:shd w:fill="FFFFFF" w:val="clear"/>
        </w:rPr>
        <w:t xml:space="preserve"> </w:t>
      </w:r>
      <w:r>
        <w:rPr>
          <w:rFonts w:ascii="Times New Roman;serif" w:hAnsi="Times New Roman;serif"/>
          <w:b w:val="false"/>
          <w:color w:val="000000"/>
          <w:sz w:val="24"/>
          <w:shd w:fill="FFFFFF" w:val="clear"/>
        </w:rPr>
        <w:t>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Neither Parent nor any of its Subsidiaries has any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shd w:fill="FFFFFF" w:val="clear"/>
        </w:rPr>
        <w:t>Operations of Merger Sub</w:t>
      </w:r>
      <w:r>
        <w:rPr>
          <w:rFonts w:ascii="Times New Roman;serif" w:hAnsi="Times New Roman;serif"/>
          <w:b w:val="false"/>
          <w:color w:val="000000"/>
          <w:sz w:val="24"/>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shd w:fill="FFFFFF" w:val="clear"/>
        </w:rPr>
        <w:t>Ownership of Company Common Stock, Company Preferred Stock or Company Partnership Units</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5.15.</w:t>
      </w:r>
      <w:r>
        <w:rPr>
          <w:rFonts w:ascii="Times New Roman;serif" w:hAnsi="Times New Roman;serif"/>
          <w:b w:val="false"/>
          <w:color w:val="000000"/>
          <w:sz w:val="24"/>
          <w:u w:val="single"/>
          <w:shd w:fill="FFFFFF" w:val="clear"/>
        </w:rPr>
        <w:t>Available Funds</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Parent’s obligations under this Agreement are not subject to a condition regarding Parent’s obtaining of funds to pay the aggregate Per Share Parent Cash Consideration. Parent has, as of the date of this Agreement, and Parent will continue to have from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14"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5.16.</w:t>
      </w:r>
      <w:r>
        <w:rPr>
          <w:rFonts w:ascii="Times New Roman;serif" w:hAnsi="Times New Roman;serif"/>
          <w:b w:val="false"/>
          <w:color w:val="000000"/>
          <w:sz w:val="24"/>
          <w:u w:val="single"/>
          <w:shd w:fill="FFFFFF" w:val="clear"/>
        </w:rPr>
        <w:t>Support Agreement</w:t>
      </w:r>
      <w:r>
        <w:rPr>
          <w:rFonts w:ascii="Times New Roman;serif" w:hAnsi="Times New Roman;serif"/>
          <w:b w:val="false"/>
          <w:color w:val="000000"/>
          <w:sz w:val="24"/>
          <w:shd w:fill="FFFFFF" w:val="clear"/>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5.17.</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5.18.</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5.19.</w:t>
      </w:r>
      <w:r>
        <w:rPr>
          <w:rFonts w:ascii="Times New Roman;serif" w:hAnsi="Times New Roman;serif"/>
          <w:b w:val="false"/>
          <w:color w:val="000000"/>
          <w:sz w:val="24"/>
          <w:u w:val="single"/>
          <w:shd w:fill="FFFFFF" w:val="clear"/>
        </w:rPr>
        <w:t>Investigation; No Other Representations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15"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express representation or warranty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w:t>
        <w:br/>
        <w:br/>
      </w:r>
      <w:r>
        <w:rPr>
          <w:rFonts w:ascii="Times New Roman;serif" w:hAnsi="Times New Roman;serif"/>
          <w:b w:val="false"/>
          <w:color w:val="000000"/>
          <w:sz w:val="24"/>
          <w:shd w:fill="FFFFFF" w:val="clear"/>
        </w:rPr>
        <w:t>COVENANTS AND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w:t>
      </w:r>
      <w:r>
        <w:rPr>
          <w:rFonts w:ascii="Times New Roman;serif" w:hAnsi="Times New Roman;serif"/>
          <w:b w:val="false"/>
          <w:color w:val="000000"/>
          <w:sz w:val="24"/>
          <w:u w:val="single"/>
          <w:shd w:fill="FFFFFF" w:val="clear"/>
        </w:rPr>
        <w:t>Access to Information, Personnel and Facilities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the date of this Agreement until the earlier of the Company Merger Effective Time or the date this Agreement is terminated (the “</w:t>
      </w:r>
      <w:r>
        <w:rPr>
          <w:rFonts w:ascii="Times New Roman;serif" w:hAnsi="Times New Roman;serif"/>
          <w:b w:val="false"/>
          <w:color w:val="000000"/>
          <w:sz w:val="24"/>
          <w:u w:val="single"/>
          <w:shd w:fill="FFFFFF" w:val="clear"/>
        </w:rPr>
        <w:t>Interim Period</w:t>
      </w:r>
      <w:r>
        <w:rPr>
          <w:color w:val="000000"/>
          <w:shd w:fill="FFFFFF" w:val="clear"/>
        </w:rPr>
        <w:t>”</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6.1(b)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and (y) in the case of the Company, assisting the Company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w:t>
      </w:r>
      <w:r>
        <w:rPr>
          <w:rFonts w:ascii="Times New Roman;serif" w:hAnsi="Times New Roman;serif"/>
          <w:b w:val="false"/>
          <w:color w:val="000000"/>
          <w:sz w:val="24"/>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provided, however, that, subject to </w:t>
      </w:r>
      <w:r>
        <w:rPr>
          <w:rFonts w:ascii="Times New Roman;serif" w:hAnsi="Times New Roman;serif"/>
          <w:b w:val="false"/>
          <w:color w:val="000000"/>
          <w:sz w:val="24"/>
          <w:u w:val="single"/>
          <w:shd w:fill="FFFFFF" w:val="clear"/>
        </w:rPr>
        <w:t>Section 6.21(g)</w:t>
      </w:r>
      <w:r>
        <w:rPr>
          <w:rFonts w:ascii="Times New Roman;serif" w:hAnsi="Times New Roman;serif"/>
          <w:b w:val="false"/>
          <w:color w:val="000000"/>
          <w:sz w:val="24"/>
          <w:shd w:fill="FFFFFF" w:val="clear"/>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Nothing in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 xml:space="preserve">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such instances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16"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w:t>
      </w:r>
      <w:r>
        <w:rPr>
          <w:rFonts w:ascii="Times New Roman;serif" w:hAnsi="Times New Roman;serif"/>
          <w:b w:val="false"/>
          <w:color w:val="000000"/>
          <w:sz w:val="24"/>
          <w:u w:val="single"/>
          <w:shd w:fill="FFFFFF" w:val="clear"/>
        </w:rPr>
        <w:t>Conduct of Company 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 xml:space="preserve">as required, contemplated or permitted by this Agreement, </w:t>
      </w:r>
      <w:r>
        <w:rPr>
          <w:rFonts w:ascii="Times New Roman;serif" w:hAnsi="Times New Roman;serif"/>
          <w:b w:val="false"/>
          <w:color w:val="000000"/>
          <w:sz w:val="24"/>
        </w:rPr>
        <w:t>(ii)</w:t>
      </w:r>
      <w:r>
        <w:rPr>
          <w:color w:val="000000"/>
          <w:shd w:fill="FFFFFF" w:val="clear"/>
        </w:rPr>
        <w:t xml:space="preserve"> </w:t>
      </w:r>
      <w:r>
        <w:rPr>
          <w:rFonts w:ascii="Times New Roman;serif" w:hAnsi="Times New Roman;serif"/>
          <w:b w:val="false"/>
          <w:color w:val="000000"/>
          <w:sz w:val="24"/>
          <w:shd w:fill="FFFFFF" w:val="clear"/>
        </w:rPr>
        <w:t xml:space="preserve">with the prior written consent of Parent (not to be unreasonably withheld, conditioned or delayed), </w:t>
      </w:r>
      <w:r>
        <w:rPr>
          <w:rFonts w:ascii="Times New Roman;serif" w:hAnsi="Times New Roman;serif"/>
          <w:b w:val="false"/>
          <w:color w:val="000000"/>
          <w:sz w:val="24"/>
        </w:rPr>
        <w:t>(iii)</w:t>
      </w:r>
      <w:r>
        <w:rPr>
          <w:color w:val="000000"/>
          <w:shd w:fill="FFFFFF" w:val="clear"/>
        </w:rPr>
        <w:t xml:space="preserve"> </w:t>
      </w:r>
      <w:r>
        <w:rPr>
          <w:rFonts w:ascii="Times New Roman;serif" w:hAnsi="Times New Roman;serif"/>
          <w:b w:val="false"/>
          <w:color w:val="000000"/>
          <w:sz w:val="24"/>
          <w:shd w:fill="FFFFFF" w:val="clear"/>
        </w:rPr>
        <w:t xml:space="preserve">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6.2(a)</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Interim Covenant Exceptions</w:t>
      </w:r>
      <w:r>
        <w:rPr>
          <w:color w:val="000000"/>
          <w:shd w:fill="FFFFFF" w:val="clear"/>
        </w:rPr>
        <w:t>”</w:t>
      </w:r>
      <w:r>
        <w:rPr>
          <w:rFonts w:ascii="Times New Roman;serif" w:hAnsi="Times New Roman;serif"/>
          <w:b w:val="false"/>
          <w:color w:val="000000"/>
          <w:sz w:val="24"/>
          <w:shd w:fill="FFFFFF" w:val="clear"/>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the Company or its Subsidiaries with respect to matters specifically addressed by any provision of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the Company shall not, and shall cause its Subsidiaries not to, other than pursuant to any Interim Covenant Exception or as set forth in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of the Company Disclosure Letter: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17"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serif" w:hAnsi="Times New Roman;serif"/>
          <w:b w:val="false"/>
          <w:color w:val="000000"/>
          <w:sz w:val="24"/>
          <w:u w:val="single"/>
        </w:rPr>
        <w:t>Section 6.2(b)(i)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serif" w:hAnsi="Times New Roman;serif"/>
          <w:b w:val="false"/>
          <w:color w:val="000000"/>
          <w:sz w:val="24"/>
          <w:u w:val="single"/>
        </w:rPr>
        <w:t>Company Portfolio Securities</w:t>
      </w:r>
      <w:r>
        <w:rPr>
          <w:color w:val="000000"/>
        </w:rPr>
        <w:t>”</w:t>
      </w:r>
      <w:r>
        <w:rPr>
          <w:rFonts w:ascii="Times New Roman;serif" w:hAnsi="Times New Roman;serif"/>
          <w:b w:val="false"/>
          <w:color w:val="000000"/>
          <w:sz w:val="24"/>
        </w:rPr>
        <w:t>), in each case, in the ordinary course of business and in accordance with the Company’s investment guidelines in effect on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that involve a sale price consistent with the terms set forth in </w:t>
      </w:r>
      <w:r>
        <w:rPr>
          <w:rFonts w:ascii="Times New Roman;serif" w:hAnsi="Times New Roman;serif"/>
          <w:b w:val="false"/>
          <w:color w:val="000000"/>
          <w:sz w:val="24"/>
          <w:u w:val="single"/>
        </w:rPr>
        <w:t>Section 6.2(b)(v)</w:t>
      </w:r>
      <w:r>
        <w:rPr>
          <w:color w:val="000000"/>
        </w:rPr>
        <w:t xml:space="preserve"> </w:t>
      </w:r>
      <w:r>
        <w:rPr>
          <w:rFonts w:ascii="Times New Roman;serif" w:hAnsi="Times New Roman;serif"/>
          <w:b w:val="false"/>
          <w:color w:val="000000"/>
          <w:sz w:val="24"/>
        </w:rPr>
        <w:t xml:space="preserve">of the Company Disclosure Letter or (B) that are Company Portfolio Securities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18"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ordinary course of business and in accordance with the Company’s investment guidelines in effect on the date hereof (but excluding any bulk sales of mortgage servicing rights);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(ix)grant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will be a violation of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 xml:space="preserve">if it is (1) taken in order to comply with applicable Law; (2) required by, and taken pursuant to, a Company Equity Plan or Benefit Plan existing on the date hereof; (3) required to be taken pursuant to the Company Executive Severance Plan and Company Severance Plan; or (4) as set forth in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of the Company Disclosure Letter;</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19"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terms of any indemnification agreement in effect on the date hereof; or (G) as required under the Organizational Documents of the Company or its applicable Subsidiary as in effect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 directors relating to this Agreement, the Mergers and/or the other Transactions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20"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(xv)other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serif" w:hAnsi="Times New Roman;serif"/>
          <w:b w:val="false"/>
          <w:color w:val="000000"/>
          <w:sz w:val="24"/>
          <w:u w:val="single"/>
        </w:rPr>
        <w:t>clause (B)</w:t>
      </w:r>
      <w:r>
        <w:rPr>
          <w:rFonts w:ascii="Times New Roman;serif" w:hAnsi="Times New Roman;serif"/>
          <w:b w:val="false"/>
          <w:color w:val="000000"/>
          <w:sz w:val="24"/>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(xvi)enter into any new line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(xviii)other than with Subsidiaries of the Company, enter into any material transactions or contracts with any Affiliates of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(xix)agree or enter into any arrangement or understanding to take any action that is prohibited by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the Company shall provide Parent with reasonable advance notice of any proposed action and shall in good faith discuss such proposed action with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6.3.</w:t>
      </w:r>
      <w:r>
        <w:rPr>
          <w:rFonts w:ascii="Times New Roman;serif" w:hAnsi="Times New Roman;serif"/>
          <w:b w:val="false"/>
          <w:color w:val="000000"/>
          <w:sz w:val="24"/>
          <w:u w:val="single"/>
          <w:shd w:fill="FFFFFF" w:val="clear"/>
        </w:rPr>
        <w:t>Conduct of Parent Business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21"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6.3(a)</w:t>
      </w:r>
      <w:r>
        <w:rPr>
          <w:color w:val="000000"/>
          <w:shd w:fill="FFFFFF" w:val="clear"/>
        </w:rPr>
        <w:t xml:space="preserve"> </w:t>
      </w:r>
      <w:r>
        <w:rPr>
          <w:rFonts w:ascii="Times New Roman;serif" w:hAnsi="Times New Roman;serif"/>
          <w:b w:val="false"/>
          <w:color w:val="000000"/>
          <w:sz w:val="24"/>
          <w:shd w:fill="FFFFFF" w:val="clear"/>
        </w:rPr>
        <w:t xml:space="preserve">of the Parent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Parent Interim Covenant Exceptions</w:t>
      </w:r>
      <w:r>
        <w:rPr>
          <w:color w:val="000000"/>
          <w:shd w:fill="FFFFFF" w:val="clear"/>
        </w:rPr>
        <w:t>”</w:t>
      </w:r>
      <w:r>
        <w:rPr>
          <w:rFonts w:ascii="Times New Roman;serif" w:hAnsi="Times New Roman;serif"/>
          <w:b w:val="false"/>
          <w:color w:val="000000"/>
          <w:sz w:val="24"/>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Parent or its Subsidiaries with respect to matters specifically addressed by any provision of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Parent shall not, and shall cause its Subsidiaries not to, other than pursuant to any Parent Interim Covenant Exception or as set forth in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of the Parent Disclosure Letter: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clause (B) 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serif" w:hAnsi="Times New Roman;serif"/>
          <w:b w:val="false"/>
          <w:color w:val="000000"/>
          <w:sz w:val="24"/>
          <w:u w:val="single"/>
        </w:rPr>
        <w:t>Section 6.3(b)(i)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22"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(iii)amend Parent’s or Merger Sub’s respective Organizational Documents;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serif" w:hAnsi="Times New Roman;serif"/>
          <w:b w:val="false"/>
          <w:color w:val="000000"/>
          <w:sz w:val="24"/>
          <w:u w:val="single"/>
        </w:rPr>
        <w:t>Section 6.3(b)(v)</w:t>
      </w:r>
      <w:r>
        <w:rPr>
          <w:color w:val="000000"/>
        </w:rPr>
        <w:t xml:space="preserve"> </w:t>
      </w:r>
      <w:r>
        <w:rPr>
          <w:rFonts w:ascii="Times New Roman;serif" w:hAnsi="Times New Roman;serif"/>
          <w:b w:val="false"/>
          <w:color w:val="000000"/>
          <w:sz w:val="24"/>
        </w:rPr>
        <w:t>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(ix)take any action, or fail to take any action, which action or failure would reasonably be expected to cause Parent to fail to qualify as a REIT or any of its Subsidiaries fail to qualify as a REIT or to cease to be treated as any of (A) a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23"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disregarded entity for U.S. federal income tax purposes or (B) a REIT, Qualified REIT Subsidiary or Taxable REIT Subsidiary under the applicable provisions of Section 856 of the Code, as the case may be;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(xii)agree or enter into any arrangement or understanding to take any action that is prohibited by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Parent shall provide the Company with reasonable advance notice of any proposed action and shall in good faith discuss such proposed action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serif" w:hAnsi="Times New Roman;serif"/>
          <w:b w:val="false"/>
          <w:color w:val="000000"/>
          <w:sz w:val="24"/>
          <w:u w:val="single"/>
          <w:shd w:fill="FFFFFF" w:val="clear"/>
        </w:rPr>
        <w:t>Specified Acquisition</w:t>
      </w:r>
      <w:r>
        <w:rPr>
          <w:color w:val="000000"/>
          <w:shd w:fill="FFFFFF" w:val="clear"/>
        </w:rPr>
        <w:t>”</w:t>
      </w:r>
      <w:r>
        <w:rPr>
          <w:rFonts w:ascii="Times New Roman;serif" w:hAnsi="Times New Roman;serif"/>
          <w:b w:val="false"/>
          <w:color w:val="000000"/>
          <w:sz w:val="24"/>
          <w:shd w:fill="FFFFFF" w:val="clear"/>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shd w:fill="FFFFFF" w:val="clear"/>
        </w:rPr>
        <w:t>Obligations of Merger Sub</w:t>
      </w:r>
      <w:r>
        <w:rPr>
          <w:rFonts w:ascii="Times New Roman;serif" w:hAnsi="Times New Roman;serif"/>
          <w:b w:val="false"/>
          <w:color w:val="000000"/>
          <w:sz w:val="24"/>
          <w:shd w:fill="FFFFFF" w:val="clear"/>
        </w:rPr>
        <w:t>. Parent shall cause Merger Sub to perform its obligations under this Agreement and to consummate the Company Merger on the terms and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6.5.</w:t>
      </w:r>
      <w:r>
        <w:rPr>
          <w:rFonts w:ascii="Times New Roman;serif" w:hAnsi="Times New Roman;serif"/>
          <w:b w:val="false"/>
          <w:color w:val="000000"/>
          <w:sz w:val="24"/>
          <w:u w:val="single"/>
          <w:shd w:fill="FFFFFF" w:val="clear"/>
        </w:rPr>
        <w:t>Company No Solicitation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from the date hereof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not, and shall cause each of its Subsidiaries and its and their respective officers and directors, and shall instruct its and</w:t>
      </w:r>
      <w:r>
        <w:rPr>
          <w:color w:val="000000"/>
        </w:rPr>
        <w:t xml:space="preserve"> </w:t>
      </w:r>
      <w:r>
        <w:rPr>
          <w:rFonts w:ascii="Times New Roman;serif" w:hAnsi="Times New Roman;serif"/>
          <w:b w:val="false"/>
          <w:color w:val="000000"/>
          <w:sz w:val="24"/>
          <w:shd w:fill="FFFFFF" w:val="clear"/>
        </w:rPr>
        <w:t xml:space="preserve">its Subsidiaries’ other Representatives not to, directly or indirectly, (i) solicit, initiate, or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24"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The Company shall, and the Company shall</w:t>
      </w:r>
      <w:r>
        <w:rPr>
          <w:color w:val="000000"/>
        </w:rPr>
        <w:t xml:space="preserve"> </w:t>
      </w:r>
      <w:r>
        <w:rPr>
          <w:rFonts w:ascii="Times New Roman;serif" w:hAnsi="Times New Roman;serif"/>
          <w:b w:val="false"/>
          <w:color w:val="000000"/>
          <w:sz w:val="24"/>
          <w:shd w:fill="FFFFFF" w:val="clear"/>
        </w:rPr>
        <w:t>cause its Subsidiaries, and its and their respective officers and directors to, and shall use its reasonable best efforts to cause its and</w:t>
      </w:r>
      <w:r>
        <w:rPr>
          <w:color w:val="000000"/>
        </w:rPr>
        <w:t xml:space="preserve"> </w:t>
      </w:r>
      <w:r>
        <w:rPr>
          <w:rFonts w:ascii="Times New Roman;serif" w:hAnsi="Times New Roman;serif"/>
          <w:b w:val="false"/>
          <w:color w:val="000000"/>
          <w:sz w:val="24"/>
          <w:shd w:fill="FFFFFF" w:val="clear"/>
        </w:rPr>
        <w:t>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w:t>
      </w:r>
      <w:r>
        <w:rPr>
          <w:color w:val="000000"/>
        </w:rPr>
        <w:t xml:space="preserve"> </w:t>
      </w:r>
      <w:r>
        <w:rPr>
          <w:rFonts w:ascii="Times New Roman;serif" w:hAnsi="Times New Roman;serif"/>
          <w:b w:val="false"/>
          <w:color w:val="000000"/>
          <w:sz w:val="24"/>
          <w:shd w:fill="FFFFFF" w:val="clear"/>
        </w:rPr>
        <w:t xml:space="preserve">reasonably be expected to lead to, a Company Takeover Proposal. As promptly as practicable after the execution of this Agreement (and, in the case of </w:t>
      </w:r>
      <w:r>
        <w:rPr>
          <w:rFonts w:ascii="Times New Roman;serif" w:hAnsi="Times New Roman;serif"/>
          <w:b w:val="false"/>
          <w:color w:val="000000"/>
          <w:sz w:val="24"/>
          <w:u w:val="single"/>
          <w:shd w:fill="FFFFFF" w:val="clear"/>
        </w:rPr>
        <w:t>clause (B)</w:t>
      </w:r>
      <w:r>
        <w:rPr>
          <w:rFonts w:ascii="Times New Roman;serif" w:hAnsi="Times New Roman;serif"/>
          <w:b w:val="false"/>
          <w:color w:val="000000"/>
          <w:sz w:val="24"/>
          <w:shd w:fill="FFFFFF" w:val="clear"/>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w:t>
      </w:r>
      <w:r>
        <w:rPr>
          <w:color w:val="000000"/>
        </w:rPr>
        <w:t xml:space="preserve"> </w:t>
      </w:r>
      <w:r>
        <w:rPr>
          <w:rFonts w:ascii="Times New Roman;serif" w:hAnsi="Times New Roman;serif"/>
          <w:b w:val="false"/>
          <w:color w:val="000000"/>
          <w:sz w:val="24"/>
          <w:shd w:fill="FFFFFF" w:val="clear"/>
        </w:rPr>
        <w:t>all non-public information heretofore furnished by the Company or any of its Representatives to such person or any of its Representatives in</w:t>
      </w:r>
      <w:r>
        <w:rPr>
          <w:color w:val="000000"/>
        </w:rPr>
        <w:t xml:space="preserve"> </w:t>
      </w:r>
      <w:r>
        <w:rPr>
          <w:rFonts w:ascii="Times New Roman;serif" w:hAnsi="Times New Roman;serif"/>
          <w:b w:val="false"/>
          <w:color w:val="000000"/>
          <w:sz w:val="24"/>
          <w:shd w:fill="FFFFFF" w:val="clear"/>
        </w:rPr>
        <w:t>accordance with the terms of such confidentiality agreement and (B) terminate access to any physical or electronic data rooms relating to a</w:t>
      </w:r>
      <w:r>
        <w:rPr>
          <w:color w:val="000000"/>
        </w:rPr>
        <w:t xml:space="preserve"> </w:t>
      </w:r>
      <w:r>
        <w:rPr>
          <w:rFonts w:ascii="Times New Roman;serif" w:hAnsi="Times New Roman;serif"/>
          <w:b w:val="false"/>
          <w:color w:val="000000"/>
          <w:sz w:val="24"/>
          <w:shd w:fill="FFFFFF" w:val="clear"/>
        </w:rPr>
        <w:t>possible Company Takeover Proposal by such Person and its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25"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any event within twenty-four (24) hours) notify Parent in writing if the Company Board makes the determinations set forth in this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xml:space="preserve">. At any time after the date hereof and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w:t>
      </w:r>
      <w:r>
        <w:rPr>
          <w:color w:val="000000"/>
        </w:rPr>
        <w:t xml:space="preserve"> </w:t>
      </w:r>
      <w:r>
        <w:rPr>
          <w:rFonts w:ascii="Times New Roman;serif" w:hAnsi="Times New Roman;serif"/>
          <w:b w:val="false"/>
          <w:color w:val="000000"/>
          <w:sz w:val="24"/>
          <w:shd w:fill="FFFFFF" w:val="clear"/>
        </w:rPr>
        <w:t>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Company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serif" w:hAnsi="Times New Roman;serif"/>
          <w:b w:val="false"/>
          <w:color w:val="000000"/>
          <w:sz w:val="24"/>
          <w:u w:val="single"/>
          <w:shd w:fill="FFFFFF" w:val="clear"/>
        </w:rPr>
        <w:t>Section 6.8(a)</w:t>
      </w:r>
      <w:r>
        <w:rPr>
          <w:rFonts w:ascii="Times New Roman;serif" w:hAnsi="Times New Roman;serif"/>
          <w:b w:val="false"/>
          <w:color w:val="000000"/>
          <w:sz w:val="24"/>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Company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serif" w:hAnsi="Times New Roman;serif"/>
          <w:b w:val="false"/>
          <w:color w:val="000000"/>
          <w:sz w:val="24"/>
          <w:u w:val="single"/>
          <w:shd w:fill="FFFFFF" w:val="clear"/>
        </w:rPr>
        <w:t>Section 6.5(a)</w:t>
      </w:r>
      <w:r>
        <w:rPr>
          <w:color w:val="000000"/>
          <w:shd w:fill="FFFFFF" w:val="clear"/>
        </w:rPr>
        <w:t xml:space="preserve"> </w:t>
      </w:r>
      <w:r>
        <w:rPr>
          <w:rFonts w:ascii="Times New Roman;serif" w:hAnsi="Times New Roman;serif"/>
          <w:b w:val="false"/>
          <w:color w:val="000000"/>
          <w:sz w:val="24"/>
          <w:shd w:fill="FFFFFF" w:val="clear"/>
        </w:rPr>
        <w:t xml:space="preserve">which the Company Board determines in good faith, after consultation with its independent financial advisor and outside legal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26"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serif" w:hAnsi="Times New Roman;serif"/>
          <w:b w:val="false"/>
          <w:color w:val="000000"/>
          <w:sz w:val="24"/>
          <w:u w:val="single"/>
          <w:shd w:fill="FFFFFF" w:val="clear"/>
        </w:rPr>
        <w:t>Section 8.1(d)(ii)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the Company shall be required to comply with the requirements of this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Company Change of Recommendation in Response to Company Intervening Event</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6.5</w:t>
      </w:r>
      <w:r>
        <w:rPr>
          <w:color w:val="000000"/>
          <w:shd w:fill="FFFFFF" w:val="clear"/>
        </w:rPr>
        <w:t xml:space="preserve"> </w:t>
      </w:r>
      <w:r>
        <w:rPr>
          <w:rFonts w:ascii="Times New Roman;serif" w:hAnsi="Times New Roman;serif"/>
          <w:b w:val="false"/>
          <w:color w:val="000000"/>
          <w:sz w:val="24"/>
          <w:shd w:fill="FFFFFF" w:val="clear"/>
        </w:rPr>
        <w:t xml:space="preserve">shall prohibit the Company, the Company Board or a committee thereof from (i) taking and disclosing to the stockholders of the Company a position contemplated by Rule 14e-2(a) or Rule 14d-9 promulgated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27"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or (v) making any “stop, look and listen” communication to the stockholders of the Company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6.5(f)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Company Board or any committee thereof to make a Company Change of Recommendation other than in accordance with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6.5(e)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6.6.</w:t>
      </w:r>
      <w:r>
        <w:rPr>
          <w:rFonts w:ascii="Times New Roman;serif" w:hAnsi="Times New Roman;serif"/>
          <w:b w:val="false"/>
          <w:color w:val="000000"/>
          <w:sz w:val="24"/>
          <w:u w:val="single"/>
          <w:shd w:fill="FFFFFF" w:val="clear"/>
        </w:rPr>
        <w:t>Parent No-Solicitation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6.6(a)</w:t>
      </w:r>
      <w:r>
        <w:rPr>
          <w:rFonts w:ascii="Times New Roman;serif" w:hAnsi="Times New Roman;serif"/>
          <w:b w:val="false"/>
          <w:color w:val="000000"/>
          <w:sz w:val="24"/>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28"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written Parent Takeover Proposal and its Representatives, prospective debt and equity financing sources and/or their respective Representatives (provided, however,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provided, however,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Parent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29"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Parent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serif" w:hAnsi="Times New Roman;serif"/>
          <w:b w:val="false"/>
          <w:color w:val="000000"/>
          <w:sz w:val="24"/>
          <w:u w:val="single"/>
          <w:shd w:fill="FFFFFF" w:val="clear"/>
        </w:rPr>
        <w:t>Section 6.6(a)</w:t>
      </w:r>
      <w:r>
        <w:rPr>
          <w:color w:val="000000"/>
          <w:shd w:fill="FFFFFF" w:val="clear"/>
        </w:rPr>
        <w:t xml:space="preserve"> </w:t>
      </w:r>
      <w:r>
        <w:rPr>
          <w:rFonts w:ascii="Times New Roman;serif" w:hAnsi="Times New Roman;serif"/>
          <w:b w:val="false"/>
          <w:color w:val="000000"/>
          <w:sz w:val="24"/>
          <w:shd w:fill="FFFFFF" w:val="clear"/>
        </w:rPr>
        <w:t xml:space="preserve">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serif" w:hAnsi="Times New Roman;serif"/>
          <w:b w:val="false"/>
          <w:color w:val="000000"/>
          <w:sz w:val="24"/>
          <w:u w:val="single"/>
          <w:shd w:fill="FFFFFF" w:val="clear"/>
        </w:rPr>
        <w:t>Section 8.1(e)(ii)</w:t>
      </w:r>
      <w:r>
        <w:rPr>
          <w:rFonts w:ascii="Times New Roman;serif" w:hAnsi="Times New Roman;serif"/>
          <w:b w:val="false"/>
          <w:color w:val="000000"/>
          <w:sz w:val="24"/>
          <w:shd w:fill="FFFFFF" w:val="clear"/>
        </w:rPr>
        <w:t xml:space="preserve">; provided, however,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clause (D) 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clause (A) above of this proviso and a new notice period under clause (A) of this proviso shall commence (provided, however, that the notice period thereunder shall only be three (3) Business Days) during which time Parent shall be required to comply with the requirements of this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anew with respect to such additional notice, including clauses (A) through (D) 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Parent Change of Recommendation in Response to Parent Intervening Event</w:t>
      </w:r>
      <w:r>
        <w:rPr>
          <w:rFonts w:ascii="Times New Roman;serif" w:hAnsi="Times New Roman;serif"/>
          <w:b w:val="false"/>
          <w:color w:val="000000"/>
          <w:sz w:val="24"/>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provided, however,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30"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6.6</w:t>
      </w:r>
      <w:r>
        <w:rPr>
          <w:color w:val="000000"/>
          <w:shd w:fill="FFFFFF" w:val="clear"/>
        </w:rPr>
        <w:t xml:space="preserve"> </w:t>
      </w:r>
      <w:r>
        <w:rPr>
          <w:rFonts w:ascii="Times New Roman;serif" w:hAnsi="Times New Roman;serif"/>
          <w:b w:val="false"/>
          <w:color w:val="000000"/>
          <w:sz w:val="24"/>
          <w:shd w:fill="FFFFFF" w:val="clear"/>
        </w:rPr>
        <w:t xml:space="preserve">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or (v) making any “stop, look and listen” communication to the stockholders of Parent pursuant to Rule 14d-9(f) under the Exchange Act (or any substantially similar communication); provided, however, that this </w:t>
      </w:r>
      <w:r>
        <w:rPr>
          <w:rFonts w:ascii="Times New Roman;serif" w:hAnsi="Times New Roman;serif"/>
          <w:b w:val="false"/>
          <w:color w:val="000000"/>
          <w:sz w:val="24"/>
          <w:u w:val="single"/>
          <w:shd w:fill="FFFFFF" w:val="clear"/>
        </w:rPr>
        <w:t>Section 6.6(f)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Parent Board or any committee thereof to make a Parent Change of Recommendation other than in accordance with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6.6(e)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6.7.</w:t>
      </w:r>
      <w:r>
        <w:rPr>
          <w:rFonts w:ascii="Times New Roman;serif" w:hAnsi="Times New Roman;serif"/>
          <w:b w:val="false"/>
          <w:color w:val="000000"/>
          <w:sz w:val="24"/>
          <w:u w:val="single"/>
          <w:shd w:fill="FFFFFF" w:val="clear"/>
        </w:rPr>
        <w:t>Form S-4 and Joint Proxy Statement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serif" w:hAnsi="Times New Roman;serif"/>
          <w:b w:val="false"/>
          <w:color w:val="000000"/>
          <w:sz w:val="24"/>
          <w:u w:val="single"/>
          <w:shd w:fill="FFFFFF" w:val="clear"/>
        </w:rPr>
        <w:t>Form S-4</w:t>
      </w:r>
      <w:r>
        <w:rPr>
          <w:color w:val="000000"/>
          <w:shd w:fill="FFFFFF" w:val="clear"/>
        </w:rPr>
        <w:t>”</w:t>
      </w:r>
      <w:r>
        <w:rPr>
          <w:rFonts w:ascii="Times New Roman;serif" w:hAnsi="Times New Roman;serif"/>
          <w:b w:val="false"/>
          <w:color w:val="000000"/>
          <w:sz w:val="24"/>
          <w:shd w:fill="FFFFFF" w:val="clear"/>
        </w:rPr>
        <w:t>), in which the Joint Proxy Statement shall be included as a prospectus (collectively, the “</w:t>
      </w:r>
      <w:r>
        <w:rPr>
          <w:rFonts w:ascii="Times New Roman;serif" w:hAnsi="Times New Roman;serif"/>
          <w:b w:val="false"/>
          <w:color w:val="000000"/>
          <w:sz w:val="24"/>
          <w:u w:val="single"/>
          <w:shd w:fill="FFFFFF" w:val="clear"/>
        </w:rPr>
        <w:t>Proxy Statement/Prospectus</w:t>
      </w:r>
      <w:r>
        <w:rPr>
          <w:color w:val="000000"/>
          <w:shd w:fill="FFFFFF" w:val="clear"/>
        </w:rPr>
        <w:t>”</w:t>
      </w:r>
      <w:r>
        <w:rPr>
          <w:rFonts w:ascii="Times New Roman;serif" w:hAnsi="Times New Roman;serif"/>
          <w:b w:val="false"/>
          <w:color w:val="000000"/>
          <w:sz w:val="24"/>
          <w:shd w:fill="FFFFFF" w:val="clear"/>
        </w:rPr>
        <w:t xml:space="preserve">).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31"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6.8.</w:t>
      </w:r>
      <w:r>
        <w:rPr>
          <w:rFonts w:ascii="Times New Roman;serif" w:hAnsi="Times New Roman;serif"/>
          <w:b w:val="false"/>
          <w:color w:val="000000"/>
          <w:sz w:val="24"/>
          <w:u w:val="single"/>
          <w:shd w:fill="FFFFFF" w:val="clear"/>
        </w:rPr>
        <w:t>Stockholders Meetings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serif" w:hAnsi="Times New Roman;serif"/>
          <w:b w:val="false"/>
          <w:color w:val="000000"/>
          <w:sz w:val="24"/>
          <w:u w:val="single"/>
          <w:shd w:fill="FFFFFF" w:val="clear"/>
        </w:rPr>
        <w:t>Company Stockholders Meeting</w:t>
      </w:r>
      <w:r>
        <w:rPr>
          <w:color w:val="000000"/>
          <w:shd w:fill="FFFFFF" w:val="clear"/>
        </w:rPr>
        <w:t>”</w:t>
      </w:r>
      <w:r>
        <w:rPr>
          <w:rFonts w:ascii="Times New Roman;serif" w:hAnsi="Times New Roman;serif"/>
          <w:b w:val="false"/>
          <w:color w:val="000000"/>
          <w:sz w:val="24"/>
          <w:shd w:fill="FFFFFF" w:val="clear"/>
        </w:rPr>
        <w:t xml:space="preserve">); and (ii) subject to a Company Change of Recommendation pursuant to, and in accordance with,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include in the Proxy Statement/Prospectus the Company Recommendation and use reasonable best efforts to solicit from the Company’s stockholders proxies in favor of the approval of this Agreement and approval of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32"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 Company Change of Recommendation, but subject to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serif" w:hAnsi="Times New Roman;serif"/>
          <w:b w:val="false"/>
          <w:color w:val="000000"/>
          <w:sz w:val="24"/>
          <w:u w:val="single"/>
          <w:shd w:fill="FFFFFF" w:val="clear"/>
        </w:rPr>
        <w:t>Parent Stockholders Meeting</w:t>
      </w:r>
      <w:r>
        <w:rPr>
          <w:color w:val="000000"/>
          <w:shd w:fill="FFFFFF" w:val="clear"/>
        </w:rPr>
        <w:t>”</w:t>
      </w:r>
      <w:r>
        <w:rPr>
          <w:rFonts w:ascii="Times New Roman;serif" w:hAnsi="Times New Roman;serif"/>
          <w:b w:val="false"/>
          <w:color w:val="000000"/>
          <w:sz w:val="24"/>
          <w:shd w:fill="FFFFFF" w:val="clear"/>
        </w:rPr>
        <w:t xml:space="preserve">); and (ii) subject to a Parent Change of Recommendation pursuant to, and in accordance with,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include in the Proxy Statement/Prospectus the Parent Recommendation and use reasonable best efforts to solicit from Parent’s stockholders proxies in favor of the approval of the Parent Common Stock Issuance.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 Parent Change of Recommendation, but subject to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The parties shall use their reasonable best efforts to hold the Company Stockholders Meeting and the Parent Stockholders Meeting on the same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6.9.</w:t>
      </w:r>
      <w:r>
        <w:rPr>
          <w:rFonts w:ascii="Times New Roman;serif" w:hAnsi="Times New Roman;serif"/>
          <w:b w:val="false"/>
          <w:color w:val="000000"/>
          <w:sz w:val="24"/>
          <w:u w:val="single"/>
          <w:shd w:fill="FFFFFF" w:val="clear"/>
        </w:rPr>
        <w:t>Efforts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 xml:space="preserve">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33"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Transactions; and (iii) taking all actions, subject to the limitations of this Section 6.9,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serif" w:hAnsi="Times New Roman;serif"/>
          <w:b w:val="false"/>
          <w:color w:val="000000"/>
          <w:sz w:val="24"/>
          <w:u w:val="single"/>
          <w:shd w:fill="FFFFFF" w:val="clear"/>
        </w:rPr>
        <w:t>Section 6.9(b)</w:t>
      </w:r>
      <w:r>
        <w:rPr>
          <w:color w:val="000000"/>
          <w:shd w:fill="FFFFFF" w:val="clear"/>
        </w:rPr>
        <w:t xml:space="preserve"> </w:t>
      </w:r>
      <w:r>
        <w:rPr>
          <w:rFonts w:ascii="Times New Roman;serif" w:hAnsi="Times New Roman;serif"/>
          <w:b w:val="false"/>
          <w:color w:val="000000"/>
          <w:sz w:val="24"/>
          <w:shd w:fill="FFFFFF" w:val="clear"/>
        </w:rPr>
        <w:t xml:space="preserve">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materials provided pursuant to this </w:t>
      </w:r>
      <w:r>
        <w:rPr>
          <w:rFonts w:ascii="Times New Roman;serif" w:hAnsi="Times New Roman;serif"/>
          <w:b w:val="false"/>
          <w:color w:val="000000"/>
          <w:sz w:val="24"/>
          <w:u w:val="single"/>
          <w:shd w:fill="FFFFFF" w:val="clear"/>
        </w:rPr>
        <w:t>Section 6.9</w:t>
      </w:r>
      <w:r>
        <w:rPr>
          <w:color w:val="000000"/>
          <w:shd w:fill="FFFFFF" w:val="clear"/>
        </w:rPr>
        <w:t xml:space="preserve"> </w:t>
      </w:r>
      <w:r>
        <w:rPr>
          <w:rFonts w:ascii="Times New Roman;serif" w:hAnsi="Times New Roman;serif"/>
          <w:b w:val="false"/>
          <w:color w:val="000000"/>
          <w:sz w:val="24"/>
          <w:shd w:fill="FFFFFF" w:val="clear"/>
        </w:rPr>
        <w:t xml:space="preserve">may be redacted (i) to remove references concerning the valuation or future plans of the Company and the Transactions; (ii) as necessary to comply with existing contractual obligations; and (iii) as necessary to address reasonable privilege concerns; provided, however, that a party redacting materials shall use its reasonable best efforts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34"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appropriate substitute arrangements to permit reasonable disclosure of such information not in violation of any applicable Law, existing contractual obligation, or privilege.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serif" w:hAnsi="Times New Roman;serif"/>
          <w:b w:val="false"/>
          <w:color w:val="000000"/>
          <w:sz w:val="24"/>
          <w:u w:val="single"/>
          <w:shd w:fill="FFFFFF" w:val="clear"/>
        </w:rPr>
        <w:t>Facility Documentation</w:t>
      </w:r>
      <w:r>
        <w:rPr>
          <w:color w:val="000000"/>
          <w:shd w:fill="FFFFFF" w:val="clear"/>
        </w:rPr>
        <w:t>”</w:t>
      </w:r>
      <w:r>
        <w:rPr>
          <w:rFonts w:ascii="Times New Roman;serif" w:hAnsi="Times New Roman;serif"/>
          <w:b w:val="false"/>
          <w:color w:val="000000"/>
          <w:sz w:val="24"/>
          <w:shd w:fill="FFFFFF" w:val="clear"/>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shd w:fill="FFFFFF" w:val="clear"/>
        </w:rPr>
        <w:t>Public Announcements</w:t>
      </w:r>
      <w:r>
        <w:rPr>
          <w:rFonts w:ascii="Times New Roman;serif" w:hAnsi="Times New Roman;serif"/>
          <w:b w:val="false"/>
          <w:color w:val="000000"/>
          <w:sz w:val="24"/>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subject to compliance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6.6</w:t>
      </w:r>
      <w:r>
        <w:rPr>
          <w:rFonts w:ascii="Times New Roman;serif" w:hAnsi="Times New Roman;serif"/>
          <w:b w:val="false"/>
          <w:color w:val="000000"/>
          <w:sz w:val="24"/>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35"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6.11.</w:t>
      </w:r>
      <w:r>
        <w:rPr>
          <w:rFonts w:ascii="Times New Roman;serif" w:hAnsi="Times New Roman;serif"/>
          <w:b w:val="false"/>
          <w:color w:val="000000"/>
          <w:sz w:val="24"/>
          <w:u w:val="single"/>
          <w:shd w:fill="FFFFFF" w:val="clear"/>
        </w:rPr>
        <w:t>Indemnification and Insurance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serif" w:hAnsi="Times New Roman;serif"/>
          <w:b w:val="false"/>
          <w:color w:val="000000"/>
          <w:sz w:val="24"/>
          <w:u w:val="single"/>
          <w:shd w:fill="FFFFFF" w:val="clear"/>
        </w:rPr>
        <w:t>Covered Persons</w:t>
      </w:r>
      <w:r>
        <w:rPr>
          <w:color w:val="000000"/>
          <w:shd w:fill="FFFFFF" w:val="clear"/>
        </w:rPr>
        <w:t>”</w:t>
      </w:r>
      <w:r>
        <w:rPr>
          <w:rFonts w:ascii="Times New Roman;serif" w:hAnsi="Times New Roman;serif"/>
          <w:b w:val="false"/>
          <w:color w:val="000000"/>
          <w:sz w:val="24"/>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serif" w:hAnsi="Times New Roman;serif"/>
          <w:b w:val="false"/>
          <w:color w:val="000000"/>
          <w:sz w:val="24"/>
          <w:u w:val="single"/>
          <w:shd w:fill="FFFFFF" w:val="clear"/>
        </w:rPr>
        <w:t>Section 6.14</w:t>
      </w:r>
      <w:r>
        <w:rPr>
          <w:rFonts w:ascii="Times New Roman;serif" w:hAnsi="Times New Roman;serif"/>
          <w:b w:val="false"/>
          <w:color w:val="000000"/>
          <w:sz w:val="24"/>
          <w:shd w:fill="FFFFFF" w:val="clear"/>
        </w:rPr>
        <w:t>);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 xml:space="preserve">shall continue in effect until the final disposition of such D&amp;O Claim. Following the Company Merger Effective Time, the indemnification Contracts in existence on the date of this Agreement set forth on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of the Company Disclosure Letter with any of the Covered Persons shall be assumed by the Surviving Entity, without any further action, and shall continue in full force and effect in accordance with their terms.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36"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Company Merger Effective Time; provided, however,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obligations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 xml:space="preserve">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In the event of any breach by the Surviving Entity or Parent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the Surviving Entity shall pay all reasonable expenses, including attorneys’ fees, that may be incurred by Covered Persons in successfully enforcing the indemnity and other obligations provided in this Section 6.11 as such fees are incurred, upon the written request of such Covered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The rights of the Covered Persons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shd w:fill="FFFFFF" w:val="clear"/>
        </w:rPr>
        <w:t>Exchange Delisting</w:t>
      </w:r>
      <w:r>
        <w:rPr>
          <w:rFonts w:ascii="Times New Roman;serif" w:hAnsi="Times New Roman;serif"/>
          <w:b w:val="false"/>
          <w:color w:val="000000"/>
          <w:sz w:val="24"/>
          <w:shd w:fill="FFFFFF" w:val="clear"/>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shd w:fill="FFFFFF" w:val="clear"/>
        </w:rPr>
        <w:t>Listing</w:t>
      </w:r>
      <w:r>
        <w:rPr>
          <w:rFonts w:ascii="Times New Roman;serif" w:hAnsi="Times New Roman;serif"/>
          <w:b w:val="false"/>
          <w:color w:val="000000"/>
          <w:sz w:val="24"/>
          <w:shd w:fill="FFFFFF" w:val="clear"/>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shd w:fill="FFFFFF" w:val="clear"/>
        </w:rPr>
        <w:t>Transaction Litigation</w:t>
      </w:r>
      <w:r>
        <w:rPr>
          <w:rFonts w:ascii="Times New Roman;serif" w:hAnsi="Times New Roman;serif"/>
          <w:b w:val="false"/>
          <w:color w:val="000000"/>
          <w:sz w:val="24"/>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37"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shd w:fill="FFFFFF" w:val="clear"/>
        </w:rPr>
        <w:t>Rule 16b-3</w:t>
      </w:r>
      <w:r>
        <w:rPr>
          <w:rFonts w:ascii="Times New Roman;serif" w:hAnsi="Times New Roman;serif"/>
          <w:b w:val="false"/>
          <w:color w:val="000000"/>
          <w:sz w:val="24"/>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shd w:fill="FFFFFF" w:val="clear"/>
        </w:rPr>
        <w:t>Takeover Law</w:t>
      </w:r>
      <w:r>
        <w:rPr>
          <w:rFonts w:ascii="Times New Roman;serif" w:hAnsi="Times New Roman;serif"/>
          <w:b w:val="false"/>
          <w:color w:val="000000"/>
          <w:sz w:val="24"/>
          <w:shd w:fill="FFFFFF" w:val="clear"/>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shd w:fill="FFFFFF" w:val="clear"/>
        </w:rPr>
        <w:t>Resignations</w:t>
      </w:r>
      <w:r>
        <w:rPr>
          <w:rFonts w:ascii="Times New Roman;serif" w:hAnsi="Times New Roman;serif"/>
          <w:b w:val="false"/>
          <w:color w:val="000000"/>
          <w:sz w:val="24"/>
          <w:shd w:fill="FFFFFF" w:val="clear"/>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shd w:fill="FFFFFF" w:val="clear"/>
        </w:rPr>
        <w:t>Control of Operations</w:t>
      </w:r>
      <w:r>
        <w:rPr>
          <w:rFonts w:ascii="Times New Roman;serif" w:hAnsi="Times New Roman;serif"/>
          <w:b w:val="false"/>
          <w:color w:val="000000"/>
          <w:sz w:val="24"/>
          <w:shd w:fill="FFFFFF" w:val="clear"/>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6.19.</w:t>
      </w:r>
      <w:r>
        <w:rPr>
          <w:rFonts w:ascii="Times New Roman;serif" w:hAnsi="Times New Roman;serif"/>
          <w:b w:val="false"/>
          <w:color w:val="000000"/>
          <w:sz w:val="24"/>
          <w:u w:val="single"/>
          <w:shd w:fill="FFFFFF" w:val="clear"/>
        </w:rPr>
        <w:t>Additional Dividends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Prior to the Company Merger Effective Time, the Company may authorize and declare a dividend to its stockholders pursuant to this </w:t>
      </w:r>
      <w:r>
        <w:rPr>
          <w:rFonts w:ascii="Times New Roman;serif" w:hAnsi="Times New Roman;serif"/>
          <w:b w:val="false"/>
          <w:color w:val="000000"/>
          <w:sz w:val="24"/>
          <w:u w:val="single"/>
          <w:shd w:fill="FFFFFF" w:val="clear"/>
        </w:rPr>
        <w:t>Section 6.19(a)</w:t>
      </w:r>
      <w:r>
        <w:rPr>
          <w:rFonts w:ascii="Times New Roman;serif" w:hAnsi="Times New Roman;serif"/>
          <w:b w:val="false"/>
          <w:color w:val="000000"/>
          <w:sz w:val="24"/>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serif" w:hAnsi="Times New Roman;serif"/>
          <w:b w:val="false"/>
          <w:color w:val="000000"/>
          <w:sz w:val="24"/>
          <w:u w:val="single"/>
          <w:shd w:fill="FFFFFF" w:val="clear"/>
        </w:rPr>
        <w:t>Section 6.19(a)</w:t>
      </w:r>
      <w:r>
        <w:rPr>
          <w:color w:val="000000"/>
          <w:shd w:fill="FFFFFF" w:val="clear"/>
        </w:rPr>
        <w:t xml:space="preserve"> </w:t>
      </w:r>
      <w:r>
        <w:rPr>
          <w:rFonts w:ascii="Times New Roman;serif" w:hAnsi="Times New Roman;serif"/>
          <w:b w:val="false"/>
          <w:color w:val="000000"/>
          <w:sz w:val="24"/>
          <w:shd w:fill="FFFFFF" w:val="clear"/>
        </w:rPr>
        <w:t>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Company Additional Dividend Amount</w:t>
      </w:r>
      <w:r>
        <w:rPr>
          <w:color w:val="000000"/>
          <w:shd w:fill="FFFFFF" w:val="clear"/>
        </w:rPr>
        <w:t>”</w:t>
      </w:r>
      <w:r>
        <w:rPr>
          <w:rFonts w:ascii="Times New Roman;serif" w:hAnsi="Times New Roman;serif"/>
          <w:b w:val="false"/>
          <w:color w:val="000000"/>
          <w:sz w:val="24"/>
          <w:shd w:fill="FFFFFF" w:val="clear"/>
        </w:rPr>
        <w:t xml:space="preserve">), if any, necessary so that the aggregate dividend payable is equal to the Minimum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38"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Prior to the Company Merger Effective Time, Parent may, in its sole discretion, authorize and declare a dividend to its stockholders pursuant to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serif" w:hAnsi="Times New Roman;serif"/>
          <w:b w:val="false"/>
          <w:color w:val="000000"/>
          <w:sz w:val="24"/>
          <w:u w:val="single"/>
          <w:shd w:fill="FFFFFF" w:val="clear"/>
        </w:rPr>
        <w:t>Section 6.19(b)</w:t>
      </w:r>
      <w:r>
        <w:rPr>
          <w:color w:val="000000"/>
          <w:shd w:fill="FFFFFF" w:val="clear"/>
        </w:rPr>
        <w:t xml:space="preserve"> </w:t>
      </w:r>
      <w:r>
        <w:rPr>
          <w:rFonts w:ascii="Times New Roman;serif" w:hAnsi="Times New Roman;serif"/>
          <w:b w:val="false"/>
          <w:color w:val="000000"/>
          <w:sz w:val="24"/>
          <w:shd w:fill="FFFFFF" w:val="clear"/>
        </w:rPr>
        <w:t>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Parent Additional Dividend Amount</w:t>
      </w:r>
      <w:r>
        <w:rPr>
          <w:color w:val="000000"/>
          <w:shd w:fill="FFFFFF" w:val="clear"/>
        </w:rPr>
        <w:t>”</w:t>
      </w:r>
      <w:r>
        <w:rPr>
          <w:rFonts w:ascii="Times New Roman;serif" w:hAnsi="Times New Roman;serif"/>
          <w:b w:val="false"/>
          <w:color w:val="000000"/>
          <w:sz w:val="24"/>
          <w:shd w:fill="FFFFFF" w:val="clear"/>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6.20.</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shall (i) use its reasonable best efforts to obtain the opinions of counsel referred to in </w:t>
      </w:r>
      <w:r>
        <w:rPr>
          <w:rFonts w:ascii="Times New Roman;serif" w:hAnsi="Times New Roman;serif"/>
          <w:b w:val="false"/>
          <w:color w:val="000000"/>
          <w:sz w:val="24"/>
          <w:u w:val="single"/>
          <w:shd w:fill="FFFFFF" w:val="clear"/>
        </w:rPr>
        <w:t>Section 7.3(d)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shall (i) use its reasonable best efforts to obtain the opinions of counsel referred to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6.21.</w:t>
      </w:r>
      <w:r>
        <w:rPr>
          <w:rFonts w:ascii="Times New Roman;serif" w:hAnsi="Times New Roman;serif"/>
          <w:b w:val="false"/>
          <w:color w:val="000000"/>
          <w:sz w:val="24"/>
          <w:u w:val="single"/>
          <w:shd w:fill="FFFFFF" w:val="clear"/>
        </w:rPr>
        <w:t>Employee Matters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39"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serif" w:hAnsi="Times New Roman;serif"/>
          <w:b w:val="false"/>
          <w:color w:val="000000"/>
          <w:sz w:val="24"/>
          <w:u w:val="single"/>
          <w:shd w:fill="FFFFFF" w:val="clear"/>
        </w:rPr>
        <w:t>Continuing Employee</w:t>
      </w:r>
      <w:r>
        <w:rPr>
          <w:color w:val="000000"/>
          <w:shd w:fill="FFFFFF" w:val="clear"/>
        </w:rPr>
        <w:t>”</w:t>
      </w:r>
      <w:r>
        <w:rPr>
          <w:rFonts w:ascii="Times New Roman;serif" w:hAnsi="Times New Roman;serif"/>
          <w:b w:val="false"/>
          <w:color w:val="000000"/>
          <w:sz w:val="24"/>
          <w:shd w:fill="FFFFFF" w:val="clear"/>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From and after the Closing, Parent shall be responsible for any and all notices, liabilities, costs, payments and expenses arising directly from any action by Parent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40"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“M&amp;A qualified beneficiary,”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w:t>
      </w:r>
      <w:r>
        <w:rPr>
          <w:rFonts w:ascii="Times New Roman;serif" w:hAnsi="Times New Roman;serif"/>
          <w:b w:val="false"/>
          <w:color w:val="000000"/>
          <w:sz w:val="24"/>
          <w:u w:val="single"/>
          <w:shd w:fill="FFFFFF" w:val="clear"/>
        </w:rPr>
        <w:t>Section 6.21(f)</w:t>
      </w:r>
      <w:r>
        <w:rPr>
          <w:rFonts w:ascii="Times New Roman;serif" w:hAnsi="Times New Roman;serif"/>
          <w:b w:val="false"/>
          <w:color w:val="000000"/>
          <w:sz w:val="24"/>
          <w:shd w:fill="FFFFFF" w:val="clear"/>
        </w:rPr>
        <w:t>.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41"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With respect to matters described in this </w:t>
      </w:r>
      <w:r>
        <w:rPr>
          <w:rFonts w:ascii="Times New Roman;serif" w:hAnsi="Times New Roman;serif"/>
          <w:b w:val="false"/>
          <w:color w:val="000000"/>
          <w:sz w:val="24"/>
          <w:u w:val="single"/>
          <w:shd w:fill="FFFFFF" w:val="clear"/>
        </w:rPr>
        <w:t>Section 6.21</w:t>
      </w:r>
      <w:r>
        <w:rPr>
          <w:rFonts w:ascii="Times New Roman;serif" w:hAnsi="Times New Roman;serif"/>
          <w:b w:val="false"/>
          <w:color w:val="000000"/>
          <w:sz w:val="24"/>
          <w:shd w:fill="FFFFFF" w:val="clear"/>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Each of the parties to this agreement hereby agrees that no provision of this Section 6.21 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w:t>
        <w:br/>
        <w:br/>
      </w:r>
      <w:r>
        <w:rPr>
          <w:rFonts w:ascii="Times New Roman;serif" w:hAnsi="Times New Roman;serif"/>
          <w:b w:val="false"/>
          <w:color w:val="000000"/>
          <w:sz w:val="24"/>
          <w:shd w:fill="FFFFFF" w:val="clear"/>
        </w:rPr>
        <w:t>CONDITIONS PRECEDENT TO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shd w:fill="FFFFFF" w:val="clear"/>
        </w:rPr>
        <w:t>Conditions to Each Party’s Obligations</w:t>
      </w:r>
      <w:r>
        <w:rPr>
          <w:rFonts w:ascii="Times New Roman;serif" w:hAnsi="Times New Roman;serif"/>
          <w:b w:val="false"/>
          <w:color w:val="000000"/>
          <w:sz w:val="24"/>
        </w:rPr>
        <w:t xml:space="preserve">. The obligations of the Company, the Company Operating Partnership, Parent, Merger Sub and Parent Manager to complete the Closing and effect the Mergers under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are subject to the satisfaction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No Prohibition</w:t>
      </w:r>
      <w:r>
        <w:rPr>
          <w:rFonts w:ascii="Times New Roman;serif" w:hAnsi="Times New Roman;serif"/>
          <w:b w:val="false"/>
          <w:color w:val="000000"/>
          <w:sz w:val="24"/>
          <w:shd w:fill="FFFFFF" w:val="clear"/>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Stockholder Approval</w:t>
      </w:r>
      <w:r>
        <w:rPr>
          <w:rFonts w:ascii="Times New Roman;serif" w:hAnsi="Times New Roman;serif"/>
          <w:b w:val="false"/>
          <w:color w:val="000000"/>
          <w:sz w:val="24"/>
          <w:shd w:fill="FFFFFF" w:val="clear"/>
        </w:rPr>
        <w:t>. (i) The Company Stockholder Approval shall have been obtained and (ii) the Parent Stockholder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Form S-4</w:t>
      </w:r>
      <w:r>
        <w:rPr>
          <w:rFonts w:ascii="Times New Roman;serif" w:hAnsi="Times New Roman;serif"/>
          <w:b w:val="false"/>
          <w:color w:val="000000"/>
          <w:sz w:val="24"/>
          <w:shd w:fill="FFFFFF" w:val="clear"/>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42"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Parent Common Stock and Parent Preferred Stock</w:t>
      </w:r>
      <w:r>
        <w:rPr>
          <w:rFonts w:ascii="Times New Roman;serif" w:hAnsi="Times New Roman;serif"/>
          <w:b w:val="false"/>
          <w:color w:val="000000"/>
          <w:sz w:val="24"/>
          <w:shd w:fill="FFFFFF" w:val="clear"/>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Regulatory Approval</w:t>
      </w:r>
      <w:r>
        <w:rPr>
          <w:rFonts w:ascii="Times New Roman;serif" w:hAnsi="Times New Roman;serif"/>
          <w:b w:val="false"/>
          <w:color w:val="000000"/>
          <w:sz w:val="24"/>
          <w:shd w:fill="FFFFFF" w:val="clear"/>
        </w:rPr>
        <w:t xml:space="preserve">. Each of the consents, authorizations and approvals from the Governmental Authorities set forth on </w:t>
      </w:r>
      <w:r>
        <w:rPr>
          <w:rFonts w:ascii="Times New Roman;serif" w:hAnsi="Times New Roman;serif"/>
          <w:b w:val="false"/>
          <w:color w:val="000000"/>
          <w:sz w:val="24"/>
          <w:u w:val="single"/>
          <w:shd w:fill="FFFFFF" w:val="clear"/>
        </w:rPr>
        <w:t>Section 7.1(e)(i)</w:t>
      </w:r>
      <w:r>
        <w:rPr>
          <w:color w:val="000000"/>
          <w:shd w:fill="FFFFFF" w:val="clear"/>
        </w:rPr>
        <w:t xml:space="preserve"> </w:t>
      </w:r>
      <w:r>
        <w:rPr>
          <w:rFonts w:ascii="Times New Roman;serif" w:hAnsi="Times New Roman;serif"/>
          <w:b w:val="false"/>
          <w:color w:val="000000"/>
          <w:sz w:val="24"/>
          <w:shd w:fill="FFFFFF" w:val="clear"/>
        </w:rPr>
        <w:t>of the Company Disclosure Letter (collectively, the “Required Regulatory Approvals”)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shd w:fill="FFFFFF" w:val="clear"/>
        </w:rPr>
        <w:t>Conditions to Obligations of Parent, Merger Sub and Parent Manager</w:t>
      </w:r>
      <w:r>
        <w:rPr>
          <w:rFonts w:ascii="Times New Roman;serif" w:hAnsi="Times New Roman;serif"/>
          <w:b w:val="false"/>
          <w:color w:val="000000"/>
          <w:sz w:val="24"/>
          <w:shd w:fill="FFFFFF" w:val="clear"/>
        </w:rPr>
        <w:t xml:space="preserve">. The obligations of Parent, Merger Sub and Parent Manager to complete the Closing and effect the Mergers under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the Company and the Company Operating Partnership set forth in (i) </w:t>
      </w:r>
      <w:r>
        <w:rPr>
          <w:rFonts w:ascii="Times New Roman;serif" w:hAnsi="Times New Roman;serif"/>
          <w:b w:val="false"/>
          <w:color w:val="000000"/>
          <w:sz w:val="24"/>
          <w:u w:val="single"/>
          <w:shd w:fill="FFFFFF" w:val="clear"/>
        </w:rPr>
        <w:t>Sections 4.1(d)(i)-(iv)</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4.1(d)(v)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4.3(a)(i)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4.18</w:t>
      </w:r>
      <w:r>
        <w:rPr>
          <w:color w:val="000000"/>
          <w:shd w:fill="FFFFFF" w:val="clear"/>
        </w:rPr>
        <w:t xml:space="preserve"> </w:t>
      </w:r>
      <w:r>
        <w:rPr>
          <w:rFonts w:ascii="Times New Roman;serif" w:hAnsi="Times New Roman;serif"/>
          <w:b w:val="false"/>
          <w:color w:val="000000"/>
          <w:sz w:val="24"/>
          <w:shd w:fill="FFFFFF" w:val="clear"/>
        </w:rPr>
        <w:t>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w:t>
      </w:r>
      <w:r>
        <w:rPr>
          <w:color w:val="000000"/>
        </w:rPr>
        <w:t xml:space="preserve"> </w:t>
      </w:r>
      <w:r>
        <w:rPr>
          <w:rFonts w:ascii="Times New Roman;serif" w:hAnsi="Times New Roman;serif"/>
          <w:b w:val="false"/>
          <w:color w:val="000000"/>
          <w:sz w:val="24"/>
          <w:shd w:fill="FFFFFF" w:val="clear"/>
        </w:rPr>
        <w:t xml:space="preserve">the second sentence of </w:t>
      </w:r>
      <w:r>
        <w:rPr>
          <w:rFonts w:ascii="Times New Roman;serif" w:hAnsi="Times New Roman;serif"/>
          <w:b w:val="false"/>
          <w:color w:val="000000"/>
          <w:sz w:val="24"/>
          <w:u w:val="single"/>
          <w:shd w:fill="FFFFFF" w:val="clear"/>
        </w:rPr>
        <w:t>Section 4.15</w:t>
      </w:r>
      <w:r>
        <w:rPr>
          <w:color w:val="000000"/>
          <w:shd w:fill="FFFFFF" w:val="clear"/>
        </w:rPr>
        <w:t xml:space="preserve"> </w:t>
      </w:r>
      <w:r>
        <w:rPr>
          <w:rFonts w:ascii="Times New Roman;serif" w:hAnsi="Times New Roman;serif"/>
          <w:b w:val="false"/>
          <w:color w:val="000000"/>
          <w:sz w:val="24"/>
          <w:shd w:fill="FFFFFF" w:val="clear"/>
        </w:rPr>
        <w:t>shall be true and correct in all respects as of the date of this Agreement and as of the Closing Date as though made as of the Closing Date, and (iv) Article IV, other than the representations and warranties listed in the immediately preceding clauses (i), (ii) and (iii),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have not had and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and Merger Sub shall have received a certificate executed on behalf of the Company by its Chief Executive Officer or Chief Financial Officer confirming that the conditions set forth in clauses (a) and (b) of this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shall have received a written opinion of Mayer Brown LLP (or other counsel to the Company reasonably satisfactory to Parent), dated as of the Closing Date and in substantially the form attached hereto as Annex C,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43"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under the Code. In rendering the opinion described in this </w:t>
      </w:r>
      <w:r>
        <w:rPr>
          <w:rFonts w:ascii="Times New Roman;serif" w:hAnsi="Times New Roman;serif"/>
          <w:b w:val="false"/>
          <w:color w:val="000000"/>
          <w:sz w:val="24"/>
          <w:u w:val="single"/>
          <w:shd w:fill="FFFFFF" w:val="clear"/>
        </w:rPr>
        <w:t>Section 7.2(d)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Parent shall have received a written opinion of Hunton Andrews Kurth LLP, dated as of the Closing Date and in substantially the form attached hereto as Annex D,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shd w:fill="FFFFFF" w:val="clear"/>
        </w:rPr>
        <w:t>Conditions to Obligations of the Company and the Company Operating Partnership</w:t>
      </w:r>
      <w:r>
        <w:rPr>
          <w:rFonts w:ascii="Times New Roman;serif" w:hAnsi="Times New Roman;serif"/>
          <w:b w:val="false"/>
          <w:color w:val="000000"/>
          <w:sz w:val="24"/>
          <w:shd w:fill="FFFFFF" w:val="clear"/>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Parent, Merger Sub and, as applicable, Parent Manager set forth in (i) </w:t>
      </w:r>
      <w:r>
        <w:rPr>
          <w:rFonts w:ascii="Times New Roman;serif" w:hAnsi="Times New Roman;serif"/>
          <w:b w:val="false"/>
          <w:color w:val="000000"/>
          <w:sz w:val="24"/>
          <w:u w:val="single"/>
          <w:shd w:fill="FFFFFF" w:val="clear"/>
        </w:rPr>
        <w:t>Sections 5.1(c)(i)-(iii)</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5.1(a)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5.1(c)(iv)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5.2,</w:t>
      </w:r>
      <w:r>
        <w:rPr>
          <w:color w:val="000000"/>
          <w:shd w:fill="FFFFFF" w:val="clear"/>
        </w:rPr>
        <w:t xml:space="preserve"> </w:t>
      </w:r>
      <w:r>
        <w:rPr>
          <w:rFonts w:ascii="Times New Roman;serif" w:hAnsi="Times New Roman;serif"/>
          <w:b w:val="false"/>
          <w:color w:val="000000"/>
          <w:sz w:val="24"/>
          <w:u w:val="single"/>
          <w:shd w:fill="FFFFFF" w:val="clear"/>
        </w:rPr>
        <w:t>Section 5.3</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5.15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serif" w:hAnsi="Times New Roman;serif"/>
          <w:b w:val="false"/>
          <w:color w:val="000000"/>
          <w:sz w:val="24"/>
          <w:u w:val="single"/>
          <w:shd w:fill="FFFFFF" w:val="clear"/>
        </w:rPr>
        <w:t>Section 5.12</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V</w:t>
      </w:r>
      <w:r>
        <w:rPr>
          <w:rFonts w:ascii="Times New Roman;serif" w:hAnsi="Times New Roman;serif"/>
          <w:b w:val="false"/>
          <w:color w:val="000000"/>
          <w:sz w:val="24"/>
          <w:shd w:fill="FFFFFF" w:val="clear"/>
        </w:rPr>
        <w:t>, other than the representations and warranties listed in the immediately preceding clauses (i), (ii) and (iii),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The Company shall have received (i) a certificate executed on behalf of Parent by its Chief Executive Officer or Chief Financial Officer confirming that the conditions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44"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(solely with respect to representations, warranties, agreements and obligations of Parent and Merger Sub) have been duly satisfied, and (ii) a certificate executed on behalf of Parent Manager by an executive officer Parent Manager confirming that the conditions set forth 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(solely with respect to representations, warranties, agreements and obligations of Parent Manager) 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The Company shall have received a written opinion of Hunton Andrews Kurth LLP (or other counsel to Parent reasonably satisfactory to the Company), dated as of the Closing Date and in substantially the form attached hereto as Annex 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Company shall have received a written opinion of Mayer Brown LLP, dated as of the Closing Date and in substantially the form attached hereto as Annex F,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VIII</w:t>
        <w:br/>
        <w:br/>
      </w:r>
      <w:r>
        <w:rPr>
          <w:rFonts w:ascii="Times New Roman;serif" w:hAnsi="Times New Roman;serif"/>
          <w:b w:val="false"/>
          <w:color w:val="000000"/>
          <w:sz w:val="24"/>
          <w:shd w:fill="FFFFFF" w:val="clear"/>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With the mutual written consent of each of the Company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By written notice of either the Company or Parent, if the Closing shall not have occurred on or before 11:59 p.m. Eastern Time on March 9, 2027 (such date, the “Termination Date”); provided, however (A) that if, as of the Termination Date, all conditions set forth in Article VII</w:t>
      </w:r>
      <w:r>
        <w:rPr>
          <w:color w:val="000000"/>
        </w:rPr>
        <w:t xml:space="preserve"> </w:t>
      </w:r>
      <w:r>
        <w:rPr>
          <w:rFonts w:ascii="Times New Roman;serif" w:hAnsi="Times New Roman;serif"/>
          <w:b w:val="false"/>
          <w:color w:val="000000"/>
          <w:sz w:val="24"/>
          <w:shd w:fill="FFFFFF" w:val="clear"/>
        </w:rPr>
        <w:t xml:space="preserve">other than the conditions set forth in </w:t>
      </w:r>
      <w:r>
        <w:rPr>
          <w:rFonts w:ascii="Times New Roman;serif" w:hAnsi="Times New Roman;serif"/>
          <w:b w:val="false"/>
          <w:color w:val="000000"/>
          <w:sz w:val="24"/>
          <w:u w:val="single"/>
          <w:shd w:fill="FFFFFF" w:val="clear"/>
        </w:rPr>
        <w:t>Section 7.1(e)</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7.1(a)</w:t>
      </w:r>
      <w:r>
        <w:rPr>
          <w:color w:val="000000"/>
        </w:rPr>
        <w:t xml:space="preserve"> </w:t>
      </w:r>
      <w:r>
        <w:rPr>
          <w:rFonts w:ascii="Times New Roman;serif" w:hAnsi="Times New Roman;serif"/>
          <w:b w:val="false"/>
          <w:color w:val="000000"/>
          <w:sz w:val="24"/>
          <w:shd w:fill="FFFFFF" w:val="clear"/>
        </w:rPr>
        <w:t xml:space="preserve">(to the extent related to </w:t>
      </w:r>
      <w:r>
        <w:rPr>
          <w:rFonts w:ascii="Times New Roman;serif" w:hAnsi="Times New Roman;serif"/>
          <w:b w:val="false"/>
          <w:color w:val="000000"/>
          <w:sz w:val="24"/>
          <w:u w:val="single"/>
          <w:shd w:fill="FFFFFF" w:val="clear"/>
        </w:rPr>
        <w:t>Section 7.1(e)</w:t>
      </w:r>
      <w:r>
        <w:rPr>
          <w:rFonts w:ascii="Times New Roman;serif" w:hAnsi="Times New Roman;serif"/>
          <w:b w:val="false"/>
          <w:color w:val="000000"/>
          <w:sz w:val="24"/>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provided, further, that the right to terminate this Agreement pursuant to this </w:t>
      </w:r>
      <w:r>
        <w:rPr>
          <w:rFonts w:ascii="Times New Roman;serif" w:hAnsi="Times New Roman;serif"/>
          <w:b w:val="false"/>
          <w:color w:val="000000"/>
          <w:sz w:val="24"/>
          <w:u w:val="single"/>
          <w:shd w:fill="FFFFFF" w:val="clear"/>
        </w:rPr>
        <w:t>Section 8.1(b)</w:t>
      </w:r>
      <w:r>
        <w:rPr>
          <w:color w:val="000000"/>
          <w:shd w:fill="FFFFFF" w:val="clear"/>
        </w:rPr>
        <w:t xml:space="preserve"> </w:t>
      </w:r>
      <w:r>
        <w:rPr>
          <w:rFonts w:ascii="Times New Roman;serif" w:hAnsi="Times New Roman;serif"/>
          <w:b w:val="false"/>
          <w:color w:val="000000"/>
          <w:sz w:val="24"/>
          <w:shd w:fill="FFFFFF" w:val="clear"/>
        </w:rPr>
        <w:t xml:space="preserve">will not be available to any party hereto that has breached in any material respect any provision of this Agreement in any manner that shall have contributed materially to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45"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this Agreement pursuant to this </w:t>
      </w:r>
      <w:r>
        <w:rPr>
          <w:rFonts w:ascii="Times New Roman;serif" w:hAnsi="Times New Roman;serif"/>
          <w:b w:val="false"/>
          <w:color w:val="000000"/>
          <w:sz w:val="24"/>
          <w:u w:val="single"/>
          <w:shd w:fill="FFFFFF" w:val="clear"/>
        </w:rPr>
        <w:t>Section 8.1(c)</w:t>
      </w:r>
      <w:r>
        <w:rPr>
          <w:color w:val="000000"/>
          <w:shd w:fill="FFFFFF" w:val="clear"/>
        </w:rPr>
        <w:t xml:space="preserve"> </w:t>
      </w:r>
      <w:r>
        <w:rPr>
          <w:rFonts w:ascii="Times New Roman;serif" w:hAnsi="Times New Roman;serif"/>
          <w:b w:val="false"/>
          <w:color w:val="000000"/>
          <w:sz w:val="24"/>
          <w:shd w:fill="FFFFFF" w:val="clear"/>
        </w:rPr>
        <w:t>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By written notice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Parent, Merger Sub or Parent Manager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is incapable of being cured or, if curable, has not been cured, by Parent, Merger Sub or Parent Manager, as applicable, prior to the earlier of the (x) Termination Date and (y) thirtieth (30th) Business Day after its receipt of written notice thereof from the Company;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not to be satisfied;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prior to obtaining the Company Stockholder Approval</w:t>
      </w:r>
      <w:r>
        <w:rPr>
          <w:rFonts w:ascii="Times New Roman;serif" w:hAnsi="Times New Roman;serif"/>
          <w:b w:val="false"/>
          <w:color w:val="000000"/>
          <w:sz w:val="24"/>
        </w:rPr>
        <w:t xml:space="preserve">, in accordance with, and subject to compliance with the terms and conditions of,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in order to enter into a definitive agreement providing for a Company Superior Proposal (with such definitive agreement being entered into substantially concurrently with the termination of this Agreement); provided, however, that concurrently with such termination, the Company pays the Company Termination Fee pursuant to </w:t>
      </w:r>
      <w:r>
        <w:rPr>
          <w:rFonts w:ascii="Times New Roman;serif" w:hAnsi="Times New Roman;serif"/>
          <w:b w:val="false"/>
          <w:color w:val="000000"/>
          <w:sz w:val="24"/>
          <w:u w:val="single"/>
        </w:rPr>
        <w:t>Section 8.3(b)(i)</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(iii)prior to obtaining the Parent Stockholder Approval, if (A) a Parent Change of Recommendation shall have occurred or (B) Parent has materially breached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By written notice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the Company or the Company Operating Partnership prior to the earlier of the (x) Termination Date and (y) thirtieth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46"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(30th) Business Day after its receipt of written notice thereof from Parent;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Sections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7.3</w:t>
      </w:r>
      <w:r>
        <w:rPr>
          <w:color w:val="000000"/>
          <w:shd w:fill="FFFFFF" w:val="clear"/>
        </w:rPr>
        <w:t xml:space="preserve"> </w:t>
      </w:r>
      <w:r>
        <w:rPr>
          <w:rFonts w:ascii="Times New Roman;serif" w:hAnsi="Times New Roman;serif"/>
          <w:b w:val="false"/>
          <w:color w:val="000000"/>
          <w:sz w:val="24"/>
          <w:shd w:fill="FFFFFF" w:val="clear"/>
        </w:rPr>
        <w:t>not to be satisfied;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prior to obtaining the Parent Stockholder Approval, in accordance with, and subject to compliance with the terms and conditions of,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in order to enter into a definitive agreement providing for a Parent Superior Proposal (with such definitive agreement being entered into substantially concurrently with the termination of this Agreement); provided, however, that concurrently with such termination, Parent pays the Parent Termination Fee pursuant to </w:t>
      </w:r>
      <w:r>
        <w:rPr>
          <w:rFonts w:ascii="Times New Roman;serif" w:hAnsi="Times New Roman;serif"/>
          <w:b w:val="false"/>
          <w:color w:val="000000"/>
          <w:sz w:val="24"/>
          <w:u w:val="single"/>
          <w:shd w:fill="FFFFFF" w:val="clear"/>
        </w:rPr>
        <w:t>Section 8.3(c)(i)</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prior to obtaining the Company Stockholder Approval, if (A) a Company Change of Recommendation shall have occurred or (B) the Company has materially breached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By written notice of either the Company or Parent: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shd w:fill="FFFFFF" w:val="clear"/>
        </w:rPr>
        <w:t>Expenses; Transfer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Except as otherwise provided in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all stock transfer, real estate transfer, documentary, sales, use, stamp, property, conveyancing, value added, goods and services, registration and other such Taxes (including interest, penalties and additions to any such Taxes) (“Transfer Taxes”),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Article III shall not be construed as discharging any obligation pursuant to this </w:t>
      </w:r>
      <w:r>
        <w:rPr>
          <w:rFonts w:ascii="Times New Roman;serif" w:hAnsi="Times New Roman;serif"/>
          <w:b w:val="false"/>
          <w:color w:val="000000"/>
          <w:sz w:val="24"/>
          <w:u w:val="single"/>
          <w:shd w:fill="FFFFFF" w:val="clear"/>
        </w:rPr>
        <w:t>Section 8.2(b)</w:t>
      </w:r>
      <w:r>
        <w:rPr>
          <w:color w:val="000000"/>
          <w:shd w:fill="FFFFFF" w:val="clear"/>
        </w:rPr>
        <w:t xml:space="preserve"> </w:t>
      </w:r>
      <w:r>
        <w:rPr>
          <w:rFonts w:ascii="Times New Roman;serif" w:hAnsi="Times New Roman;serif"/>
          <w:b w:val="false"/>
          <w:color w:val="000000"/>
          <w:sz w:val="24"/>
          <w:shd w:fill="FFFFFF" w:val="clear"/>
        </w:rPr>
        <w:t>of Parent, Merger Sub or the Surviving Entity with respect to Transfer Taxes.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shd w:fill="FFFFFF" w:val="clear"/>
        </w:rPr>
        <w:t>Effect of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the event of termination of this Agreement by either the Company or Parent pursuant to </w:t>
      </w:r>
      <w:r>
        <w:rPr>
          <w:rFonts w:ascii="Times New Roman;serif" w:hAnsi="Times New Roman;serif"/>
          <w:b w:val="false"/>
          <w:color w:val="000000"/>
          <w:sz w:val="24"/>
          <w:u w:val="single"/>
          <w:shd w:fill="FFFFFF" w:val="clear"/>
        </w:rPr>
        <w:t>Section 8.1</w:t>
      </w:r>
      <w:r>
        <w:rPr>
          <w:rFonts w:ascii="Times New Roman;serif" w:hAnsi="Times New Roman;serif"/>
          <w:b w:val="false"/>
          <w:color w:val="000000"/>
          <w:sz w:val="24"/>
          <w:shd w:fill="FFFFFF" w:val="clear"/>
        </w:rPr>
        <w:t xml:space="preserve">, this Agreement will forthwith become void and have no further force or effect, without any Liability on the part of Parent, Merger Sub, Parent Manager, the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47"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the Company Operating Partnership or any of their respective Subsidiaries, except as provided in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6.10</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8.2</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Article IX</w:t>
      </w:r>
      <w:r>
        <w:rPr>
          <w:rFonts w:ascii="Times New Roman;serif" w:hAnsi="Times New Roman;serif"/>
          <w:b w:val="false"/>
          <w:color w:val="000000"/>
          <w:sz w:val="24"/>
          <w:shd w:fill="FFFFFF" w:val="clear"/>
        </w:rPr>
        <w:t xml:space="preserve">, which will survive any termination hereof; provided, however, that, subject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the Company pursuant to </w:t>
      </w:r>
      <w:r>
        <w:rPr>
          <w:rFonts w:ascii="Times New Roman;serif" w:hAnsi="Times New Roman;serif"/>
          <w:b w:val="false"/>
          <w:color w:val="000000"/>
          <w:sz w:val="24"/>
          <w:u w:val="single"/>
        </w:rPr>
        <w:t>Section 8.1(d)(ii)</w:t>
      </w:r>
      <w:r>
        <w:rPr>
          <w:color w:val="000000"/>
        </w:rPr>
        <w:t xml:space="preserve"> </w:t>
      </w:r>
      <w:r>
        <w:rPr>
          <w:rFonts w:ascii="Times New Roman;serif" w:hAnsi="Times New Roman;serif"/>
          <w:b w:val="false"/>
          <w:color w:val="000000"/>
          <w:sz w:val="24"/>
        </w:rPr>
        <w:t xml:space="preserve">(Company Superior Proposal) or (y) by Parent pursuant to </w:t>
      </w:r>
      <w:r>
        <w:rPr>
          <w:rFonts w:ascii="Times New Roman;serif" w:hAnsi="Times New Roman;serif"/>
          <w:b w:val="false"/>
          <w:color w:val="000000"/>
          <w:sz w:val="24"/>
          <w:u w:val="single"/>
        </w:rPr>
        <w:t>Section 8.1(e)(iii)</w:t>
      </w:r>
      <w:r>
        <w:rPr>
          <w:color w:val="000000"/>
        </w:rPr>
        <w:t xml:space="preserve"> </w:t>
      </w:r>
      <w:r>
        <w:rPr>
          <w:rFonts w:ascii="Times New Roman;serif" w:hAnsi="Times New Roman;serif"/>
          <w:b w:val="false"/>
          <w:color w:val="000000"/>
          <w:sz w:val="24"/>
        </w:rPr>
        <w:t>(Company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Parent or the Company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w:t>
      </w:r>
      <w:r>
        <w:rPr>
          <w:color w:val="000000"/>
        </w:rPr>
        <w:t xml:space="preserve"> </w:t>
      </w:r>
      <w:r>
        <w:rPr>
          <w:rFonts w:ascii="Times New Roman;serif" w:hAnsi="Times New Roman;serif"/>
          <w:b w:val="false"/>
          <w:color w:val="000000"/>
          <w:sz w:val="24"/>
        </w:rPr>
        <w:t xml:space="preserve">(Company Stockholders Meeting) or (y) by Parent pursuant to </w:t>
      </w:r>
      <w:r>
        <w:rPr>
          <w:rFonts w:ascii="Times New Roman;serif" w:hAnsi="Times New Roman;serif"/>
          <w:b w:val="false"/>
          <w:color w:val="000000"/>
          <w:sz w:val="24"/>
          <w:u w:val="single"/>
        </w:rPr>
        <w:t>Section 8.1(e)(i)</w:t>
      </w:r>
      <w:r>
        <w:rPr>
          <w:color w:val="000000"/>
        </w:rPr>
        <w:t xml:space="preserve"> </w:t>
      </w:r>
      <w:r>
        <w:rPr>
          <w:rFonts w:ascii="Times New Roman;serif" w:hAnsi="Times New Roman;serif"/>
          <w:b w:val="false"/>
          <w:color w:val="000000"/>
          <w:sz w:val="24"/>
        </w:rPr>
        <w:t xml:space="preserve">(Company Breach); (B)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provided, however, that, for purposes of this </w:t>
      </w:r>
      <w:r>
        <w:rPr>
          <w:rFonts w:ascii="Times New Roman;serif" w:hAnsi="Times New Roman;serif"/>
          <w:b w:val="false"/>
          <w:color w:val="000000"/>
          <w:sz w:val="24"/>
          <w:u w:val="single"/>
        </w:rPr>
        <w:t>Section 8.3(b)(ii)</w:t>
      </w:r>
      <w:r>
        <w:rPr>
          <w:rFonts w:ascii="Times New Roman;serif" w:hAnsi="Times New Roman;serif"/>
          <w:b w:val="false"/>
          <w:color w:val="000000"/>
          <w:sz w:val="24"/>
        </w:rPr>
        <w:t xml:space="preserve">, all references in the definition of Company Takeover Proposal to twenty percent (20%) or eighty percent (80%) shall be deemed references to fifty percent (50%).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Parent pursuant to </w:t>
      </w:r>
      <w:r>
        <w:rPr>
          <w:rFonts w:ascii="Times New Roman;serif" w:hAnsi="Times New Roman;serif"/>
          <w:b w:val="false"/>
          <w:color w:val="000000"/>
          <w:sz w:val="24"/>
          <w:u w:val="single"/>
        </w:rPr>
        <w:t>Section 8.1(e)(ii)</w:t>
      </w:r>
      <w:r>
        <w:rPr>
          <w:color w:val="000000"/>
        </w:rPr>
        <w:t xml:space="preserve"> </w:t>
      </w:r>
      <w:r>
        <w:rPr>
          <w:rFonts w:ascii="Times New Roman;serif" w:hAnsi="Times New Roman;serif"/>
          <w:b w:val="false"/>
          <w:color w:val="000000"/>
          <w:sz w:val="24"/>
        </w:rPr>
        <w:t xml:space="preserve">(Parent Superior Proposal) or (y) by the Company pursuant to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the Company or Parent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 xml:space="preserve">(Parent Stockholders Meeting) or (y) by the Company pursuant to </w:t>
      </w:r>
      <w:r>
        <w:rPr>
          <w:rFonts w:ascii="Times New Roman;serif" w:hAnsi="Times New Roman;serif"/>
          <w:b w:val="false"/>
          <w:color w:val="000000"/>
          <w:sz w:val="24"/>
          <w:u w:val="single"/>
        </w:rPr>
        <w:t>Section 8.1(d)(i)</w:t>
      </w:r>
      <w:r>
        <w:rPr>
          <w:color w:val="000000"/>
        </w:rPr>
        <w:t xml:space="preserve"> </w:t>
      </w:r>
      <w:r>
        <w:rPr>
          <w:rFonts w:ascii="Times New Roman;serif" w:hAnsi="Times New Roman;serif"/>
          <w:b w:val="false"/>
          <w:color w:val="000000"/>
          <w:sz w:val="24"/>
        </w:rPr>
        <w:t xml:space="preserve">(Parent Breach); (B) a </w:t>
      </w:r>
      <w:r>
        <w:rPr>
          <w:rFonts w:ascii="Times New Roman;serif" w:hAnsi="Times New Roman;serif"/>
          <w:b w:val="false"/>
          <w:i/>
          <w:color w:val="000000"/>
          <w:sz w:val="24"/>
        </w:rPr>
        <w:t xml:space="preserve">bona </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48"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4"/>
        </w:rPr>
        <w:t>fide</w:t>
      </w:r>
      <w:r>
        <w:rPr>
          <w:color w:val="000000"/>
        </w:rPr>
        <w:t xml:space="preserve"> </w:t>
      </w:r>
      <w:r>
        <w:rPr>
          <w:rFonts w:ascii="Times New Roman;serif" w:hAnsi="Times New Roman;serif"/>
          <w:b w:val="false"/>
          <w:color w:val="000000"/>
          <w:sz w:val="24"/>
        </w:rPr>
        <w:t xml:space="preserve">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provided, however, that, for purposes of this </w:t>
      </w:r>
      <w:r>
        <w:rPr>
          <w:rFonts w:ascii="Times New Roman;serif" w:hAnsi="Times New Roman;serif"/>
          <w:b w:val="false"/>
          <w:color w:val="000000"/>
          <w:sz w:val="24"/>
          <w:u w:val="single"/>
        </w:rPr>
        <w:t>Section 8.3(c)(ii)</w:t>
      </w:r>
      <w:r>
        <w:rPr>
          <w:rFonts w:ascii="Times New Roman;serif" w:hAnsi="Times New Roman;serif"/>
          <w:b w:val="false"/>
          <w:color w:val="000000"/>
          <w:sz w:val="24"/>
        </w:rPr>
        <w:t>, all references in the definition of Parent Takeover Proposal to twenty percent (20%) or eighty percent (80%) shall be deemed references to fifty percent (50%).</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of the parties acknowledges that the agreements contained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are an integral part of the Transactions and that, without these agreements, the parties hereto would not enter into this Agreement. Accordingly, if a party hereto fails to promptly pay any amount due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and the other party commences a suit that results in a final and non-appealable judgment against the failing party for the amounts set forth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Wall Street Journal, in effect on the date such payment is required to be made (together, the “</w:t>
      </w:r>
      <w:r>
        <w:rPr>
          <w:rFonts w:ascii="Times New Roman;serif" w:hAnsi="Times New Roman;serif"/>
          <w:b w:val="false"/>
          <w:color w:val="000000"/>
          <w:sz w:val="24"/>
          <w:u w:val="single"/>
          <w:shd w:fill="FFFFFF" w:val="clear"/>
        </w:rPr>
        <w:t>Termination Expenses and Interest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Parent has the right to receive payment of the Company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the Company has the right to receive payment of the Parent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Parent Termination Fee and, if applicable,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49"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In the event that the Company is required to pay the Company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(“Parent Qualifying Income”)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plus (2)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the Company’s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the Company shall deposit into escrow the amount in cash equal to the Company Termination Fee with an escrow agent selected by the Parent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Company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Section 8.3(h) 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serif" w:hAnsi="Times New Roman;serif"/>
          <w:b w:val="false"/>
          <w:color w:val="000000"/>
          <w:sz w:val="24"/>
          <w:u w:val="single"/>
        </w:rPr>
        <w:t>Section 8.3(h)(ii)</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50"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amount of the Company Termination Fee that remains unpaid as of the end of a taxable year shall be paid as soon as possible during the following taxable year, subject to the foregoing limitation of this </w:t>
      </w:r>
      <w:r>
        <w:rPr>
          <w:rFonts w:ascii="Times New Roman;serif" w:hAnsi="Times New Roman;serif"/>
          <w:b w:val="false"/>
          <w:color w:val="000000"/>
          <w:sz w:val="24"/>
          <w:u w:val="single"/>
        </w:rPr>
        <w:t>Section 8.3(h)(i)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In the event that Parent is required to pay the Parent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Parent’s obligation to pay the amounts described in Section 8.3(h)(i), Parent shall deposit into escrow the amount in cash equal to the Parent Termination Fee with an escrow agent selected by the Company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Parent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Section 8.3(i) 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 xml:space="preserve">. Any amount of the Parent Termination Fee that remains unpaid as of the end of a taxable year </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51"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paid as soon as possible during the following taxable year, subject to the foregoing limitation of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IX</w:t>
      </w:r>
    </w:p>
    <w:p>
      <w:pPr>
        <w:pStyle w:val="TextBody"/>
        <w:bidi w:val="0"/>
        <w:spacing w:lineRule="auto" w:line="240" w:before="0" w:after="240"/>
        <w:jc w:val="center"/>
        <w:rPr/>
      </w:pPr>
      <w:r>
        <w:rPr>
          <w:rFonts w:ascii="Times New Roman;serif" w:hAnsi="Times New Roman;serif"/>
          <w:b w:val="false"/>
          <w:color w:val="000000"/>
          <w:sz w:val="24"/>
        </w:rPr>
        <w:br/>
      </w:r>
      <w:r>
        <w:rPr>
          <w:rFonts w:ascii="Times New Roman;serif" w:hAnsi="Times New Roman;serif"/>
          <w:b w:val="false"/>
          <w:color w:val="000000"/>
          <w:sz w:val="24"/>
          <w:shd w:fill="FFFFFF" w:val="clear"/>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shd w:fill="FFFFFF" w:val="clear"/>
        </w:rPr>
        <w:t>Nonsurvival of Representations and Warranties</w:t>
      </w:r>
      <w:r>
        <w:rPr>
          <w:rFonts w:ascii="Times New Roman;serif" w:hAnsi="Times New Roman;serif"/>
          <w:b w:val="false"/>
          <w:color w:val="000000"/>
          <w:sz w:val="24"/>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not limit any covenant or agreement of the parties hereto that by its terms contemplates performance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shd w:fill="FFFFFF" w:val="clear"/>
        </w:rPr>
        <w:t>Amendment; Waiver</w:t>
      </w:r>
      <w:r>
        <w:rPr>
          <w:rFonts w:ascii="Times New Roman;serif" w:hAnsi="Times New Roman;serif"/>
          <w:b w:val="false"/>
          <w:color w:val="000000"/>
          <w:sz w:val="24"/>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shd w:fill="FFFFFF" w:val="clear"/>
        </w:rPr>
        <w:t>Notice</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40" w:before="0" w:after="240"/>
        <w:jc w:val="both"/>
        <w:rPr/>
      </w:pPr>
      <w:r>
        <w:rPr>
          <w:rFonts w:ascii="Times New Roman;serif" w:hAnsi="Times New Roman;serif"/>
          <w:b w:val="false"/>
          <w:color w:val="000000"/>
          <w:sz w:val="24"/>
          <w:shd w:fill="FFFFFF" w:val="clear"/>
        </w:rPr>
        <w:t>If to the Company or the Company Operating Partnership, addressed as follows:</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Cherry Hill Mortgage Investment Corporation</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4000 Route 66, Suite 310</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Tinton Falls, New Jersey 07753</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Attn: Jeffrey B. Lown II</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jay.lown@chmireit.com</w:t>
      </w:r>
    </w:p>
    <w:p>
      <w:pPr>
        <w:pStyle w:val="TextBody"/>
        <w:bidi w:val="0"/>
        <w:spacing w:lineRule="auto" w:line="240" w:before="24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52"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1221 Avenue of the Americas</w:t>
      </w:r>
      <w:r>
        <w:rPr>
          <w:rFonts w:ascii="Times New Roman;serif" w:hAnsi="Times New Roman;serif"/>
          <w:b w:val="false"/>
          <w:color w:val="000000"/>
          <w:sz w:val="24"/>
        </w:rPr>
        <w:br/>
      </w:r>
      <w:r>
        <w:rPr>
          <w:rFonts w:ascii="Times New Roman;serif" w:hAnsi="Times New Roman;serif"/>
          <w:b w:val="false"/>
          <w:color w:val="000000"/>
          <w:sz w:val="24"/>
          <w:shd w:fill="FFFFFF" w:val="clear"/>
        </w:rPr>
        <w:t>New York, New York 10020</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David Freed</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dfreed@mayerbrown.com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71 South Wacker Drive</w:t>
      </w:r>
      <w:r>
        <w:rPr>
          <w:rFonts w:ascii="Times New Roman;serif" w:hAnsi="Times New Roman;serif"/>
          <w:b w:val="false"/>
          <w:color w:val="000000"/>
          <w:sz w:val="24"/>
        </w:rPr>
        <w:br/>
      </w:r>
      <w:r>
        <w:rPr>
          <w:rFonts w:ascii="Times New Roman;serif" w:hAnsi="Times New Roman;serif"/>
          <w:b w:val="false"/>
          <w:color w:val="000000"/>
          <w:sz w:val="24"/>
          <w:shd w:fill="FFFFFF" w:val="clear"/>
        </w:rPr>
        <w:t>Chicago, Illinois 60606</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Andrew Noreuil, Ryan Ferris</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anoreuil@mayerbrown.com; rferris@mayerbrown.com</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40"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If to Parent, Merger Sub or Parent Manager, or after the Closing, the Surviving Entity, addressed as follows:</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AG REIT Management, LLC</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245 Park Avenue, 26th Floor</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Jenny B. Neslin, Legal Department</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jneslin@tpg.com; legal@angelogordon.com</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200 Park Avenue</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10166</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Steven M. Haas</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shaas@hunton.com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2200 Pennsylvania Avenue, NW</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Washington, DC 20037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Robert K. Smith</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rsmith@hunton.com</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53"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applicable, the foregoing constitutes the election of the parties hereto to invoke any Law authorizing electronic signatures.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9.6.</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The parties hereto agree that irreparable damage for which monetary relief (including any fees payable pursuant to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 xml:space="preserve">without proof of damages or otherwise, this being in addition to any other remedy to which they are entitled under this Agreement or at law or in equity; (b) the provisions set forth in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invalid, contrary to Law or inequitable for any reason, and not to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54"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serif" w:hAnsi="Times New Roman;serif"/>
          <w:b w:val="false"/>
          <w:color w:val="000000"/>
          <w:sz w:val="24"/>
          <w:u w:val="single"/>
          <w:shd w:fill="FFFFFF" w:val="clear"/>
        </w:rPr>
        <w:t>Section 9.6</w:t>
      </w:r>
      <w:r>
        <w:rPr>
          <w:color w:val="000000"/>
          <w:shd w:fill="FFFFFF" w:val="clear"/>
        </w:rPr>
        <w:t xml:space="preserve"> </w:t>
      </w:r>
      <w:r>
        <w:rPr>
          <w:rFonts w:ascii="Times New Roman;serif" w:hAnsi="Times New Roman;serif"/>
          <w:b w:val="false"/>
          <w:color w:val="000000"/>
          <w:sz w:val="24"/>
          <w:shd w:fill="FFFFFF" w:val="clear"/>
        </w:rPr>
        <w:t xml:space="preserve">shall not be required to provide any bond or other security in connection with any such order or injunction.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9.7.</w:t>
      </w:r>
      <w:r>
        <w:rPr>
          <w:rFonts w:ascii="Times New Roman;serif" w:hAnsi="Times New Roman;serif"/>
          <w:b w:val="false"/>
          <w:color w:val="000000"/>
          <w:sz w:val="24"/>
          <w:u w:val="single"/>
          <w:shd w:fill="FFFFFF" w:val="clear"/>
        </w:rPr>
        <w:t>Governing Law and Venue; Submission to Jurisdiction; Selection of Forum; Waiver of Trial by Jury</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Section 9.3 or in such other manner as may be permitted by applicable Law shall be valid and sufficient service thereof; and (F) it shall not assert as a defense any matter or claim waived by the foregoing clauses (B) through (E) of this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or that any Order issued by such courts may not be enforced in or by such courts.</w:t>
      </w:r>
    </w:p>
    <w:p>
      <w:pPr>
        <w:pStyle w:val="TextBody"/>
        <w:bidi w:val="0"/>
        <w:spacing w:lineRule="auto" w:line="240" w:before="0" w:after="26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serif" w:hAnsi="Times New Roman;serif"/>
          <w:b w:val="false"/>
          <w:color w:val="000000"/>
          <w:sz w:val="24"/>
          <w:u w:val="single"/>
          <w:shd w:fill="FFFFFF" w:val="clear"/>
        </w:rPr>
        <w:t>Section 9.7(c)</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60"/>
        <w:ind w:left="0" w:right="0" w:firstLine="720"/>
        <w:jc w:val="left"/>
        <w:rPr/>
      </w:pPr>
      <w:r>
        <w:rPr>
          <w:rFonts w:ascii="Times New Roman;serif" w:hAnsi="Times New Roman;serif"/>
          <w:b w:val="false"/>
          <w:color w:val="000000"/>
          <w:sz w:val="24"/>
        </w:rPr>
        <w:t>9.8.</w:t>
      </w:r>
      <w:r>
        <w:rPr>
          <w:rFonts w:ascii="Times New Roman;serif" w:hAnsi="Times New Roman;serif"/>
          <w:b w:val="false"/>
          <w:color w:val="000000"/>
          <w:sz w:val="24"/>
          <w:u w:val="single"/>
          <w:shd w:fill="FFFFFF" w:val="clear"/>
        </w:rPr>
        <w:t>Binding Agreement</w:t>
      </w:r>
      <w:r>
        <w:rPr>
          <w:rFonts w:ascii="Times New Roman;serif" w:hAnsi="Times New Roman;serif"/>
          <w:b w:val="false"/>
          <w:color w:val="000000"/>
          <w:sz w:val="24"/>
        </w:rPr>
        <w:t>. This Agreement shall be binding upon and inure to the benefit of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55"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9.9.</w:t>
      </w:r>
      <w:r>
        <w:rPr>
          <w:rFonts w:ascii="Times New Roman;serif" w:hAnsi="Times New Roman;serif"/>
          <w:b w:val="false"/>
          <w:color w:val="000000"/>
          <w:sz w:val="24"/>
          <w:u w:val="single"/>
          <w:shd w:fill="FFFFFF" w:val="clear"/>
        </w:rPr>
        <w:t>Entire Understanding</w:t>
      </w:r>
      <w:r>
        <w:rPr>
          <w:rFonts w:ascii="Times New Roman;serif" w:hAnsi="Times New Roman;serif"/>
          <w:b w:val="false"/>
          <w:color w:val="000000"/>
          <w:sz w:val="24"/>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9.10.</w:t>
      </w:r>
      <w:r>
        <w:rPr>
          <w:rFonts w:ascii="Times New Roman;serif" w:hAnsi="Times New Roman;serif"/>
          <w:b w:val="false"/>
          <w:color w:val="000000"/>
          <w:sz w:val="24"/>
          <w:u w:val="single"/>
          <w:shd w:fill="FFFFFF" w:val="clear"/>
        </w:rPr>
        <w:t>Assignment</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 xml:space="preserve">shall be null and void.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shd w:fill="FFFFFF" w:val="clear"/>
        </w:rPr>
        <w:t>Third-Party Beneficiaries</w:t>
      </w:r>
      <w:r>
        <w:rPr>
          <w:rFonts w:ascii="Times New Roman;serif" w:hAnsi="Times New Roman;serif"/>
          <w:b w:val="false"/>
          <w:color w:val="000000"/>
          <w:sz w:val="24"/>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(c) if the Closing occurs, the rights of the Covered Persons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(d) as provided in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(e) if the Closing occurs, the right of the Company Director Designees to enforce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shd w:fill="FFFFFF" w:val="clear"/>
        </w:rPr>
        <w:t>Construction</w:t>
      </w:r>
      <w:r>
        <w:rPr>
          <w:rFonts w:ascii="Times New Roman;serif" w:hAnsi="Times New Roman;serif"/>
          <w:b w:val="false"/>
          <w:color w:val="000000"/>
          <w:sz w:val="24"/>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lineRule="auto" w:line="240" w:before="0" w:after="240"/>
        <w:ind w:left="0" w:right="0" w:firstLine="72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left intentionally blank. Signature pages follow.</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56"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p>
                  </w:txbxContent>
                </v:textbox>
                <w10:wrap type="none"/>
              </v:rect>
            </w:pict>
          </mc:Fallback>
        </mc:AlternateContent>
      </w:r>
    </w:p>
    <w:p>
      <w:pPr>
        <w:pStyle w:val="TextBody"/>
        <w:bidi w:val="0"/>
        <w:spacing w:lineRule="auto" w:line="288" w:before="0" w:after="7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as of the date first above written.</w:t>
      </w:r>
    </w:p>
    <w:p>
      <w:pPr>
        <w:pStyle w:val="TextBody"/>
        <w:bidi w:val="0"/>
        <w:spacing w:lineRule="auto" w:line="288" w:before="0" w:after="720"/>
        <w:jc w:val="left"/>
        <w:rPr/>
      </w:pPr>
      <w:r>
        <w:rPr>
          <w:rFonts w:ascii="Times New Roman;serif" w:hAnsi="Times New Roman;serif"/>
          <w:b/>
          <w:color w:val="000000"/>
          <w:sz w:val="24"/>
        </w:rPr>
        <w:t>CHERRY HILL MORTGAGE INVESTMENT CORPORATION</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lineRule="auto" w:line="288" w:before="0" w:after="720"/>
        <w:jc w:val="left"/>
        <w:rPr/>
      </w:pPr>
      <w:r>
        <w:rPr>
          <w:rFonts w:ascii="Times New Roman;serif" w:hAnsi="Times New Roman;serif"/>
          <w:b/>
          <w:color w:val="000000"/>
          <w:sz w:val="24"/>
        </w:rPr>
        <w:t>CHERRY HILL OPERATING PARTNERSHIP, LP</w:t>
        <w:br/>
      </w:r>
      <w:r>
        <w:rPr>
          <w:rFonts w:ascii="Times New Roman;serif" w:hAnsi="Times New Roman;serif"/>
          <w:b w:val="false"/>
          <w:color w:val="000000"/>
          <w:sz w:val="24"/>
        </w:rPr>
        <w:t>By: Cherry Hill Mortgage Investment Corporation, its General Partner</w:t>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465455"/>
                <wp:effectExtent l="0" t="0" r="0" b="0"/>
                <wp:wrapNone/>
                <wp:docPr id="357" name="Frame35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TPG MORTGAGE INVESTMENT TRUST, INC.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720"/>
        <w:jc w:val="left"/>
        <w:rPr/>
      </w:pPr>
      <w:r>
        <w:rPr>
          <w:rFonts w:ascii="Times New Roman;serif" w:hAnsi="Times New Roman;serif"/>
          <w:b/>
          <w:color w:val="000000"/>
          <w:sz w:val="24"/>
        </w:rPr>
        <w:t>MIT MERGER SUB II, LLC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465455"/>
                <wp:effectExtent l="0" t="0" r="0" b="0"/>
                <wp:wrapNone/>
                <wp:docPr id="358" name="Frame354"/>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 solely for the purposes set forth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Angelo, Gordon &amp; Co.,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 xml:space="preserve">/s/Christopher D. Moore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D. Moore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465455"/>
                <wp:effectExtent l="0" t="0" r="0" b="0"/>
                <wp:wrapNone/>
                <wp:docPr id="359" name="Frame355"/>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v:textbox>
                <w10:wrap type="none"/>
              </v:rect>
            </w:pict>
          </mc:Fallback>
        </mc:AlternateContent>
      </w:r>
    </w:p>
    <w:p>
      <w:pPr>
        <w:pStyle w:val="TextBody"/>
        <w:bidi w:val="0"/>
        <w:spacing w:lineRule="auto" w:line="288" w:before="240" w:after="36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8.20% Series D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2,781,635 shares of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8.20% Series D Cumulative Redeemable Preferred Stock, $0.01 par value per share (the “</w:t>
      </w:r>
      <w:r>
        <w:rPr>
          <w:rFonts w:ascii="Times New Roman;serif" w:hAnsi="Times New Roman;serif"/>
          <w:b w:val="false"/>
          <w:color w:val="000000"/>
          <w:sz w:val="24"/>
          <w:u w:val="single"/>
        </w:rPr>
        <w:t>Series D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D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of the Corporation and to all classes or series of stock of the Corporation other than the stock of the Corporation referred to in clauses (ii) and (iii)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60"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8.20% Series D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61"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D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D Preferred Stock will first be credited against the earliest accumulated but unpaid dividend due with respect to the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D Preferred Stock and shares of any other classes or series of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62"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stock of the Corporation ranking on parity as to dividends with the Series D Preferred Stock, all dividends declared upon the Series D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63"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classes or series of stock shall share ratably in any such distribution of assets in proportion to the full liquidating distributions to which they would otherwise be respectively entitled.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D Preferred Stock will not have the Change of Control Conversion Right (as defined below) with respect to the shares of Series D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64"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MKT LLC (the “</w:t>
      </w:r>
      <w:r>
        <w:rPr>
          <w:rFonts w:ascii="Times New Roman;serif" w:hAnsi="Times New Roman;serif"/>
          <w:b w:val="false"/>
          <w:color w:val="000000"/>
          <w:sz w:val="24"/>
          <w:u w:val="single"/>
        </w:rPr>
        <w:t>NYSE MKT</w:t>
      </w:r>
      <w:r>
        <w:rPr>
          <w:color w:val="000000"/>
        </w:rPr>
        <w:t>”</w:t>
      </w:r>
      <w:r>
        <w:rPr>
          <w:rFonts w:ascii="Times New Roman;serif" w:hAnsi="Times New Roman;serif"/>
          <w:b w:val="false"/>
          <w:color w:val="000000"/>
          <w:sz w:val="24"/>
        </w:rPr>
        <w:t>)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MKT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65"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D Preferred Stock are to be redeemed, the shares of Series D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D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66"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upon liquidation or pursuant to a purchase or exchange offer made on the same terms to holders of all outstanding shares of Series D Preferred Stock);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D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D Preferred Stock that are not called for redemption) to convert some or all of the shares of Series D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D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D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xml:space="preserve">) with respect to Common Stock as follows: the adjusted Share Cap as the result of a Share Split will be the number of shares of Common Stock that is equivalent to the product obtained by multiplying (i) the Share </w:t>
      </w:r>
    </w:p>
    <w:p>
      <w:pPr>
        <w:pStyle w:val="TextBody"/>
        <w:bidi w:val="0"/>
        <w:spacing w:lineRule="auto" w:line="276"/>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xml:space="preserve">: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67"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D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68"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D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69"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(l) Notwithstanding anything to the contrary contained in Sections 7(j) and (k) hereof, if any shares of Series D Preferred Stock are held in book-entry form through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70"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D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D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71"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D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72"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serif" w:hAnsi="Times New Roman;serif"/>
          <w:b w:val="false"/>
          <w:i/>
          <w:color w:val="000000"/>
          <w:sz w:val="24"/>
        </w:rPr>
        <w:t>and, provided further</w:t>
      </w:r>
      <w:r>
        <w:rPr>
          <w:rFonts w:ascii="Times New Roman;serif" w:hAnsi="Times New Roman;serif"/>
          <w:b w:val="false"/>
          <w:color w:val="000000"/>
          <w:sz w:val="24"/>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D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D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Notwithstanding the foregoing, holders of any series of Preferred Stock ranking on parity with the Series D Preferred Stock with respect to payment of dividends of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73"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D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D Preferred Stock will, as holders of Series D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74"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Corporation has caused these Articles Supplementary to be signed in its name and on its behalf by its Chief Financial Officer and attested to by its Secretary on this ________ of _______, 2026. </w:t>
      </w:r>
    </w:p>
    <w:p>
      <w:pPr>
        <w:pStyle w:val="TextBody"/>
        <w:bidi w:val="0"/>
        <w:spacing w:before="0" w:after="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75"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B</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8.250% Series E Floating Rate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1,604,103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8.250% Series E Floating Rate Cumulative Redeemable Preferred Stock, par value $0.01 per share (the “</w:t>
      </w:r>
      <w:r>
        <w:rPr>
          <w:rFonts w:ascii="Times New Roman;serif" w:hAnsi="Times New Roman;serif"/>
          <w:b w:val="false"/>
          <w:color w:val="000000"/>
          <w:sz w:val="24"/>
          <w:u w:val="single"/>
        </w:rPr>
        <w:t>Series E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E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and to all classes or series of stock of the Corporation other than the stock of the Corporation referred to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76"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serif" w:hAnsi="Times New Roman;serif"/>
          <w:b w:val="false"/>
          <w:color w:val="000000"/>
          <w:sz w:val="16"/>
        </w:rPr>
        <w:t>5</w:t>
      </w:r>
      <w:r>
        <w:rPr>
          <w:rFonts w:ascii="Times New Roman;serif" w:hAnsi="Times New Roman;serif"/>
          <w:b w:val="false"/>
          <w:color w:val="000000"/>
          <w:sz w:val="24"/>
        </w:rPr>
        <w:t>, at a floating rate equal to Three-Month CME Term SOFR (as defined below) plus a spread of 5.89261% per annum. Dividends on the Series E Preferred Stock shall accumulate daily and shall be cumulative from, and including, [●], 2026</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as may be modified as provided below,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each Dividend Period, CME Term SOFR with a Designated Maturity of three months (“</w:t>
      </w:r>
      <w:r>
        <w:rPr>
          <w:rFonts w:ascii="Times New Roman;serif" w:hAnsi="Times New Roman;serif"/>
          <w:b w:val="false"/>
          <w:color w:val="000000"/>
          <w:sz w:val="24"/>
          <w:u w:val="single"/>
        </w:rPr>
        <w:t>Three-Month CME Term SOFR</w:t>
      </w:r>
      <w:r>
        <w:rPr>
          <w:color w:val="000000"/>
        </w:rPr>
        <w:t>”</w:t>
      </w:r>
      <w:r>
        <w:rPr>
          <w:rFonts w:ascii="Times New Roman;serif" w:hAnsi="Times New Roman;serif"/>
          <w:b w:val="false"/>
          <w:color w:val="000000"/>
          <w:sz w:val="24"/>
        </w:rPr>
        <w:t xml:space="preserve">) will be determined by the Corporation, or a Calculation Agent (as defined below) if a Calculation Agent has been appointed by the Corporation, in either </w:t>
      </w:r>
    </w:p>
    <w:p>
      <w:pPr>
        <w:pStyle w:val="TextBody"/>
        <w:bidi w:val="0"/>
        <w:spacing w:lineRule="auto" w:line="276"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77"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CME Group Benchmark Administration Limited or any successor or other administrator as may be designated by the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w:t>
      </w:r>
      <w:r>
        <w:rPr>
          <w:color w:val="000000"/>
        </w:rPr>
        <w:t xml:space="preserve">” </w:t>
      </w:r>
      <w:r>
        <w:rPr>
          <w:rFonts w:ascii="Times New Roman;serif" w:hAnsi="Times New Roman;serif"/>
          <w:b w:val="false"/>
          <w:color w:val="000000"/>
          <w:sz w:val="24"/>
        </w:rPr>
        <w:t xml:space="preserve">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78"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 the respective obligations of the Corporation or the Calculation Agent, as applicable, under the terms of the Series E Preferred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 Date</w:t>
      </w:r>
      <w:r>
        <w:rPr>
          <w:color w:val="000000"/>
        </w:rPr>
        <w:t xml:space="preserve">” </w:t>
      </w:r>
      <w:r>
        <w:rPr>
          <w:rFonts w:ascii="Times New Roman;serif" w:hAnsi="Times New Roman;serif"/>
          <w:b w:val="false"/>
          <w:color w:val="000000"/>
          <w:sz w:val="24"/>
        </w:rPr>
        <w:t>means, in respect of an Administrator/Benchmark Event, the date from which the Applicable Benchmark may no longer be used under any applicable law or regulation by the Corporation or the Calculation Agent.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Applicable Benchmark</w:t>
      </w:r>
      <w:r>
        <w:rPr>
          <w:color w:val="000000"/>
        </w:rPr>
        <w:t xml:space="preserve">” </w:t>
      </w:r>
      <w:r>
        <w:rPr>
          <w:rFonts w:ascii="Times New Roman;serif" w:hAnsi="Times New Roman;serif"/>
          <w:b w:val="false"/>
          <w:color w:val="000000"/>
          <w:sz w:val="24"/>
        </w:rPr>
        <w:t>means CME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 third party independent financial institution of national standing with experience providing such services, which has been selected by the Corporation in its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 Alternative Rate Determination</w:t>
      </w:r>
      <w:r>
        <w:rPr>
          <w:color w:val="000000"/>
        </w:rPr>
        <w:t xml:space="preserve">” </w:t>
      </w:r>
      <w:r>
        <w:rPr>
          <w:rFonts w:ascii="Times New Roman;serif" w:hAnsi="Times New Roman;serif"/>
          <w:b w:val="false"/>
          <w:color w:val="000000"/>
          <w:sz w:val="24"/>
        </w:rPr>
        <w:t>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w:t>
      </w:r>
      <w:r>
        <w:rPr>
          <w:color w:val="000000"/>
        </w:rPr>
        <w:t xml:space="preserve">” </w:t>
      </w:r>
      <w:r>
        <w:rPr>
          <w:rFonts w:ascii="Times New Roman;serif" w:hAnsi="Times New Roman;serif"/>
          <w:b w:val="false"/>
          <w:color w:val="000000"/>
          <w:sz w:val="24"/>
        </w:rPr>
        <w:t>means the forward-looking term Secured Overnight Financing Rate administrated by the Administrator (or any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 Recommended Rate</w:t>
      </w:r>
      <w:r>
        <w:rPr>
          <w:color w:val="000000"/>
        </w:rPr>
        <w:t xml:space="preserve">” </w:t>
      </w:r>
      <w:r>
        <w:rPr>
          <w:rFonts w:ascii="Times New Roman;serif" w:hAnsi="Times New Roman;serif"/>
          <w:b w:val="false"/>
          <w:color w:val="000000"/>
          <w:sz w:val="24"/>
        </w:rPr>
        <w:t xml:space="preserve">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Designated Maturity</w:t>
      </w:r>
      <w:r>
        <w:rPr>
          <w:color w:val="000000"/>
        </w:rPr>
        <w:t xml:space="preserve">” </w:t>
      </w:r>
      <w:r>
        <w:rPr>
          <w:rFonts w:ascii="Times New Roman;serif" w:hAnsi="Times New Roman;serif"/>
          <w:b w:val="false"/>
          <w:color w:val="000000"/>
          <w:sz w:val="24"/>
        </w:rPr>
        <w:t>means three months.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Determination Date</w:t>
      </w:r>
      <w:r>
        <w:rPr>
          <w:color w:val="000000"/>
        </w:rPr>
        <w:t xml:space="preserve">” </w:t>
      </w:r>
      <w:r>
        <w:rPr>
          <w:rFonts w:ascii="Times New Roman;serif" w:hAnsi="Times New Roman;serif"/>
          <w:b w:val="false"/>
          <w:color w:val="000000"/>
          <w:sz w:val="24"/>
        </w:rPr>
        <w:t>means, for any Dividend Period, the second U.S. Government Securities Business Day immediately preceding the first date of such Dividend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Period</w:t>
      </w:r>
      <w:r>
        <w:rPr>
          <w:color w:val="000000"/>
        </w:rPr>
        <w:t xml:space="preserve">” </w:t>
      </w:r>
      <w:r>
        <w:rPr>
          <w:rFonts w:ascii="Times New Roman;serif" w:hAnsi="Times New Roman;serif"/>
          <w:b w:val="false"/>
          <w:color w:val="000000"/>
          <w:sz w:val="24"/>
        </w:rPr>
        <w:t>means the period from, and including, a Dividend Payment Date to, but excluding, the next succeeding Dividend Payment Date, except for the initial Dividend Period, which will be the period from, and including, [●], 2026</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to, but excluding, [●], 2026</w:t>
      </w:r>
      <w:r>
        <w:rPr>
          <w:rFonts w:ascii="Times New Roman;serif" w:hAnsi="Times New Roman;serif"/>
          <w:b w:val="false"/>
          <w:color w:val="000000"/>
          <w:sz w:val="16"/>
        </w:rPr>
        <w:t>9</w:t>
      </w:r>
      <w:r>
        <w:rPr>
          <w:rFonts w:ascii="Times New Roman;serif" w:hAnsi="Times New Roman;serif"/>
          <w:b w:val="false"/>
          <w:color w:val="000000"/>
          <w:sz w:val="24"/>
        </w:rPr>
        <w:t>.</w:t>
      </w:r>
    </w:p>
    <w:p>
      <w:pPr>
        <w:pStyle w:val="TextBody"/>
        <w:bidi w:val="0"/>
        <w:spacing w:lineRule="auto" w:line="276"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3.</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379"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Effective Date</w:t>
      </w:r>
      <w:r>
        <w:rPr>
          <w:color w:val="000000"/>
        </w:rPr>
        <w:t xml:space="preserve">” </w:t>
      </w:r>
      <w:r>
        <w:rPr>
          <w:rFonts w:ascii="Times New Roman;serif" w:hAnsi="Times New Roman;serif"/>
          <w:b w:val="false"/>
          <w:color w:val="000000"/>
          <w:sz w:val="24"/>
        </w:rPr>
        <w:t>means, with respect to one or more Index Cessation Events, the first date on which the Applicable Benchmark would ordinarily have been published or provided and is no longer published or provided.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Event</w:t>
      </w:r>
      <w:r>
        <w:rPr>
          <w:color w:val="000000"/>
        </w:rPr>
        <w:t xml:space="preserve">” </w:t>
      </w:r>
      <w:r>
        <w:rPr>
          <w:rFonts w:ascii="Times New Roman;serif" w:hAnsi="Times New Roman;serif"/>
          <w:b w:val="false"/>
          <w:color w:val="000000"/>
          <w:sz w:val="24"/>
        </w:rPr>
        <w:t>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Publicly Available Information</w:t>
      </w:r>
      <w:r>
        <w:rPr>
          <w:color w:val="000000"/>
        </w:rPr>
        <w:t xml:space="preserve">” </w:t>
      </w:r>
      <w:r>
        <w:rPr>
          <w:rFonts w:ascii="Times New Roman;serif" w:hAnsi="Times New Roman;serif"/>
          <w:b w:val="false"/>
          <w:color w:val="000000"/>
          <w:sz w:val="24"/>
        </w:rPr>
        <w:t>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Specified Public Source</w:t>
      </w:r>
      <w:r>
        <w:rPr>
          <w:color w:val="000000"/>
        </w:rPr>
        <w:t xml:space="preserve">” </w:t>
      </w:r>
      <w:r>
        <w:rPr>
          <w:rFonts w:ascii="Times New Roman;serif" w:hAnsi="Times New Roman;serif"/>
          <w:b w:val="false"/>
          <w:color w:val="000000"/>
          <w:sz w:val="24"/>
        </w:rPr>
        <w:t>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 xml:space="preserve">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380"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E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E Preferred Stock will first be credited against the earliest accumulated but unpaid dividend due with respect to the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381"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dividends declared upon the Series E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382"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E Preferred Stock will not have the Change of Control Conversion Right (as defined below) with respect to the shares of Series E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383"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serif" w:hAnsi="Times New Roman;serif"/>
          <w:b w:val="false"/>
          <w:color w:val="000000"/>
          <w:sz w:val="24"/>
          <w:u w:val="single"/>
        </w:rPr>
        <w:t>clause (i)</w:t>
      </w:r>
      <w:r>
        <w:rPr>
          <w:rFonts w:ascii="Times New Roman;serif" w:hAnsi="Times New Roman;serif"/>
          <w:b w:val="false"/>
          <w:color w:val="000000"/>
          <w:sz w:val="24"/>
        </w:rPr>
        <w:t>,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American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American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384"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E Preferred Stock are to be redeemed, the shares of Series E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E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E Preferred Stock shall have been or contemporaneously are declared and paid or declared and a sum sufficient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385"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E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E Preferred Stock that are not called for redemption) to convert some or all of the shares of Series E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E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E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386"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E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76"/>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387"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388"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(l) Notwithstanding anything to the contrary contained in </w:t>
      </w:r>
      <w:r>
        <w:rPr>
          <w:rFonts w:ascii="Times New Roman;serif" w:hAnsi="Times New Roman;serif"/>
          <w:b w:val="false"/>
          <w:color w:val="000000"/>
          <w:sz w:val="24"/>
          <w:u w:val="single"/>
        </w:rPr>
        <w:t>Sections 7(j)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hereof, if any shares of Series E Preferred Stock are held in book-entry form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389"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E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390"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E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391"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E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E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E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392"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E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E Preferred Stock will, as holders of Series E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393"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394"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395"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C</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Parent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396"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D</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Parent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397"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the Company</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398"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the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399"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FIFTH AMENDMENT TO MANAGEMENT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9, 2026, by and between TPG Mortgage Investment Trust, Inc. (fka, AG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REIT Management, LLC, a Delaware limited liability company (the “</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serif" w:hAnsi="Times New Roman;serif"/>
          <w:b w:val="false"/>
          <w:color w:val="000000"/>
          <w:sz w:val="24"/>
          <w:u w:val="single"/>
        </w:rPr>
        <w:t>Management Agreement</w:t>
      </w:r>
      <w:r>
        <w:rPr>
          <w:color w:val="000000"/>
        </w:rPr>
        <w:t>”</w:t>
      </w:r>
      <w:r>
        <w:rPr>
          <w:rFonts w:ascii="Times New Roman;serif" w:hAnsi="Times New Roman;serif"/>
          <w:b w:val="false"/>
          <w:color w:val="000000"/>
          <w:sz w:val="24"/>
        </w:rPr>
        <w:t>), pursuant to which, among other things, the Company is obligated to pay the Manager a Base Management Fee and Incentive Fee and to reimburse the Manager for certain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Cherry Hill Operating Partnership, LP, a Delaware limited partnership, and, solely for the limited purposes set forth therein, the Manager (as it may be amended from time to time,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the Company will acquire the Target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the Manager will fund approximately $20 million in cash payable to the stockholders of the Target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Merger Agreement and the Transaction, the Parties wish to amend the Management Agreement through this Amendment in order modify certain terms related to the Incentive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capitalized terms used in this Amendment and not otherwise defined shall have the meanings ascribed to such terms in the Management Agreement or the Merger Agreement, as the case may be.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recitals and mutual covenants and agreements contained herein and for other good and valuable consideration, the sufficiency of which is hereby acknowledged, the Parties hereto hereby covenant and agree as follows:</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to Management Agreement</w:t>
      </w:r>
      <w:r>
        <w:rPr>
          <w:rFonts w:ascii="Times New Roman;serif" w:hAnsi="Times New Roman;serif"/>
          <w:b w:val="false"/>
          <w:color w:val="000000"/>
          <w:sz w:val="24"/>
        </w:rPr>
        <w:t>. Contingent upon the closing of the Transaction as contemplated by the Merger Agreement, the Parties agree, from and after the Company Merger Effective Time, that:</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00"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1. Definitions.</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1.The definition for “Adjusted Net Income” is hereby deleted.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2.The definition for “Core Earnings” is hereby deleted.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3.Above the definition for “Effective Termination Date,” the following definition is hereby added:</w:t>
      </w:r>
    </w:p>
    <w:p>
      <w:pPr>
        <w:pStyle w:val="TextBody"/>
        <w:bidi w:val="0"/>
        <w:spacing w:before="0" w:after="0"/>
        <w:ind w:left="0" w:right="0" w:firstLine="18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4"/>
        </w:rPr>
        <w:t>Earnings Available for Distribution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EAD</w:t>
      </w:r>
      <w:r>
        <w:rPr>
          <w:color w:val="000000"/>
        </w:rPr>
        <w:t xml:space="preserve">” </w:t>
      </w:r>
      <w:r>
        <w:rPr>
          <w:rFonts w:ascii="Times New Roman;serif" w:hAnsi="Times New Roman;serif"/>
          <w:b w:val="false"/>
          <w:color w:val="000000"/>
          <w:sz w:val="24"/>
        </w:rPr>
        <w:t xml:space="preserve">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Independent Directors and approved by a majority of the Independent Directors. Items (i) through (iv) above include any amount related to those items held in affiliated entities.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Times New Roman;serif" w:hAnsi="Times New Roman;serif"/>
          <w:b w:val="false"/>
          <w:color w:val="000000"/>
          <w:sz w:val="24"/>
        </w:rPr>
        <w:t>4.The definition for “</w:t>
      </w:r>
      <w:r>
        <w:rPr>
          <w:rFonts w:ascii="Times New Roman;serif" w:hAnsi="Times New Roman;serif"/>
          <w:b w:val="false"/>
          <w:i/>
          <w:color w:val="000000"/>
          <w:sz w:val="24"/>
        </w:rPr>
        <w:t>Cumulative Hurdle Amount</w:t>
      </w:r>
      <w:r>
        <w:rPr>
          <w:color w:val="000000"/>
        </w:rPr>
        <w:t xml:space="preserve">” </w:t>
      </w:r>
      <w:r>
        <w:rPr>
          <w:rFonts w:ascii="Times New Roman;serif" w:hAnsi="Times New Roman;serif"/>
          <w:b w:val="false"/>
          <w:color w:val="000000"/>
          <w:sz w:val="24"/>
        </w:rPr>
        <w:t>is hereby deleted.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5.The definition for “</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is hereby replaced with the following:</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 xml:space="preserve">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01"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the Independent Directors. With respect to that portion of the period from and after the Company Merger Effective Time that is used in the calculation of Incentive Fee, all items in the foregoing sentence (other than clauses (a)(1) and (a)(3)) shall be calculated on a daily weighted average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6.</w:t>
      </w:r>
      <w:r>
        <w:rPr>
          <w:color w:val="000000"/>
        </w:rPr>
        <w:t xml:space="preserve"> </w:t>
      </w:r>
      <w:r>
        <w:rPr>
          <w:rFonts w:ascii="Times New Roman;serif" w:hAnsi="Times New Roman;serif"/>
          <w:b w:val="false"/>
          <w:color w:val="000000"/>
          <w:sz w:val="24"/>
        </w:rPr>
        <w:t>The definition for “Incentive Fee” is hereby replaced with the following:</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4"/>
        </w:rPr>
        <w:t>Incentive Fee</w:t>
      </w:r>
      <w:r>
        <w:rPr>
          <w:color w:val="000000"/>
        </w:rPr>
        <w:t xml:space="preserve">” </w:t>
      </w:r>
      <w:r>
        <w:rPr>
          <w:rFonts w:ascii="Times New Roman;serif" w:hAnsi="Times New Roman;serif"/>
          <w:b w:val="false"/>
          <w:color w:val="000000"/>
          <w:sz w:val="24"/>
        </w:rPr>
        <w:t>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uto" w:line="288" w:before="0" w:after="0"/>
        <w:jc w:val="left"/>
        <w:rPr/>
      </w:pPr>
      <w:r>
        <w:rPr>
          <w:rFonts w:ascii="Times New Roman;serif" w:hAnsi="Times New Roman;serif"/>
          <w:b w:val="false"/>
          <w:color w:val="000000"/>
          <w:sz w:val="24"/>
        </w:rPr>
        <w:t xml:space="preserve">The Incentive Fee shall be </w:t>
      </w:r>
      <w:r>
        <w:rPr>
          <w:rFonts w:ascii="Times New Roman;serif" w:hAnsi="Times New Roman;serif"/>
          <w:b w:val="false"/>
          <w:i/>
          <w:color w:val="000000"/>
          <w:sz w:val="24"/>
        </w:rPr>
        <w:t>pro rated</w:t>
      </w:r>
      <w:r>
        <w:rPr>
          <w:color w:val="000000"/>
        </w:rPr>
        <w:t xml:space="preserve"> </w:t>
      </w:r>
      <w:r>
        <w:rPr>
          <w:rFonts w:ascii="Times New Roman;serif" w:hAnsi="Times New Roman;serif"/>
          <w:b w:val="false"/>
          <w:color w:val="000000"/>
          <w:sz w:val="24"/>
        </w:rPr>
        <w:t xml:space="preserve">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7.The definition for “Termination Fee” is hereby replaced with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"Termination Fee" </w:t>
      </w:r>
      <w:r>
        <w:rPr>
          <w:rFonts w:ascii="Times New Roman;serif" w:hAnsi="Times New Roman;serif"/>
          <w:b w:val="false"/>
          <w:color w:val="000000"/>
          <w:sz w:val="24"/>
        </w:rPr>
        <w:t>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7.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1.Section 7(e) is hereby deleted and replaced with the following: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 The Incentive Fee shall be payable in arrears, in quarterly installments commencing with the fiscal quarter in which the Company Merger Effective Time occurs. The Manager shall compute each installment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02"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Incentive Fee within 60 days after the end of the fiscal quarter with respect to which such installment is payable. A copy of the computations made by the Manager to calculate such installment shall thereafter, for informational purposes only, promptly be delivered to the Board of Directors. Payment for each quarterly installment of the Incentive Fee in a given fiscal year shall be due and payable no later than the date which is five (5) Business Days after the date of delivery to the Board of Directors of the computation for the last fiscal quarter of a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2.Section 7(f) is hereby deleted.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3.Section 7(g) is hereby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03" name="Frame3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specifically amended by this Amendment, the Management Agreement shall remain in full force and effect.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 Further Amendment</w:t>
      </w:r>
      <w:r>
        <w:rPr>
          <w:rFonts w:ascii="Times New Roman;serif" w:hAnsi="Times New Roman;serif"/>
          <w:b w:val="false"/>
          <w:color w:val="000000"/>
          <w:sz w:val="24"/>
        </w:rPr>
        <w:t>. This Amendment, which may be executed in multiple counterparts, constitutes the entire agreement of the Parties regarding the matters contained herein and shall not be modified by any prior oral or written discussions.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404"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as of the date first written above.</w:t>
      </w:r>
    </w:p>
    <w:p>
      <w:pPr>
        <w:pStyle w:val="TextBody"/>
        <w:bidi w:val="0"/>
        <w:spacing w:lineRule="auto" w:line="288" w:before="720" w:after="720"/>
        <w:jc w:val="left"/>
        <w:rPr/>
      </w:pPr>
      <w:r>
        <w:rPr>
          <w:rFonts w:ascii="Times New Roman;serif" w:hAnsi="Times New Roman;serif"/>
          <w:b/>
          <w:color w:val="000000"/>
          <w:sz w:val="24"/>
        </w:rPr>
        <w:t>TPG MORTGAGE INVESTMENT TRUST, INC.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w:t>
      </w:r>
    </w:p>
    <w:p>
      <w:pPr>
        <w:pStyle w:val="TextBody"/>
        <w:bidi w:val="0"/>
        <w:spacing w:lineRule="auto" w:line="288" w:before="0" w:after="0"/>
        <w:jc w:val="left"/>
        <w:rPr/>
      </w:pPr>
      <w:r>
        <w:rPr>
          <w:rFonts w:ascii="Times New Roman;serif" w:hAnsi="Times New Roman;serif"/>
          <w:b w:val="false"/>
          <w:color w:val="000000"/>
          <w:sz w:val="24"/>
        </w:rPr>
        <w:t>By: Angelo, Gordon &amp; Co., L.P. its sole member</w:t>
      </w:r>
      <w:r>
        <w:rPr>
          <w:rFonts w:ascii="Times New Roman;serif" w:hAnsi="Times New Roman;serif"/>
          <w:b/>
          <w:color w:val="000000"/>
          <w:sz w:val="24"/>
        </w:rPr>
        <w:br/>
      </w:r>
      <w:r>
        <w:rPr>
          <w:rFonts w:ascii="Times New Roman;serif" w:hAnsi="Times New Roman;serif"/>
          <w:b w:val="false"/>
          <w:color w:val="000000"/>
          <w:sz w:val="24"/>
        </w:rPr>
        <w:br/>
        <w:br/>
        <w:br/>
        <w:t>By:    </w:t>
      </w:r>
      <w:r>
        <w:rPr>
          <w:rFonts w:ascii="Times New Roman;serif" w:hAnsi="Times New Roman;serif"/>
          <w:b w:val="false"/>
          <w:color w:val="000000"/>
          <w:sz w:val="24"/>
          <w:u w:val="single"/>
        </w:rPr>
        <w:t>/s/ Christopher D. Moore    </w:t>
      </w:r>
      <w:r>
        <w:rPr>
          <w:rFonts w:ascii="Times New Roman;serif" w:hAnsi="Times New Roman;serif"/>
          <w:b w:val="false"/>
          <w:color w:val="000000"/>
          <w:sz w:val="24"/>
        </w:rPr>
        <w:br/>
        <w:t>    Name: Christopher D. Moore</w:t>
        <w:br/>
        <w:t>    Title: General Counsel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405" name="Frame4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VOTING AND 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VOTING AND SUPPORT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9, 2026 by and between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MIT, LLC, a Delaware limited liability company (the “</w:t>
      </w:r>
      <w:r>
        <w:rPr>
          <w:rFonts w:ascii="Times New Roman;serif" w:hAnsi="Times New Roman;serif"/>
          <w:b w:val="false"/>
          <w:color w:val="000000"/>
          <w:sz w:val="24"/>
          <w:u w:val="single"/>
        </w:rPr>
        <w:t>Voting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concurrently with the execution and delivery of this Agreement, the Company,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and then (b) a merger of the Company with and into Merger Sub, with Merger Sub being the surviving entity in such merger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date hereof, the Voting Party is the Beneficial Owner of Shares of Company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sufficiency and adequacy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herein shall have the meanings given to them in the Merger Agreement. As used herein,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Company Common Stock. “</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all Shares Beneficially Owned by the Voting Party and any and all Shares acquired or Beneficially Owned by the Voting Party after the date hereof. “</w:t>
      </w:r>
      <w:r>
        <w:rPr>
          <w:rFonts w:ascii="Times New Roman;serif" w:hAnsi="Times New Roman;serif"/>
          <w:b w:val="false"/>
          <w:color w:val="000000"/>
          <w:sz w:val="24"/>
          <w:u w:val="single"/>
        </w:rPr>
        <w:t>Beneficially Own</w:t>
      </w:r>
      <w:r>
        <w:rPr>
          <w:rFonts w:ascii="Times New Roman;serif" w:hAnsi="Times New Roman;serif"/>
          <w:b w:val="false"/>
          <w:color w:val="000000"/>
          <w:sz w:val="24"/>
        </w:rPr>
        <w:t>,”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have the meaning set forth in Rule 13d-3 under the Exchange Act. “</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means any Person controlled by the Voting Party and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created by this Agreement, (b) Liens imposed by </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06" name="Frame4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applicable securities Laws and (c) pledges or other Liens that do not impair or restrict the Voting Party’s ability to vote or cause to be voted any Voting Shares in accordance with this Agreement. “</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offer, exchange, assign, pledge, encumber, hypothecate, dispose of or otherwise transfer, whether by operation of Law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Representations and Warranties of the Voting Party</w:t>
      </w:r>
      <w:r>
        <w:rPr>
          <w:rFonts w:ascii="Times New Roman;serif" w:hAnsi="Times New Roman;serif"/>
          <w:b w:val="false"/>
          <w:color w:val="000000"/>
          <w:sz w:val="24"/>
        </w:rPr>
        <w:t>. The Voting Party hereby represents and warrants to the Company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Ownership of Shares</w:t>
      </w:r>
      <w:r>
        <w:rPr>
          <w:rFonts w:ascii="Times New Roman;serif" w:hAnsi="Times New Roman;serif"/>
          <w:b w:val="false"/>
          <w:color w:val="000000"/>
          <w:sz w:val="24"/>
        </w:rPr>
        <w:t xml:space="preserve">. The Voting Party (i) Beneficially Owns, as of the date hereof, 734,800 Voting Shares, free and clear of all Liens other than Permitted Liens, (ii) has the sole power to vote or cause to be voted such Voting Shares, (iii) has not entered into any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07" name="Frame4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Litigation</w:t>
      </w:r>
      <w:r>
        <w:rPr>
          <w:rFonts w:ascii="Times New Roman;serif" w:hAnsi="Times New Roman;serif"/>
          <w:b w:val="false"/>
          <w:color w:val="000000"/>
          <w:sz w:val="24"/>
        </w:rPr>
        <w:t>. As of the date hereof, there is no Litigation pending against, or, to the knowledge of the Voting Party, threatened against, the Voting Party or any of its Affiliates that would reasonably be expected to materially impair or materially adversely affect the Voting Party’s ability to perform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to the Voting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Agreement to Vote Shares</w:t>
      </w:r>
      <w:r>
        <w:rPr>
          <w:rFonts w:ascii="Times New Roman;serif" w:hAnsi="Times New Roman;serif"/>
          <w:b w:val="false"/>
          <w:color w:val="000000"/>
          <w:sz w:val="24"/>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08" name="Frame4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No Voting Trust or Other Arrangement</w:t>
      </w:r>
      <w:r>
        <w:rPr>
          <w:rFonts w:ascii="Times New Roman;serif" w:hAnsi="Times New Roman;serif"/>
          <w:b w:val="false"/>
          <w:color w:val="000000"/>
          <w:sz w:val="24"/>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Transfer and Encumbrance</w:t>
      </w:r>
      <w:r>
        <w:rPr>
          <w:rFonts w:ascii="Times New Roman;serif" w:hAnsi="Times New Roman;serif"/>
          <w:b w:val="false"/>
          <w:color w:val="000000"/>
          <w:sz w:val="24"/>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shall be null and void. “</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by the Voting Party to a Controlled Affiliate;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relieve any party of liability for any Willful Breach of this Agreement occurring prior to such termination. For purposes hereof, “</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09" name="Frame4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Specific Enforcement</w:t>
      </w:r>
      <w:r>
        <w:rPr>
          <w:rFonts w:ascii="Times New Roman;serif" w:hAnsi="Times New Roman;serif"/>
          <w:b w:val="false"/>
          <w:color w:val="000000"/>
          <w:sz w:val="24"/>
        </w:rPr>
        <w:t>.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Voting Party: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AG REIT Management, LLC</w:t>
        <w:br/>
        <w:t>245 Park Avenue, 26th Floor</w:t>
        <w:br/>
        <w:t>New York, NY 10167</w:t>
        <w:br/>
        <w:t>Attention: Jenny B. Neslin, Legal Department</w:t>
        <w:br/>
        <w:t>E-mail: jneslin@tpg.com;  legal@angelogordon.com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Steven M. Haas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E-mail: shaas@hunton.com </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10"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2200 Pennsylvania Avenue, NW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Washington, DC 20037</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Robert K. Smith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E-mail: rsmith@hunton.com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br/>
        <w:t>4000 Route 66, Suite 310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Tinton Falls, NJ 07753</w:t>
        <w:br/>
        <w:t>Attention: Jeffrey Lown II</w:t>
        <w:br/>
        <w:t>Email:    jay.lown@chmireit.com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Mayer Brown LLP </w:t>
        <w:br/>
        <w:t>1221 Avenue of the Americas</w:t>
        <w:br/>
        <w:t>New York, New York 10020</w:t>
        <w:br/>
        <w:t>Attention: David Freed</w:t>
        <w:br/>
        <w:t>E-mail: dfreed@mayerbrown.com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br/>
        <w:t>71 South Wacker Drive</w:t>
        <w:br/>
        <w:t>Chicago, IL 60606</w:t>
        <w:br/>
        <w:t>Attention: Andrew Noreuil; Ryan Ferris</w:t>
        <w:br/>
        <w:t>Email:    anoreuil@mayerbrown.com; rferris@mayerbrown.com</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Expenses</w:t>
      </w:r>
      <w:r>
        <w:rPr>
          <w:rFonts w:ascii="Times New Roman;serif" w:hAnsi="Times New Roman;serif"/>
          <w:b w:val="false"/>
          <w:color w:val="000000"/>
          <w:sz w:val="24"/>
        </w:rPr>
        <w:t>. Except as otherwise specifically provided herein, each party hereto shall bear its own expenses in connection with this Agreement.4</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11"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or in such other manner as may be permitted by applicable Law shall be valid and sufficient service thereof; and (F) it shall not assert as a defense any matter or claim waived by the foregoing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that any Order issued by such courts may not be enforced in or by such courts.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12" name="Frame4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i/>
          <w:color w:val="000000"/>
          <w:sz w:val="24"/>
        </w:rPr>
        <w:t>Interpretation</w:t>
      </w:r>
      <w:r>
        <w:rPr>
          <w:rFonts w:ascii="Times New Roman;serif" w:hAnsi="Times New Roman;serif"/>
          <w:b w:val="false"/>
          <w:color w:val="000000"/>
          <w:sz w:val="24"/>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i/>
          <w:color w:val="000000"/>
          <w:sz w:val="24"/>
        </w:rPr>
        <w:t>Assignment; Successors and Assigns; Third Party Beneficiaries</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11(g)</w:t>
      </w:r>
      <w:r>
        <w:rPr>
          <w:color w:val="000000"/>
        </w:rPr>
        <w:t xml:space="preserve"> </w:t>
      </w:r>
      <w:r>
        <w:rPr>
          <w:rFonts w:ascii="Times New Roman;serif" w:hAnsi="Times New Roman;serif"/>
          <w:b w:val="false"/>
          <w:color w:val="000000"/>
          <w:sz w:val="24"/>
        </w:rPr>
        <w:t>shall be null and void. This Agreement is not intended to and does not confer upon any Person other than the parties hereto any rights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hereto shall execute and deliver such additional documents as may be necessary to effect the transactions contemplated by this Agreement.</w:t>
      </w:r>
    </w:p>
    <w:p>
      <w:pPr>
        <w:pStyle w:val="TextBody"/>
        <w:bidi w:val="0"/>
        <w:spacing w:before="0" w:after="0"/>
        <w:ind w:left="0" w:right="0" w:firstLine="180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 xml:space="preserve">. </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413" name="Frame4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as of the date first written above by their respective officers thereunto duly authorized.</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 MIT, LLC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Durkin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Durkin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414" name="Frame4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CHERRY HILL MORTGAGE INVESTMENT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Lown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Lown II</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15"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Annex 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60" w:type="dxa"/>
        <w:jc w:val="right"/>
        <w:tblInd w:w="0" w:type="dxa"/>
        <w:tblLayout w:type="fixed"/>
        <w:tblCellMar>
          <w:top w:w="28" w:type="dxa"/>
          <w:left w:w="28" w:type="dxa"/>
          <w:bottom w:w="28" w:type="dxa"/>
          <w:right w:w="28" w:type="dxa"/>
        </w:tblCellMar>
      </w:tblPr>
      <w:tblGrid>
        <w:gridCol w:w="1602"/>
        <w:gridCol w:w="1409"/>
        <w:gridCol w:w="1410"/>
        <w:gridCol w:w="949"/>
        <w:gridCol w:w="949"/>
        <w:gridCol w:w="1341"/>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44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409575"/>
                  <wp:effectExtent l="0" t="0" r="0" b="0"/>
                  <wp:docPr id="4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5" descr=""/>
                          <pic:cNvPicPr>
                            <a:picLocks noChangeAspect="1" noChangeArrowheads="1"/>
                          </pic:cNvPicPr>
                        </pic:nvPicPr>
                        <pic:blipFill>
                          <a:blip r:embed="rId6"/>
                          <a:stretch>
                            <a:fillRect/>
                          </a:stretch>
                        </pic:blipFill>
                        <pic:spPr bwMode="auto">
                          <a:xfrm>
                            <a:off x="0" y="0"/>
                            <a:ext cx="2743200" cy="409575"/>
                          </a:xfrm>
                          <a:prstGeom prst="rect">
                            <a:avLst/>
                          </a:prstGeom>
                        </pic:spPr>
                      </pic:pic>
                    </a:graphicData>
                  </a:graphic>
                </wp:inline>
              </w:drawing>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val="false"/>
                <w:color w:val="4A4F55"/>
                <w:sz w:val="14"/>
              </w:rPr>
              <w:t>1251 AVENUE OF THE AMERICAS, 6</w:t>
            </w:r>
            <w:r>
              <w:rPr>
                <w:rFonts w:ascii="HelveticaNeueLT Std;sans-serif" w:hAnsi="HelveticaNeueLT Std;sans-serif"/>
                <w:b w:val="false"/>
                <w:color w:val="4A4F55"/>
                <w:sz w:val="9"/>
              </w:rPr>
              <w:t>TH</w:t>
            </w:r>
            <w:r>
              <w:rPr>
                <w:color w:val="4A4F55"/>
              </w:rPr>
              <w:t xml:space="preserve"> </w:t>
            </w:r>
            <w:r>
              <w:rPr>
                <w:rFonts w:ascii="HelveticaNeueLT Std;sans-serif" w:hAnsi="HelveticaNeueLT Std;sans-serif"/>
                <w:b w:val="false"/>
                <w:color w:val="4A4F55"/>
                <w:sz w:val="14"/>
              </w:rPr>
              <w:t>FLOOR</w:t>
              <w:br/>
              <w:t>NEW YORK, NY 10020</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color w:val="4A4F55"/>
                <w:sz w:val="14"/>
              </w:rPr>
              <w:t>P</w:t>
            </w:r>
            <w:r>
              <w:rPr>
                <w:color w:val="4A4F55"/>
              </w:rPr>
              <w:t xml:space="preserve"> </w:t>
            </w:r>
            <w:r>
              <w:rPr>
                <w:rFonts w:ascii="HelveticaNeueLT Std;sans-serif" w:hAnsi="HelveticaNeueLT Std;sans-serif"/>
                <w:b w:val="false"/>
                <w:color w:val="4A4F55"/>
                <w:sz w:val="14"/>
              </w:rPr>
              <w:t xml:space="preserve">212 466-7800 | </w:t>
            </w:r>
            <w:r>
              <w:rPr>
                <w:rFonts w:ascii="HelveticaNeueLT Std;sans-serif" w:hAnsi="HelveticaNeueLT Std;sans-serif"/>
                <w:b/>
                <w:color w:val="4A4F55"/>
                <w:sz w:val="14"/>
              </w:rPr>
              <w:t>TF</w:t>
            </w:r>
            <w:r>
              <w:rPr>
                <w:color w:val="4A4F55"/>
              </w:rPr>
              <w:t xml:space="preserve"> </w:t>
            </w:r>
            <w:r>
              <w:rPr>
                <w:rFonts w:ascii="HelveticaNeueLT Std;sans-serif" w:hAnsi="HelveticaNeueLT Std;sans-serif"/>
                <w:b w:val="false"/>
                <w:color w:val="4A4F55"/>
                <w:sz w:val="14"/>
              </w:rPr>
              <w:t>800 635-6851</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Piper Sandler &amp; Co. Since 1895.</w:t>
            </w:r>
          </w:p>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Member SIPC and NYSE</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TPG Mortgage Investment Trust, Inc.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245 Park Avenue, 26th Floor</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10167</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TPG Mortgage Investment Trust, Inc. (“Parent”), MIT Merger Sub II, LLC, a wholly-owned subsidiary of Parent (“Merger Sub”), Cherry Hill Mortgage Investment Corporation (“Company”), Cherry Hill Operating Partnership, LP (the “Company Operating Partnership”), and, for the limited purposes set forth therein, AG REIT Management, LLC (“Parent Manager”) are proposing to enter into an Agreement and Plan of Merger (the “Agreement”) pursuant to which Company Operating Partnership will, subject to the terms and conditions set forth therein, merge with and into Company (the “Partnership Merger”), and following the Partnership Merger, the Company shall be merged with and into the Merger Sub (the “Company Merger” and together with the Partnership Merger, the “Mergers”). As set forth in the Agreement, at the Company Merger Effective Time, by virtue of the Company Merger and without any action on the part of the holder thereof, each share of Company Common Stock, issued and outstanding immediately prior to the Company Merger Effective Time (excluding any Cancelled Shares), shall be converted into the right to receive from (1) from Parent (A) 0.3063 of a share of Parent Common Stock (the “Per Share Parent Stock Consideration”), and (B) $0.41 per share in cash, without interest (the “Per Share Parent Cash Consideration” and, together with the Per Share Parent Stock Consideration, the “Per Share Parent Consideration”), and (2) from Parent Manager (acting solely on its own behalf), as additional consideration, $0.52 per share (the “Per Share Additional Manager Consideration”). Capitalized terms used herein without definition shall have the meanings ascribed thereto in the Agreement. You have requested our opinion as to the fairness, from a financial point of view, of the aggregate Per Share Parent Consideration to Parent.</w:t>
      </w:r>
    </w:p>
    <w:p>
      <w:pPr>
        <w:pStyle w:val="TextBody"/>
        <w:bidi w:val="0"/>
        <w:spacing w:before="0" w:after="0"/>
        <w:jc w:val="left"/>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Piper Sandler &amp; Co. (“Piper Sandler”, “we” or “our”), as part of its investment banking business, is regularly engaged in the valuation of real estate investment trusts (“REITs”), financial institutions and their securities in connection with mergers and acquisitions and other corporate transactions. In connection with this opinion, we have reviewed and considered, among other things: (i) an execution copy of the Agreement; (ii) certain publicly available financial statements and other historical financial information of Parent that we deemed relevant; (iii) certain publicly available financial statements and other historical financial information of Company that we deemed relevant; (iv) internal financial projections for Parent for the six months ending December 31, 2026, as well as for the years ending December 31, 2027 and December 31, 2028, as provided by the senior management of Parent; (v) internal financial projections for Company for the six months ending December 31, 2026, as well as for the years ending December 31, 2027 and December 31, 2028, as provided by the senior management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417"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Company and authorized for use in our analysis by the senior management of Parent; (vi) the publicly reported historical price and trading activity for Parent Common Stock and Company Common Stock, including a comparison of certain stock trading information for Parent Common Stock and Company Common Stock and certain stock indices, as well as similar publicly available information for certain other agency and non-agency mortgage REITs, the securities of which are publicly traded; (vii) a comparison of certain financial and market information for Parent and Company with similar agency and nonagency mortgage REITs for which information is publicly available; (viii) the financial terms of certain recent business combinations in the mortgage REIT industry (on a nationwide basis), to the extent publicly available; (ix) the current market environment generally and the mortgage REIT environment in particular; and (x) such other information, financial studies, analyses and investigations and financial, economic and market criteria as we considered relevant. We also discussed with certain members of the senior management of Parent and its representatives the business, financial condition, results of operations and prospects of Parent and held similar discussions with certain members of the senior management of Company and its representatives regarding the business, financial condition, results of operations and prospects of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performing our review, we have relied upon the accuracy and completeness of all of the financial and other information that was available to us from public sources, that was provided to us by Parent, Company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Parent and Company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Parent or Company, nor were we furnished with any such evaluations or appraisals. We render no opinion on or evaluation of the collectability of any assets or the future performance of any loans which the Parent or Company are invested in, nor any of their respective subsidiaries.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preparing its analyses, Piper Sandler used internal financial projections for Parent for the six months ending December 31, 2026, as well as for the years ending December 31, 2027 and December 31, 2028, as provided by the senior management of Parent. In addition, Piper Sandler used internal financial projections for Company for the six months ending December 31, 2026, as well as for the years ending December 31, 2027 and December 31, 2028, as provided by the senior management of Company and authorized for use in Piper Sandler’s analysis by the senior management of Parent. With respect to the foregoing information, the senior management of Parent confirmed to us that such information reflected the best currently available projections, estimates and judgements of senior management as to the future financial performance of Parent and Company, respectively, and we assumed that the financial results reflected in such information would be achieved. We express no opinion as to such projections, estimates or judgements, or the assumptions on which they are based. We have also assumed that there has been no material change in Parent’s or Company’s assets, financial condition, results of operations, business or prospects since the date of the most recent financial statements made available to us. We have assumed in all respects material to our analyses that Parent and Company will remain as going concerns for all periods relevant to our analyses.</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also assumed, with your consent, that (i) each of the parties to the Agreement will comply in all material respects with all material terms and conditions of the Agreement and all related agreements required to effect the Mergers, that all of the representations and warranties contained in such agreements are true and correct in all material respects, that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18"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to such agreements will perform in all material respects all of the covenants and other obligations required to be performed by such party under such agreements and that the conditions precedent in such agreements are not and will not be waived, (iii) in the course of obtaining the necessary regulatory or third party approvals, consents and releases with respect to the Mergers, no delay, limitation, restriction or condition will be imposed that would have an adverse effect on Parent, Company, the Mergers or any related transactions, and (iv) the Mergers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assessments that Parent has received from its legal, accounting and tax advisors as to all legal, accounting and tax matters relating to the Mergers and the other transactions contemplated by the Agreement. We express no opinion as to any such matters.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or Company Common Stock at any time or what the value of Parent Common Stock will be once the shares are actually received by the holders of Company Common Stock. In addition, for purposes of our analyses and in rendering this opinion we did not consider, and we express no opinion as to, the value of the Per Share Additional Manager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have acted as Parent’s financial advisor in connection with the Mergers and will receive a fee for our services, which fee is contingent upon consummation of the Mergers. We will also receive a fee for rendering this opinion, which opinion fee will be credited towards the advisory fee which will become payable to Piper Sandler upon closing of the Mergers. Parent has also agreed to indemnify us against certain claims and liabilities arising out of our engagement and to reimburse us for certain of our out-of-pocket expenses incurred in connection with our engagement. Piper Sandler entered into an equity distribution agreement with Parent in November 2024 to act as selling agent in connection with Parent’s offer and sale of Parent Common Stock from time to time in an at-the-market offering. Piper Sandler has not received any compensation in connection with its role as selling agent but may receive compensation in the future. Except for the foregoing, Piper Sandler did not provide any other investment banking services to Parent in the two years preceding the day hereof, nor did Piper Sandler provide any investment banking services to Company in the two years preceding the date hereof. In the ordinary course of our business as a broker-dealer, we may purchase securities from and sell securities to Parent, Company and their respective affiliates. We may also actively trade the equity and debt securities of Parent, Company and their respective affiliates for our own account and for the accounts of our customers.</w:t>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opinion is directed to the Board of Directors of Parent in connection with its consideration of the Agreement and the Merger and does not constitute a recommendation to any stockholder of Parent as to how any such stockholder should vote at any meeting of stockholders called to consider and vote upon the approval of the Agreement and the Merger. Our opinion is directed only as to the fairness, from a financial point of view, of the Exchange Ratio to Parent and does not address the underlying business decision of Parent to engage in the Merger, the form or structure of the Merger or any other transactions contemplated in the Agreement, the relative merits of the Merger as compared to any other alternative transactions or business strategies that might exist for Parent or the effect of any other transaction in which Parent might engage. We also do not express any opinion as to the fairness of the amount or nature of the compensation to be received in the Merger by any Parent officer, director or employee, or class of such persons, if any, relative to the amount of compensation to be received by any other stockholder. This opinion has been approved by Piper Sandler’s fairness opinion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19"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This opinion may not be reproduced without Piper Sandler’s prior written consent;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Piper Sandler will provide its consent for the opinion to be included in any regulatory filings, including the Joint Proxy Statement and the Registration Statement, to be filed with the SEC and mailed to stockholders in connection with the Merger.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Based upon and subject to the foregoing, it is our opinion that, as of the date hereof, the aggregate Per Share Parent Consideration is fair to Parent from a financial point of view.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40" w:before="0" w:after="0"/>
        <w:ind w:left="0" w:right="0" w:firstLine="5760"/>
        <w:jc w:val="both"/>
        <w:rPr>
          <w:rFonts w:ascii="Times New Roman;serif" w:hAnsi="Times New Roman;serif"/>
          <w:b w:val="false"/>
          <w:color w:val="000000"/>
          <w:sz w:val="24"/>
        </w:rPr>
      </w:pPr>
      <w:r>
        <w:rPr>
          <w:rFonts w:ascii="Times New Roman;serif" w:hAnsi="Times New Roman;serif"/>
          <w:b w:val="false"/>
          <w:color w:val="000000"/>
          <w:sz w:val="24"/>
        </w:rPr>
        <w:t>/s/ Piper Sandler &amp; 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420"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drawing>
          <wp:inline distT="0" distB="0" distL="0" distR="0">
            <wp:extent cx="1504950" cy="371475"/>
            <wp:effectExtent l="0" t="0" r="0" b="0"/>
            <wp:docPr id="4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6" descr=""/>
                    <pic:cNvPicPr>
                      <a:picLocks noChangeAspect="1" noChangeArrowheads="1"/>
                    </pic:cNvPicPr>
                  </pic:nvPicPr>
                  <pic:blipFill>
                    <a:blip r:embed="rId7"/>
                    <a:stretch>
                      <a:fillRect/>
                    </a:stretch>
                  </pic:blipFill>
                  <pic:spPr bwMode="auto">
                    <a:xfrm>
                      <a:off x="0" y="0"/>
                      <a:ext cx="1504950" cy="371475"/>
                    </a:xfrm>
                    <a:prstGeom prst="rect">
                      <a:avLst/>
                    </a:prstGeom>
                  </pic:spPr>
                </pic:pic>
              </a:graphicData>
            </a:graphic>
          </wp:inline>
        </w:drawing>
      </w:r>
    </w:p>
    <w:p>
      <w:pPr>
        <w:pStyle w:val="TextBody"/>
        <w:bidi w:val="0"/>
        <w:spacing w:before="240" w:after="240"/>
        <w:jc w:val="left"/>
        <w:rPr/>
      </w:pPr>
      <w:r>
        <w:rPr/>
      </w:r>
    </w:p>
    <w:p>
      <w:pPr>
        <w:pStyle w:val="TextBody"/>
        <w:bidi w:val="0"/>
        <w:spacing w:lineRule="auto" w:line="288" w:before="240" w:after="24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4000 Route 66, Suite 310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New Jersey 07753</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Members of the Board of Directors: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BTIG, LLC (“</w:t>
      </w:r>
      <w:r>
        <w:rPr>
          <w:rFonts w:ascii="Times New Roman;serif" w:hAnsi="Times New Roman;serif"/>
          <w:b/>
          <w:color w:val="000000"/>
          <w:sz w:val="24"/>
        </w:rPr>
        <w:t>BTIG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we</w:t>
      </w:r>
      <w:r>
        <w:rPr>
          <w:color w:val="000000"/>
        </w:rPr>
        <w:t>”</w:t>
      </w:r>
      <w:r>
        <w:rPr>
          <w:rFonts w:ascii="Times New Roman;serif" w:hAnsi="Times New Roman;serif"/>
          <w:b w:val="false"/>
          <w:color w:val="000000"/>
          <w:sz w:val="24"/>
        </w:rPr>
        <w:t>) has been advised that Cherry Hill Mortgage Investment Corporation, a Maryland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proposes to enter into an Agreement and Plan of Merger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by and among the Company, TPG Mortgage Investment Trust, Inc., a Maryland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Cherry Hill Operating Partnership, LP, a Delaware limited partnership (the “</w:t>
      </w:r>
      <w:r>
        <w:rPr>
          <w:rFonts w:ascii="Times New Roman;serif" w:hAnsi="Times New Roman;serif"/>
          <w:b/>
          <w:color w:val="000000"/>
          <w:sz w:val="24"/>
        </w:rPr>
        <w:t>Company Operating Partnership</w:t>
      </w:r>
      <w:r>
        <w:rPr>
          <w:color w:val="000000"/>
        </w:rPr>
        <w:t>”</w:t>
      </w:r>
      <w:r>
        <w:rPr>
          <w:rFonts w:ascii="Times New Roman;serif" w:hAnsi="Times New Roman;serif"/>
          <w:b w:val="false"/>
          <w:color w:val="000000"/>
          <w:sz w:val="24"/>
        </w:rPr>
        <w:t>), and, solely for the limited purposes set forth therein, AG REIT Management, LLC, a Delaware limited liability company (“</w:t>
      </w:r>
      <w:r>
        <w:rPr>
          <w:rFonts w:ascii="Times New Roman;serif" w:hAnsi="Times New Roman;serif"/>
          <w:b/>
          <w:color w:val="000000"/>
          <w:sz w:val="24"/>
        </w:rPr>
        <w:t>Parent Manager</w:t>
      </w:r>
      <w:r>
        <w:rPr>
          <w:color w:val="000000"/>
        </w:rPr>
        <w:t>”</w:t>
      </w:r>
      <w:r>
        <w:rPr>
          <w:rFonts w:ascii="Times New Roman;serif" w:hAnsi="Times New Roman;serif"/>
          <w:b w:val="false"/>
          <w:color w:val="000000"/>
          <w:sz w:val="24"/>
        </w:rPr>
        <w:t>), pursuant to which, among other things, (i) the Company Operating Partnership will merge with and into the Company, with the Company being the surviving entity (the “</w:t>
      </w:r>
      <w:r>
        <w:rPr>
          <w:rFonts w:ascii="Times New Roman;serif" w:hAnsi="Times New Roman;serif"/>
          <w:b/>
          <w:color w:val="000000"/>
          <w:sz w:val="24"/>
        </w:rPr>
        <w:t>Partnership Merger</w:t>
      </w:r>
      <w:r>
        <w:rPr>
          <w:color w:val="000000"/>
        </w:rPr>
        <w:t>”</w:t>
      </w:r>
      <w:r>
        <w:rPr>
          <w:rFonts w:ascii="Times New Roman;serif" w:hAnsi="Times New Roman;serif"/>
          <w:b w:val="false"/>
          <w:color w:val="000000"/>
          <w:sz w:val="24"/>
        </w:rPr>
        <w:t>), and (ii) immediately following the Partnership Merger, the Company will merge with and into Merger Sub, with Merger Sub being the surviving entity (the “</w:t>
      </w:r>
      <w:r>
        <w:rPr>
          <w:rFonts w:ascii="Times New Roman;serif" w:hAnsi="Times New Roman;serif"/>
          <w:b/>
          <w:color w:val="000000"/>
          <w:sz w:val="24"/>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color w:val="000000"/>
          <w:sz w:val="24"/>
        </w:rPr>
        <w:t>Mergers</w:t>
      </w:r>
      <w:r>
        <w:rPr>
          <w:color w:val="000000"/>
        </w:rPr>
        <w:t>”</w:t>
      </w:r>
      <w:r>
        <w:rPr>
          <w:rFonts w:ascii="Times New Roman;serif" w:hAnsi="Times New Roman;serif"/>
          <w:b w:val="false"/>
          <w:color w:val="000000"/>
          <w:sz w:val="24"/>
        </w:rPr>
        <w:t>). At the effective time of the Company Merger (the “</w:t>
      </w:r>
      <w:r>
        <w:rPr>
          <w:rFonts w:ascii="Times New Roman;serif" w:hAnsi="Times New Roman;serif"/>
          <w:b/>
          <w:color w:val="000000"/>
          <w:sz w:val="24"/>
        </w:rPr>
        <w:t>Company Merger Effective Time</w:t>
      </w:r>
      <w:r>
        <w:rPr>
          <w:color w:val="000000"/>
        </w:rPr>
        <w:t>”</w:t>
      </w:r>
      <w:r>
        <w:rPr>
          <w:rFonts w:ascii="Times New Roman;serif" w:hAnsi="Times New Roman;serif"/>
          <w:b w:val="false"/>
          <w:color w:val="000000"/>
          <w:sz w:val="24"/>
        </w:rPr>
        <w:t>), each share of common stock, par value $0.01 per share, of the Company (the “</w:t>
      </w:r>
      <w:r>
        <w:rPr>
          <w:rFonts w:ascii="Times New Roman;serif" w:hAnsi="Times New Roman;serif"/>
          <w:b/>
          <w:color w:val="000000"/>
          <w:sz w:val="24"/>
        </w:rPr>
        <w:t>Company Common Stock</w:t>
      </w:r>
      <w:r>
        <w:rPr>
          <w:color w:val="000000"/>
        </w:rPr>
        <w:t>”</w:t>
      </w:r>
      <w:r>
        <w:rPr>
          <w:rFonts w:ascii="Times New Roman;serif" w:hAnsi="Times New Roman;serif"/>
          <w:b w:val="false"/>
          <w:color w:val="000000"/>
          <w:sz w:val="24"/>
        </w:rPr>
        <w:t>) issued and outstanding immediately prior to the Company Merger Effective Time (excluding shares of Company Common Stock held by the Company, Parent or any direct or indirect subsidiary of Parent or the Company (collectively, the “</w:t>
      </w:r>
      <w:r>
        <w:rPr>
          <w:rFonts w:ascii="Times New Roman;serif" w:hAnsi="Times New Roman;serif"/>
          <w:b/>
          <w:color w:val="000000"/>
          <w:sz w:val="24"/>
        </w:rPr>
        <w:t>Canceled Shares</w:t>
      </w:r>
      <w:r>
        <w:rPr>
          <w:color w:val="000000"/>
        </w:rPr>
        <w:t>”</w:t>
      </w:r>
      <w:r>
        <w:rPr>
          <w:rFonts w:ascii="Times New Roman;serif" w:hAnsi="Times New Roman;serif"/>
          <w:b w:val="false"/>
          <w:color w:val="000000"/>
          <w:sz w:val="24"/>
        </w:rPr>
        <w:t>)) will be canceled and extinguished and automatically converted into the right to receive, without interest, (1) from Parent (A) a number of validly issued, fully paid and nonassessable shares of common stock, par value $0.01 per share, of Parent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Parent Common Stock</w:t>
      </w:r>
      <w:r>
        <w:rPr>
          <w:color w:val="000000"/>
        </w:rPr>
        <w:t>”</w:t>
      </w:r>
      <w:r>
        <w:rPr>
          <w:rFonts w:ascii="Times New Roman;serif" w:hAnsi="Times New Roman;serif"/>
          <w:b w:val="false"/>
          <w:color w:val="000000"/>
          <w:sz w:val="24"/>
        </w:rPr>
        <w:t>) equal to 0.3063 (the “</w:t>
      </w:r>
      <w:r>
        <w:rPr>
          <w:rFonts w:ascii="Times New Roman;serif" w:hAnsi="Times New Roman;serif"/>
          <w:b/>
          <w:color w:val="000000"/>
          <w:sz w:val="24"/>
        </w:rPr>
        <w:t>Exchange Ratio</w:t>
      </w:r>
      <w:r>
        <w:rPr>
          <w:color w:val="000000"/>
        </w:rPr>
        <w:t xml:space="preserve">” </w:t>
      </w:r>
      <w:r>
        <w:rPr>
          <w:rFonts w:ascii="Times New Roman;serif" w:hAnsi="Times New Roman;serif"/>
          <w:b w:val="false"/>
          <w:color w:val="000000"/>
          <w:sz w:val="24"/>
        </w:rPr>
        <w:t>and such consideration set forth in this clause (A), the “</w:t>
      </w:r>
      <w:r>
        <w:rPr>
          <w:rFonts w:ascii="Times New Roman;serif" w:hAnsi="Times New Roman;serif"/>
          <w:b/>
          <w:color w:val="000000"/>
          <w:sz w:val="24"/>
        </w:rPr>
        <w:t>Per Share Parent Stock Consideration</w:t>
      </w:r>
      <w:r>
        <w:rPr>
          <w:color w:val="000000"/>
        </w:rPr>
        <w:t>”</w:t>
      </w:r>
      <w:r>
        <w:rPr>
          <w:rFonts w:ascii="Times New Roman;serif" w:hAnsi="Times New Roman;serif"/>
          <w:b w:val="false"/>
          <w:color w:val="000000"/>
          <w:sz w:val="24"/>
        </w:rPr>
        <w:t>), and (B) $0.41 per share in cash (the “</w:t>
      </w:r>
      <w:r>
        <w:rPr>
          <w:rFonts w:ascii="Times New Roman;serif" w:hAnsi="Times New Roman;serif"/>
          <w:b/>
          <w:color w:val="000000"/>
          <w:sz w:val="24"/>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color w:val="000000"/>
          <w:sz w:val="24"/>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$0.52 per share in cash (the “</w:t>
      </w:r>
      <w:r>
        <w:rPr>
          <w:rFonts w:ascii="Times New Roman;serif" w:hAnsi="Times New Roman;serif"/>
          <w:b/>
          <w:color w:val="000000"/>
          <w:sz w:val="24"/>
        </w:rPr>
        <w:t>Per Share Additional Manager Consideration</w:t>
      </w:r>
      <w:r>
        <w:rPr>
          <w:color w:val="000000"/>
        </w:rPr>
        <w:t xml:space="preserve">” </w:t>
      </w:r>
      <w:r>
        <w:rPr>
          <w:rFonts w:ascii="Times New Roman;serif" w:hAnsi="Times New Roman;serif"/>
          <w:b w:val="false"/>
          <w:color w:val="000000"/>
          <w:sz w:val="24"/>
        </w:rPr>
        <w:t>and, together with the Per Share Parent Consideration, the “</w:t>
      </w:r>
      <w:r>
        <w:rPr>
          <w:rFonts w:ascii="Times New Roman;serif" w:hAnsi="Times New Roman;serif"/>
          <w:b/>
          <w:color w:val="000000"/>
          <w:sz w:val="24"/>
        </w:rPr>
        <w:t>Common Stock Merger Consideration</w:t>
      </w:r>
      <w:r>
        <w:rPr>
          <w:color w:val="000000"/>
        </w:rPr>
        <w:t>”</w:t>
      </w:r>
      <w:r>
        <w:rPr>
          <w:rFonts w:ascii="Times New Roman;serif" w:hAnsi="Times New Roman;serif"/>
          <w:b w:val="false"/>
          <w:color w:val="000000"/>
          <w:sz w:val="24"/>
        </w:rPr>
        <w:t xml:space="preserve">), subject to certain adjustments set forth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422"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3.1(d) of the Merger Agreement (as to which adjustments we express no opinion). The terms and conditions of the Mergers are more fully set forth in the Merger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You have asked for our opinion as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(the “</w:t>
      </w:r>
      <w:r>
        <w:rPr>
          <w:rFonts w:ascii="Times New Roman;serif" w:hAnsi="Times New Roman;serif"/>
          <w:b/>
          <w:color w:val="000000"/>
          <w:sz w:val="24"/>
        </w:rPr>
        <w:t>Opinion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with respect to the Company:</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certain publicly available business and financial information relating to the Company that we deemed to be relevant;</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reviewed and discussed with the Company’s management certain non-public projected financial and operating data relating to the Company prepared and furnished to us by management of the Company (the “</w:t>
      </w:r>
      <w:r>
        <w:rPr>
          <w:rFonts w:ascii="Times New Roman;serif" w:hAnsi="Times New Roman;serif"/>
          <w:b/>
          <w:color w:val="000000"/>
          <w:sz w:val="24"/>
        </w:rPr>
        <w:t>Company Projections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4"/>
        </w:rPr>
        <w:t>discussed past and current operations, financial projections, including the Company Projections, and current financial condition of the Company with management of the Company (including their views on the risks and uncertainties of achieving the Company Projections);</w:t>
      </w:r>
    </w:p>
    <w:p>
      <w:pPr>
        <w:pStyle w:val="TextBody"/>
        <w:bidi w:val="0"/>
        <w:spacing w:lineRule="auto" w:line="240" w:before="240" w:after="24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4"/>
        </w:rPr>
        <w:t>reviewed the reported prices and the historical trading activity of the Company Common Stock;</w:t>
      </w:r>
    </w:p>
    <w:p>
      <w:pPr>
        <w:pStyle w:val="TextBody"/>
        <w:bidi w:val="0"/>
        <w:spacing w:lineRule="auto" w:line="240" w:before="240" w:after="240"/>
        <w:ind w:left="0" w:right="0" w:hanging="360"/>
        <w:jc w:val="left"/>
        <w:rPr/>
      </w:pPr>
      <w:r>
        <w:rPr>
          <w:rFonts w:ascii="Times New Roman;serif" w:hAnsi="Times New Roman;serif"/>
          <w:b w:val="false"/>
          <w:color w:val="000000"/>
          <w:sz w:val="20"/>
        </w:rPr>
        <w:t>5)</w:t>
      </w:r>
      <w:r>
        <w:rPr>
          <w:rFonts w:ascii="Times New Roman;serif" w:hAnsi="Times New Roman;serif"/>
          <w:b w:val="false"/>
          <w:color w:val="000000"/>
          <w:sz w:val="24"/>
        </w:rPr>
        <w:t>compared the financial performance of the Company and its stock market trading multiples with those of certain other publicly traded companies that we deemed relevant;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6)</w:t>
      </w:r>
      <w:r>
        <w:rPr>
          <w:rFonts w:ascii="Times New Roman;serif" w:hAnsi="Times New Roman;serif"/>
          <w:b w:val="false"/>
          <w:color w:val="000000"/>
          <w:sz w:val="24"/>
        </w:rPr>
        <w:t>compared the financial performance of the Company and the valuation multiples implied by the Company Merger with those of certain other transactions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 with respect to Parent:</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certain publicly available business and financial information relating to Parent that we deemed to be relevant, including publicly available research analysts’ estimates;</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reviewed the reported prices and the historical trading activity of the Parent Common Stock;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4"/>
        </w:rPr>
        <w:t>compared the financial performance of Parent and its stock market trading multiples with those of certain other publicly traded companies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a draft dated August 8, 2026 of the Merger Agreement (the “</w:t>
      </w:r>
      <w:r>
        <w:rPr>
          <w:rFonts w:ascii="Times New Roman;serif" w:hAnsi="Times New Roman;serif"/>
          <w:b/>
          <w:color w:val="000000"/>
          <w:sz w:val="24"/>
        </w:rPr>
        <w:t>Draft Merger Agreement</w:t>
      </w:r>
      <w:r>
        <w:rPr>
          <w:color w:val="000000"/>
        </w:rPr>
        <w:t>”</w:t>
      </w:r>
      <w:r>
        <w:rPr>
          <w:rFonts w:ascii="Times New Roman;serif" w:hAnsi="Times New Roman;serif"/>
          <w:b w:val="false"/>
          <w:color w:val="000000"/>
          <w:sz w:val="24"/>
        </w:rPr>
        <w:t>);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performed such other analyses, reviewed such other information and considered such other factors as we have deemed appropriate for purposes of our Opinion.</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423" name="Frame4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assumed and relied upon, without independent verification, the accuracy and completeness of the information that was publicly available, supplied or otherwise made available to or discussed with us by the Company, and have relied upon the assurances of the management of the Company that they are not aware of any facts or circumstances that would make such information provided by the Company inaccurate or misleading in any material respect. With respect to the Company Projections, we have been advised by the management of the Company, and have assumed, that they have been reasonably prepared on bases reflecting the best currently available estimates and good faith judgments of the management of the Company of the future financial performance of the Company. We assume no responsibility for and we express no view as to any such projections or estimates or the assumptions on which they are based. In addition, we have assumed, as advised by the Company,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Internal Revenue Code of 1986, as amended. We have also assumed, as advised by the Company, that in connection with the receipt of all the necessary governmental, regulatory or other approvals and consents required for the proposed Mergers, no delays, limitations, conditions or restrictions will be imposed that would have an adverse effect on the Company, the Company Operating Partnership, Parent, Parent Manager or the contemplated benefits expected to be derived in the proposed Mergers. With your consent, we have assumed that any adjustments to the Common Stock Merger Consideration pursuant to Section 3.1(d) of the Merger Agreement or otherwise would not be material to our analyses or this Opinion. We also have assumed, as advised by the Company, that (a) the final executed Merger Agreement will not differ in any material respect from the Draft Merger Agreement reviewed by us, and (b) the final Merger Agreement will reflect the Exchange Ratio of 0.3063, Per Share Parent Cash Consideration of $0.41 per share and Per Share Additional Manager Consideration of $0.52 per share.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are not legal, tax, regulatory or accounting advisors. We are financial advisors only and have relied upon, without independent verification, the assessment of the Company and its legal, tax, regulatory and accounting advisors with respect to legal, tax, regulatory and accounting matters. We express no view or opinion as to any terms or other aspects of the Mergers (other than the Common Stock Merger Consideration to the extent expressly specified herein), including, without limitation, the form or structure of the Mergers or any adjustments to the Common Stock Merger Consideration set forth in Section 3.1(d) of the Merger Agreement or otherwise. Our Opinion is limited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we express no view or opinion with respect to the fairness (financial or otherwise) of the amount, nature or any other aspect of any termination fee set forth in the Merger Agreement or any compensation to any of the officers, directors or employees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424" name="Frame4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party to the Mergers, or any class of such persons, whether relative to the Common Stock Merger Consideration or otherwise. We have not made any independent valuation or appraisal of the assets or liabilities (including any contingent, derivative or other off-balance-sheet assets and liabilities) of the Company or Parent, nor have we been furnished with any such valuations or appraisals, and we have not made any physical inspection of the properties or assets of the Company or Parent.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We have acted as financial advisor to the Board of Directors of the Company (the “</w:t>
      </w:r>
      <w:r>
        <w:rPr>
          <w:rFonts w:ascii="Times New Roman;serif" w:hAnsi="Times New Roman;serif"/>
          <w:b/>
          <w:color w:val="000000"/>
          <w:sz w:val="24"/>
        </w:rPr>
        <w:t>Company Board</w:t>
      </w:r>
      <w:r>
        <w:rPr>
          <w:color w:val="000000"/>
        </w:rPr>
        <w:t>”</w:t>
      </w:r>
      <w:r>
        <w:rPr>
          <w:rFonts w:ascii="Times New Roman;serif" w:hAnsi="Times New Roman;serif"/>
          <w:b w:val="false"/>
          <w:color w:val="000000"/>
          <w:sz w:val="24"/>
        </w:rPr>
        <w:t>) in connection with the Mergers and will receive a fee for our services, a portion of which is payable upon the rendering of this Opinion and a portion of which is contingent upon the consummation of the Mergers. In addition, the Company has agreed to reimburse our expenses and indemnify us against certain liabilities arising out of our engagement.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two years prior to the date hereof, we and our affiliates have provided financial advisory or investment banking services to the Company and its affiliates and received customary fees for the rendering of these services. In the two years prior to the date hereof, we and our affiliates have acted as a placement agent in connection with the establishment of an at-the-market equity offering program of Parent and its affiliates and received customary expense reimbursement for the rendering of these services. BTIG and its affiliates may seek to provide financial advisory or investment banking services to the Company, Parent or any of their respective affiliates in the future, and would expect to receive customary fees for the rendering of any such services.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note that BTIG and its affiliates provide investment banking and other services to a wide range of persons from which conflicting interest or duties may arise. BTIG, its affiliates, directors, members, managers, employees and officers may at any time hold long or short positions, and may trade or otherwise structure and effect transactions in debt or equity securities or loans of Parent, the Company or any other company that may be involved in the Mergers.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BTIG’s Fairness Opinion Committee has approved the issuance of this Opinion. This Opinion is for the information of the Company Board in connection with and for purposes of its evaluation of the Mergers only and may not be used for any other purpose without our prior written consent, except to the extent required to be described and/or referred to in any filings to be made in connection with the Mergers with the Securities and Exchange Commission or any other legal or regulatory authority, in which case the Company shall have provided us with an opportunity to prepare, review and/or provide comments on any such description or reference. If this Opinion is included in a proxy statement filed in connection with the Mergers, this Opinion shall be produced in full, and any description of or reference to BTIG or summary of this Opinion shall be in a form reasonably acceptable to BTIG and its legal counsel. Our Opinion does not address the relative merits of the Mergers in comparison to other strategies or transactions that might be available to the Company or in which the Company might engage or </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425" name="Frame4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as to the underlying business decision of the Company to proceed with or effect the Mergers. In addition, this Opinion does not in any manner address the prices or volumes at which Company Common Stock or Parent Common Stock will trade at any time, including following the announcement or consummation of the Mergers. BTIG expresses no opinion or recommendation as to how the stockholders of the Company should vote at any stockholders’ meeting to be held in connection with the Mergers. This Opinion supersedes in its entirety any other written analyses or materials previously furnished by BTIG to the Company or its representatives.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and subject to the foregoing, we are of the opinion that, as of the date hereof, the Common Stock Merger Consideration to be received by the holders of Company Common Stock (other than holders of Canceled Shares) pursuant to the Merger Agreement is fair from a financial point of view to the holders of Company Common Stock (other than holders of Canceled Shares).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BTIG, LLC</w:t>
      </w:r>
    </w:p>
    <w:p>
      <w:pPr>
        <w:pStyle w:val="TextBody"/>
        <w:bidi w:val="0"/>
        <w:spacing w:lineRule="auto" w:line="288" w:before="48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Managing Director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426" name="Frame4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INFORMATION NOT REQUIRED IN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 INDEMNIFICATION OF OFFICERS AND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that was established by a final judgment and was material to the cause of action. The MITT Charter contains a provision that eliminates the liability of MITT’s directors and officers to the maximum extent permitted by Maryland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requires MITT (unless the MITT Charter provides otherwise, which it does not) to indemnify a director or officer who has been successful, on the merits or otherwise, in the defense of any proceeding to which he or she is made, or threatened to be made, a party by reason of his or her service in that capacity. The MGCL permits MITT to indemnify MITT’s present and former directors and officers, among others, against judgments, penalties, fines, settlements and reasonable expenses actually incurred by them in connection with any proceeding to or in which they may be made or threatened to be made a party or witness by reason of their service in those or other capacities unless it is established 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 or omission of the director or officer was material to the matter giving rise to the proceeding and (1) was committed in bad faith or (2) was the result of active and deliberate dishonesty;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MGCL, MITT may not indemnify a director or officer in a suit by MITT or in MITT’s right in which the director or officer was adjudged liable to MITT, or in a suit in which the director or officer was adjudged liable on the basis that personal benefit was improperly received, unless, in either case, a court orders indemnification and then only for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MGCL permits MITT to advance reasonable expenses to a director or officer upon MITT’s receipt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MITT;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MITT if it is ultimately determined that the director or officer did not meet the standard of conduct.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MITT to obligate itself, and the MITT Bylaws obligate MITT,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present or former director or officer of MITT who is made or threatened to be made a party to the proceeding by reason of his or her service in that capacity;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individual who, while a director or officer of MITT and at MITT’s request, serves or has served as a director, officer, partner, trustee, member or manager of another corporation, real estate investment trust, limited liability company, partnership, joint venture, trust, employee benefit plan or any other enterprise and who is made or threatened to be made a party to the proceeding by reason of his or her service in that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427"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to indemnification and advance of expenses provided by the MITT Charter and the MITT Bylaws vest immediately upon the election of a director or officer. The MITT Charter and the MITT Bylaws also permit MITT to, with the approval of the MITT Board, indemnify and advance expenses to any person who served a predecessor of MITT in any of the capacities described above and any employee or agent of MITT or a predecessor of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indemnification agreements with each of its directors and officers that provide for indemnification to the maximum extent permitted by Maryland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MITT for liability arising under the Securities Act, MITT has been informed that, in the opinion of the SEC, this indemnification is against public policy as expressed in the Securities Act and is therefore unenforceable.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21.   EXHIBITS AND FINANCIAL STATEMENT SCHEDULES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list of the exhibits included as part of this registration statement is set forth in the Exhibit Index that precedes the signature page to this registration statement and is incorporated by reference in this joint proxy statement/prospectus.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22.   UNDERTAKINGS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428"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504"/>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hereby undertakes as follows: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429"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430"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748"/>
        <w:gridCol w:w="2492"/>
        <w:gridCol w:w="35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35FF"/>
                  <w:sz w:val="20"/>
                  <w:u w:val="single"/>
                </w:rPr>
                <w:t>2.1+</w:t>
              </w:r>
            </w:hyperlink>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35FF"/>
                  <w:sz w:val="20"/>
                  <w:u w:val="single"/>
                </w:rPr>
                <w:t>Agreement and Plan of Merger, dated as of August 9, 2026, by and among TPG Mortgage Investment Trust, Inc., MIT Merger Sub II, LLC, Cherry Hill Mortgage Investment Corporation, Cherry Hill Operating Partnership, LP, and, solely for the limited purposes set forth therein, AG REIT Management, LLC* (attached as Annex A to the joint proxy statement/prospectus that forms a part of this registration statement).</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35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35FF"/>
                  <w:sz w:val="20"/>
                  <w:u w:val="single"/>
                </w:rPr>
                <w:t>Articles of Amendment and Restatement of AG Mortgage Investment Trust, Inc., incorporated by reference to Exhibit 3.1 of Amendment No. 2 to the Registrant’s Registration Statement on Form S-11, filed with the Securities and Exchange Commission on April 18, 2011.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35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35FF"/>
                  <w:sz w:val="20"/>
                  <w:u w:val="single"/>
                </w:rPr>
                <w:t>Articles of Amendment to Articles of Amendment and Restatement of AG Mortgage Investment Trust, Inc., incorporated by reference to Exhibit 3.1 of the Registrant’s Current Report on Form 8-K, filed with the Securities and Exchange Commission on May 8, 2017.</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35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35FF"/>
                  <w:sz w:val="20"/>
                  <w:u w:val="single"/>
                </w:rPr>
                <w:t>Amended and Restated Bylaws of AG Mortgage Investment Trust, Inc., incorporated by reference to Exhibit 3.2 of the Registrant's Current Report on Form 8-K, filed with the Securities and Exchange Commission on December 16, 2025.</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35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35FF"/>
                  <w:sz w:val="20"/>
                  <w:u w:val="single"/>
                </w:rPr>
                <w:t>Articles Supplementary of 8.25% Series A Cumulative Redeemable Preferred Stock, incorporated by reference to Exhibit 3.1 of the Registrant’s Current Report on Form 8-K, filed with the Securities and Exchange Commission on August 2,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35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35FF"/>
                  <w:sz w:val="20"/>
                  <w:u w:val="single"/>
                </w:rPr>
                <w:t>Articles Supplementary of 8.00% Series B Cumulative Redeemable Preferred Stock, incorporated by reference to Exhibit 3.1 of the Registrant's Current Report on Form 8-K, filed with the Securities and Exchange Commission on September 24,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35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35FF"/>
                  <w:sz w:val="20"/>
                  <w:u w:val="single"/>
                </w:rPr>
                <w:t>Articles Supplementary of 8.000% Series C Fixed-to-Floating Rate Cumulative Redeemable Preferred Stock, incorporated by reference to Exhibit 3.5 of the Registrant's Registration Statement on Form 8-A12B, filed with the Securities and Exchange Commission on September 16, 2019.</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35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35FF"/>
                  <w:sz w:val="20"/>
                  <w:u w:val="single"/>
                </w:rPr>
                <w:t>Articles of Amendment of AG Mortgage Investment Trust, Inc., incorporated by reference to Exhibit 3.1 of the Registrant's Current Report on Form 8-K, filed with the Securities and Exchange Commission on July 27,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35FF"/>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35FF"/>
                  <w:sz w:val="20"/>
                  <w:u w:val="single"/>
                </w:rPr>
                <w:t>Articles of Amendment of AG Mortgage Investment Trust, Inc., incorporated by reference to Exhibit 3.2 of the Registrant's Current Report on Form 8-K, filed with the Securities and Exchange Commission on July 27,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35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35FF"/>
                  <w:sz w:val="20"/>
                  <w:u w:val="single"/>
                </w:rPr>
                <w:t>Specimen Common Stock Certificate of AG Mortgage Investment Trust, Inc., incorporated by reference to Exhibit 4.1 of the Registrant's Quarterly Report on Form 10-Q, filed with the Securities and Exchange Commission on May 7, 2021.</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35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35FF"/>
                  <w:sz w:val="20"/>
                  <w:u w:val="single"/>
                </w:rPr>
                <w:t xml:space="preserve">Specimen 8.25% Series A Cumulative Redeemable Preferred Stock Certificate, incorporated by reference to Exhibit 4.1 of the Registrant's Current Report on Form 8-K, filed with the Securities and Exchange Commission on August 2, 2012. </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35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35FF"/>
                  <w:sz w:val="20"/>
                  <w:u w:val="single"/>
                </w:rPr>
                <w:t>Specimen 8.00% Series B Cumulative Redeemable Preferred Stock Certificate, incorporated by reference to Exhibit 4.1 of the Registrant's Current Report on Form 8-K, filed with the Securities and Exchange Commission on September 24, 2012.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35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35FF"/>
                  <w:sz w:val="20"/>
                  <w:u w:val="single"/>
                </w:rPr>
                <w:t>Specimen 8.000% Series C Fixed-to-Floating Rate Cumulative Redeemable Preferred Stock Certificate, incorporated by reference to Exhibit 3.9 of the Registrant's Registration Statement on Form 8-A12B, filed with the Securities and Exchange Commission on September 16, 2019.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431" name="Frame4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3"/>
        <w:gridCol w:w="161"/>
        <w:gridCol w:w="165"/>
        <w:gridCol w:w="109"/>
        <w:gridCol w:w="109"/>
        <w:gridCol w:w="109"/>
        <w:gridCol w:w="2926"/>
        <w:gridCol w:w="2667"/>
        <w:gridCol w:w="3776"/>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35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35FF"/>
                  <w:sz w:val="20"/>
                  <w:u w:val="single"/>
                </w:rPr>
                <w:t>Description of Securities Registered Pursuant to Section 12 of the Securities Exchange Act of 1934, incorporated by reference to Exhibit 4.5 of the Registrant's Annual Report on Form 10-K for the year ended December 31, 2025.</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35FF"/>
                  <w:sz w:val="20"/>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35FF"/>
                  <w:sz w:val="20"/>
                  <w:u w:val="single"/>
                </w:rPr>
                <w:t>Indenture, dated January 26, 2024, between AG Mortgage Investment Trust, Inc. and U.S. Bank Trust Company, National Association, as Trustee, incorporated by reference to Exhibit 4.2 to the Registrant's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35FF"/>
                  <w:sz w:val="20"/>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35FF"/>
                  <w:sz w:val="20"/>
                  <w:u w:val="single"/>
                </w:rPr>
                <w:t>First Supplemental Indenture, dated January 26, 2024, between AG Mortgage Investment Trust, Inc. and U.S. Bank Trust Company, National Association, as Trustee, incorporated by reference to Exhibit 4.3 to the Registrant's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35FF"/>
                  <w:sz w:val="20"/>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35FF"/>
                  <w:sz w:val="20"/>
                  <w:u w:val="single"/>
                </w:rPr>
                <w:t>Second Supplemental Indenture, dated May 15, 2024, between AG Mortgage Investment Trust, Inc. and U.S. Bank Trust Company, National Association, as Trustee, incorporated by reference to Exhibit 4.4 to the Registrant's Registration Statement on Form 8-A12B, filed with the Securities and Exchange Commission on May 15,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35FF"/>
                  <w:sz w:val="20"/>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35FF"/>
                  <w:sz w:val="20"/>
                  <w:u w:val="single"/>
                </w:rPr>
                <w:t>Form of 9.500% Senior Notes Due 2029 of AG Mortgage Investment Trust, Inc., attached as Exhibit A to the First Supplemental Indenture, incorporated by reference to Exhibit 4.3 to the Registrant's Registration Statement on Form 8-A12B, filed with the Securities and Exchange Commission on January 26,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35FF"/>
                  <w:sz w:val="20"/>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35FF"/>
                  <w:sz w:val="20"/>
                  <w:u w:val="single"/>
                </w:rPr>
                <w:t>Form of 9.500% Senior Notes Due 2029 of AG Mortgage Investment Trust, Inc., attached as Exhibit A to the Second Supplemental Indenture, incorporated by reference to Exhibit 4.4 to the Registrant's Registration Statement on Form 8-A12B, filed with the Securities and Exchange Commission on May 15,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venableopinion.htm">
              <w:r>
                <w:rPr>
                  <w:rStyle w:val="InternetLink"/>
                  <w:rFonts w:ascii="Times New Roman;serif" w:hAnsi="Times New Roman;serif"/>
                  <w:b w:val="false"/>
                  <w:color w:val="0035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venableopinion.htm">
              <w:r>
                <w:rPr>
                  <w:rStyle w:val="InternetLink"/>
                  <w:rFonts w:ascii="Times New Roman;serif" w:hAnsi="Times New Roman;serif"/>
                  <w:b w:val="false"/>
                  <w:color w:val="0035FF"/>
                  <w:sz w:val="20"/>
                  <w:u w:val="single"/>
                </w:rPr>
                <w:t>Opinion of Venable LLP (including consent of such firm).</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1-huntonreitopinio.htm">
              <w:r>
                <w:rPr>
                  <w:rStyle w:val="InternetLink"/>
                  <w:rFonts w:ascii="Times New Roman;serif" w:hAnsi="Times New Roman;serif"/>
                  <w:b w:val="false"/>
                  <w:color w:val="0035FF"/>
                  <w:sz w:val="20"/>
                  <w:u w:val="single"/>
                </w:rPr>
                <w:t>8.1**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1-huntonreitopinio.htm">
              <w:r>
                <w:rPr>
                  <w:rStyle w:val="InternetLink"/>
                  <w:rFonts w:ascii="Times New Roman;serif" w:hAnsi="Times New Roman;serif"/>
                  <w:b w:val="false"/>
                  <w:color w:val="0035FF"/>
                  <w:sz w:val="20"/>
                  <w:u w:val="single"/>
                </w:rPr>
                <w:t>Tax Opinion of Hunton Andrews Kurth LLP (including consent of such firm).</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2-huntonreorgopini.htm">
              <w:r>
                <w:rPr>
                  <w:rStyle w:val="InternetLink"/>
                  <w:rFonts w:ascii="Times New Roman;serif" w:hAnsi="Times New Roman;serif"/>
                  <w:b w:val="false"/>
                  <w:color w:val="0035FF"/>
                  <w:sz w:val="20"/>
                  <w:u w:val="single"/>
                </w:rPr>
                <w:t>8.2**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2-huntonreorgopini.htm">
              <w:r>
                <w:rPr>
                  <w:rStyle w:val="InternetLink"/>
                  <w:rFonts w:ascii="Times New Roman;serif" w:hAnsi="Times New Roman;serif"/>
                  <w:b w:val="false"/>
                  <w:color w:val="0035FF"/>
                  <w:sz w:val="20"/>
                  <w:u w:val="single"/>
                </w:rPr>
                <w:t>Tax Opinion of Hunton Andrews Kurth LLP (including consent of such firm).</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3-mbreitopinionxc.htm">
              <w:r>
                <w:rPr>
                  <w:rStyle w:val="InternetLink"/>
                  <w:rFonts w:ascii="Times New Roman;serif" w:hAnsi="Times New Roman;serif"/>
                  <w:b w:val="false"/>
                  <w:color w:val="0035FF"/>
                  <w:sz w:val="20"/>
                  <w:u w:val="single"/>
                </w:rPr>
                <w:t>8.3**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3-mbreitopinionxc.htm">
              <w:r>
                <w:rPr>
                  <w:rStyle w:val="InternetLink"/>
                  <w:rFonts w:ascii="Times New Roman;serif" w:hAnsi="Times New Roman;serif"/>
                  <w:b w:val="false"/>
                  <w:color w:val="0035FF"/>
                  <w:sz w:val="20"/>
                  <w:u w:val="single"/>
                </w:rPr>
                <w:t>Tax Opinion of Mayer Brown LLP (including consent of such firm).</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4-mbreorgopinionxc.htm">
              <w:r>
                <w:rPr>
                  <w:rStyle w:val="InternetLink"/>
                  <w:rFonts w:ascii="Times New Roman;serif" w:hAnsi="Times New Roman;serif"/>
                  <w:b w:val="false"/>
                  <w:color w:val="0035FF"/>
                  <w:sz w:val="20"/>
                  <w:u w:val="single"/>
                </w:rPr>
                <w:t>8.4**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4-mbreorgopinionxc.htm">
              <w:r>
                <w:rPr>
                  <w:rStyle w:val="InternetLink"/>
                  <w:rFonts w:ascii="Times New Roman;serif" w:hAnsi="Times New Roman;serif"/>
                  <w:b w:val="false"/>
                  <w:color w:val="0035FF"/>
                  <w:sz w:val="20"/>
                  <w:u w:val="single"/>
                </w:rPr>
                <w:t>Tax Opinion of Mayer Brown LLP (including consent of such firm).</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35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35FF"/>
                  <w:sz w:val="20"/>
                  <w:u w:val="single"/>
                </w:rPr>
                <w:t>Management Agreement, dated June 29, 2011 by and between AG Mortgage Investment Trust, Inc. and AG REIT Management, LLC, incorporated by reference to Exhibit 10.1 of the Registrant's Annual Report on Form 10-K, filed with the Securities and Exchange Commission on February 25, 2022.</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35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35FF"/>
                  <w:sz w:val="20"/>
                  <w:u w:val="single"/>
                </w:rPr>
                <w:t>Form of Amended and Restated Indemnification Agreement, dated May 2, 2022, by and between AG Mortgage Investment Trust, Inc. and its directors and officers, incorporated by reference to Exhibit 10.1 of the Registrant's Quarterly Report on Form 10-Q for the quarter ended March 31, 2022, filed with the Securities and Exchange Commission on May 6, 2022.</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35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35FF"/>
                  <w:sz w:val="20"/>
                  <w:u w:val="single"/>
                </w:rPr>
                <w:t>Equity Distribution Agreement, dated November 6, 2024, by and among the Company, AG REIT Management, LLC and BTIG, LLC, incorporated by reference to Exhibit 1.1 of the Registrant's Current Report on Form 8-K, filed with the Securities and Exchange Commission on November 6, 2024.</w:t>
              </w:r>
            </w:hyperlink>
          </w:p>
        </w:tc>
      </w:tr>
      <w:tr>
        <w:trPr/>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35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35FF"/>
                  <w:sz w:val="20"/>
                  <w:u w:val="single"/>
                </w:rPr>
                <w:t>Equity Distribution Agreement, dated November 6, 2024, by and among the Company, AG REIT Management, LLC and JonesTrading Institutional Services LLC, incorporated by reference to Exhibit 1.2 of the Registrant's Current Report on Form 8-K, filed with the Securities and Exchange Commission on November 6, 2024.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432"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1"/>
        <w:gridCol w:w="195"/>
        <w:gridCol w:w="198"/>
        <w:gridCol w:w="109"/>
        <w:gridCol w:w="109"/>
        <w:gridCol w:w="109"/>
        <w:gridCol w:w="2710"/>
        <w:gridCol w:w="2710"/>
        <w:gridCol w:w="3844"/>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35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35FF"/>
                  <w:sz w:val="20"/>
                  <w:u w:val="single"/>
                </w:rPr>
                <w:t>Equity Distribution Agreement, dated November 6, 2024, by and among the Company, AG REIT Management, LLC and Keefe, Bruyette &amp; Woods, Inc., incorporated by reference to Exhibit 1.3 of the Registrant's Current Report on Form 8-K, filed with the Securities and Exchange Commission on November 6,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35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35FF"/>
                  <w:sz w:val="20"/>
                  <w:u w:val="single"/>
                </w:rPr>
                <w:t>Equity Distribution Agreement, dated November 6, 2024, by and among the Company, AG REIT Management, LLC and Piper Sandler &amp; Co., incorporated by reference to Exhibit 1.4 of the Registrant's Current Report on Form 8-K, filed with the Securities and Exchange Commission on November 6,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35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35FF"/>
                  <w:sz w:val="20"/>
                  <w:u w:val="single"/>
                </w:rPr>
                <w:t>First Amendment to Management Agreement, dated April 6, 2020, by and between the Company and AG REIT Management, LLC, incorporated by reference to Exhibit 10.1 of the Registrant's Current Report on Form 8-K, filed with the Securities and Exchange Commission on April 8,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35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35FF"/>
                  <w:sz w:val="20"/>
                  <w:u w:val="single"/>
                </w:rPr>
                <w:t>Second Amendment to the Management Agreement, dated September 24, 2020, by and between AG Mortgage Investment Trust, Inc. and AG REIT Management, LLC, incorporated by reference to Exhibit 10.1 of the Registrant's Current Report on Form 8-K, filed with the Securities and Exchange Commission on September 24,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35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35FF"/>
                  <w:sz w:val="20"/>
                  <w:u w:val="single"/>
                </w:rPr>
                <w:t>Third Amendment to Management Agreement, dated as of November 22, 2021, by and between AG Mortgage Investment Trust, Inc. and AG REIT Management, LLC, incorporated by reference to Exhibit 10.1 of the Registrant's Current Report on Form 8-K, filed with the Securities and Exchange Commission on November 22,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35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35FF"/>
                  <w:sz w:val="20"/>
                  <w:u w:val="single"/>
                </w:rPr>
                <w:t>Fourth Amendment to Management Agreement, dated as of August 8, 2023, by and between AG Mortgage Investment Trust, Inc. and AG REIT Management, LLC, incorporated by reference to Exhibit 10.1 of the Registrant's Current Report on Form 8-K, filed with the Securities and Exchange Commission on August 9,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35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35FF"/>
                  <w:sz w:val="20"/>
                  <w:u w:val="single"/>
                </w:rPr>
                <w:t>AG Mortgage Investment Trust, Inc. 2020 Equity Incentive Plan, incorporated by reference to Exhibit 10.1 of the Registrant’s Quarterly Report on Form 10-Q, filed with the Securities and Exchange Commission on August 3,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35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35FF"/>
                  <w:sz w:val="20"/>
                  <w:u w:val="single"/>
                </w:rPr>
                <w:t>AG Mortgage Investment Trust, Inc. 2025 Equity Incentive Plan, incorporated by reference to Exhibit 10.1 of the Registrant's Quarterly Report on Form 10-Q for the quarter ended March 31, 2025, filed with the Securities and Exchange Commission on May 7,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35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erif" w:hAnsi="Times New Roman;serif"/>
                  <w:b w:val="false"/>
                  <w:color w:val="0035FF"/>
                  <w:sz w:val="20"/>
                  <w:u w:val="single"/>
                </w:rPr>
                <w:t>AG Mortgage Investment Trust, Inc. 2021 Manager Equity Incentive Plan, incorporated by reference to Exhibit 10.2 of the Registrant's Quarterly Report on Form 10-Q for the quarter ended June 30, 2021, filed with the Securities and Exchange Commission on August 3, 2021.</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35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erif" w:hAnsi="Times New Roman;serif"/>
                  <w:b w:val="false"/>
                  <w:color w:val="0035FF"/>
                  <w:sz w:val="20"/>
                  <w:u w:val="single"/>
                </w:rPr>
                <w:t>Form of Award Agreement Under the AG Mortgage Investment Trust, Inc. 2020 Equity Incentive Plan, dated as of April 15, 2020, incorporated by reference to Exhibit 10.60 on the Registrant's Quarterly Report on Form 10-Q for the quarter ended June 30, 2020, filed with the Securities and Exchange Commission on August 8, 2020.</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35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erif" w:hAnsi="Times New Roman;serif"/>
                  <w:b w:val="false"/>
                  <w:color w:val="0035FF"/>
                  <w:sz w:val="20"/>
                  <w:u w:val="single"/>
                </w:rPr>
                <w:t>Registration Rights Agreement, dated as of August 1, 2025, by and among AG Mortgage Investment Trust, Inc. and the Holders as defined therein, incorporated by reference to Exhibit 10.1 of the Registrant's Quarterly Report on Form 10-Q for the quarter ended June 30, 2025, filed with the Securities and Exchange Commission on August 5, 2025.</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67">
              <w:r>
                <w:rPr>
                  <w:rStyle w:val="InternetLink"/>
                  <w:rFonts w:ascii="Times New Roman;serif" w:hAnsi="Times New Roman;serif"/>
                  <w:b w:val="false"/>
                  <w:color w:val="0035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667">
              <w:r>
                <w:rPr>
                  <w:rStyle w:val="InternetLink"/>
                  <w:rFonts w:ascii="Times New Roman;serif" w:hAnsi="Times New Roman;serif"/>
                  <w:b w:val="false"/>
                  <w:color w:val="0035FF"/>
                  <w:sz w:val="20"/>
                  <w:u w:val="single"/>
                </w:rPr>
                <w:t>Voting and Support Agreement, dated as of August 9, 2026, by and among Cherry Hill Mortgage Investment Corporation and AG MIT, LLC (attached as Annex C to the joint proxy statement/prospectus that forms a part of this registration statement).</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433" name="Frame4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6"/>
        <w:gridCol w:w="198"/>
        <w:gridCol w:w="200"/>
        <w:gridCol w:w="109"/>
        <w:gridCol w:w="109"/>
        <w:gridCol w:w="109"/>
        <w:gridCol w:w="2773"/>
        <w:gridCol w:w="2680"/>
        <w:gridCol w:w="380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58">
              <w:r>
                <w:rPr>
                  <w:rStyle w:val="InternetLink"/>
                  <w:rFonts w:ascii="Times New Roman;serif" w:hAnsi="Times New Roman;serif"/>
                  <w:b w:val="false"/>
                  <w:color w:val="0035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658">
              <w:r>
                <w:rPr>
                  <w:rStyle w:val="InternetLink"/>
                  <w:rFonts w:ascii="Times New Roman;serif" w:hAnsi="Times New Roman;serif"/>
                  <w:b w:val="false"/>
                  <w:color w:val="0035FF"/>
                  <w:sz w:val="20"/>
                  <w:u w:val="single"/>
                </w:rPr>
                <w:t>Fifth Amendment to Management Agreement, dated as of August 9, 2026, by and between TPG Mortgage Investment Trust, Inc. and AG REIT Management, LLC (attached as Annex B to the joint proxy statement/prospectus that forms a part of this registration statement).</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35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7">
              <w:r>
                <w:rPr>
                  <w:rStyle w:val="InternetLink"/>
                  <w:rFonts w:ascii="Times New Roman;serif" w:hAnsi="Times New Roman;serif"/>
                  <w:b w:val="false"/>
                  <w:color w:val="0035FF"/>
                  <w:sz w:val="20"/>
                  <w:u w:val="single"/>
                </w:rPr>
                <w:t>TPG Mortgage Investment Trust, Inc. Amended and Restated Insider Trading Policy, incorporated by reference to Exhibit 19.1 of the Registrant's Annual Report on Form 10-K for the year ended December 31, 2025.</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35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Times New Roman;serif" w:hAnsi="Times New Roman;serif"/>
                  <w:b w:val="false"/>
                  <w:color w:val="0035FF"/>
                  <w:sz w:val="20"/>
                  <w:u w:val="single"/>
                </w:rPr>
                <w:t>Subsidiaries of the Registrant, incorporated by reference to Exhibit 21.1 of the Registrant's Annual Report on Form 10-K for the year ended December 31, 2025.</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deloit.htm">
              <w:r>
                <w:rPr>
                  <w:rStyle w:val="InternetLink"/>
                  <w:rFonts w:ascii="Times New Roman;serif" w:hAnsi="Times New Roman;serif"/>
                  <w:b w:val="false"/>
                  <w:color w:val="0035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consentofdeloit.htm">
              <w:r>
                <w:rPr>
                  <w:rStyle w:val="InternetLink"/>
                  <w:rFonts w:ascii="Times New Roman;serif" w:hAnsi="Times New Roman;serif"/>
                  <w:b w:val="false"/>
                  <w:color w:val="0035FF"/>
                  <w:sz w:val="20"/>
                  <w:u w:val="single"/>
                </w:rPr>
                <w:t>Consent of Deloitte &amp; Touche LLP (in respect of TPG Mortgage Investment Trust, Inc.).</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eyconsent102026.htm">
              <w:r>
                <w:rPr>
                  <w:rStyle w:val="InternetLink"/>
                  <w:rFonts w:ascii="Times New Roman;serif" w:hAnsi="Times New Roman;serif"/>
                  <w:b w:val="false"/>
                  <w:color w:val="0035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2-eyconsent102026.htm">
              <w:r>
                <w:rPr>
                  <w:rStyle w:val="InternetLink"/>
                  <w:rFonts w:ascii="Times New Roman;serif" w:hAnsi="Times New Roman;serif"/>
                  <w:b w:val="false"/>
                  <w:color w:val="0035FF"/>
                  <w:sz w:val="20"/>
                  <w:u w:val="single"/>
                </w:rPr>
                <w:t>Consent of Ernst &amp; Young LLP (in respect of Cherry Hill Mortgage Investment Corporation).</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Venable LLP (included in Exhibit 5.1).</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Hunton Andrews Kurth LLP (included in Exhibits 8.1 and 8.2).</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Mayer Brown LLP (included in Exhibits 8.3 and 8.4).</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3236674744b24bbd77f8ede5bb2eb_694">
              <w:r>
                <w:rPr>
                  <w:rStyle w:val="InternetLink"/>
                  <w:rFonts w:ascii="Times New Roman;serif" w:hAnsi="Times New Roman;serif"/>
                  <w:b w:val="false"/>
                  <w:color w:val="0035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3236674744b24bbd77f8ede5bb2eb_694">
              <w:r>
                <w:rPr>
                  <w:rStyle w:val="InternetLink"/>
                  <w:rFonts w:ascii="Times New Roman;serif" w:hAnsi="Times New Roman;serif"/>
                  <w:b w:val="false"/>
                  <w:color w:val="0035FF"/>
                  <w:sz w:val="20"/>
                  <w:u w:val="single"/>
                </w:rPr>
                <w:t>Power of Attorney (included on the signature page of the registration statement on Form S-4 (File No. 333-298954) filed with the Securities and Exchange Commission on September 15, 2026).</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ipersandlercon.htm">
              <w:r>
                <w:rPr>
                  <w:rStyle w:val="InternetLink"/>
                  <w:rFonts w:ascii="Times New Roman;serif" w:hAnsi="Times New Roman;serif"/>
                  <w:b w:val="false"/>
                  <w:color w:val="0035FF"/>
                  <w:sz w:val="20"/>
                  <w:u w:val="single"/>
                </w:rPr>
                <w:t>99.1*</w:t>
              </w:r>
            </w:hyperlink>
            <w:r>
              <w:rPr>
                <w:rFonts w:ascii="Times New Roman;serif" w:hAnsi="Times New Roman;serif"/>
                <w:b w:val="false"/>
                <w:color w:val="0035F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ipersandlercon.htm">
              <w:r>
                <w:rPr>
                  <w:rStyle w:val="InternetLink"/>
                  <w:rFonts w:ascii="Times New Roman;serif" w:hAnsi="Times New Roman;serif"/>
                  <w:b w:val="false"/>
                  <w:color w:val="0035FF"/>
                  <w:sz w:val="20"/>
                  <w:u w:val="single"/>
                </w:rPr>
                <w:t>Consent of Piper Sandler &amp; Co.</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consentofbtigll.htm">
              <w:r>
                <w:rPr>
                  <w:rStyle w:val="InternetLink"/>
                  <w:rFonts w:ascii="Times New Roman;serif" w:hAnsi="Times New Roman;serif"/>
                  <w:b w:val="false"/>
                  <w:color w:val="0035FF"/>
                  <w:sz w:val="20"/>
                  <w:u w:val="single"/>
                </w:rPr>
                <w:t>99.2*</w:t>
              </w:r>
            </w:hyperlink>
            <w:r>
              <w:rPr>
                <w:rFonts w:ascii="Times New Roman;serif" w:hAnsi="Times New Roman;serif"/>
                <w:b w:val="false"/>
                <w:color w:val="0035F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consentofbtigll.htm">
              <w:r>
                <w:rPr>
                  <w:rStyle w:val="InternetLink"/>
                  <w:rFonts w:ascii="Times New Roman;serif" w:hAnsi="Times New Roman;serif"/>
                  <w:b w:val="false"/>
                  <w:color w:val="0035FF"/>
                  <w:sz w:val="20"/>
                  <w:u w:val="single"/>
                </w:rPr>
                <w:t>Consent of BTIG, LLC.</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mittproxycard10.htm">
              <w:r>
                <w:rPr>
                  <w:rStyle w:val="InternetLink"/>
                  <w:rFonts w:ascii="Times New Roman;serif" w:hAnsi="Times New Roman;serif"/>
                  <w:b w:val="false"/>
                  <w:color w:val="0035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mittproxycard10.htm">
              <w:r>
                <w:rPr>
                  <w:rStyle w:val="InternetLink"/>
                  <w:rFonts w:ascii="Times New Roman;serif" w:hAnsi="Times New Roman;serif"/>
                  <w:b w:val="false"/>
                  <w:color w:val="0035FF"/>
                  <w:sz w:val="20"/>
                  <w:u w:val="single"/>
                </w:rPr>
                <w:t>Form of Proxy solicited by the Board of Directors of TPG Mortgage Investment Trust, Inc.</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4-chmiformofproxy.htm">
              <w:r>
                <w:rPr>
                  <w:rStyle w:val="InternetLink"/>
                  <w:rFonts w:ascii="Times New Roman;serif" w:hAnsi="Times New Roman;serif"/>
                  <w:b w:val="false"/>
                  <w:color w:val="0035FF"/>
                  <w:sz w:val="20"/>
                  <w:u w:val="single"/>
                </w:rPr>
                <w:t>99.4**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4-chmiformofproxy.htm">
              <w:r>
                <w:rPr>
                  <w:rStyle w:val="InternetLink"/>
                  <w:rFonts w:ascii="Times New Roman;serif" w:hAnsi="Times New Roman;serif"/>
                  <w:b w:val="false"/>
                  <w:color w:val="0035FF"/>
                  <w:sz w:val="20"/>
                  <w:u w:val="single"/>
                </w:rPr>
                <w:t>Form of Proxy solicited by the Board of Directors of Cherry Hill Mortgage Investment Corporation.</w:t>
              </w:r>
            </w:hyperlink>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35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Times New Roman;serif" w:hAnsi="Times New Roman;serif"/>
                  <w:b w:val="false"/>
                  <w:color w:val="0035FF"/>
                  <w:sz w:val="20"/>
                  <w:u w:val="single"/>
                </w:rPr>
                <w:t>Filing Fee Table.</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601(a)(5) of Regulation S-K. A copy of any omitted schedule will be furnished supplementally to the SEC upon request by the SEC.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434" name="Frame4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New York, State of New York, on October 2, 2026.</w:t>
      </w:r>
    </w:p>
    <w:p>
      <w:pPr>
        <w:pStyle w:val="TextBody"/>
        <w:bidi w:val="0"/>
        <w:spacing w:before="0" w:after="0"/>
        <w:jc w:val="left"/>
        <w:rPr/>
      </w:pPr>
      <w:r>
        <w:rPr/>
      </w:r>
    </w:p>
    <w:tbl>
      <w:tblPr>
        <w:tblW w:w="53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25"/>
        <w:gridCol w:w="325"/>
        <w:gridCol w:w="325"/>
        <w:gridCol w:w="397"/>
        <w:gridCol w:w="397"/>
        <w:gridCol w:w="397"/>
        <w:gridCol w:w="397"/>
        <w:gridCol w:w="397"/>
        <w:gridCol w:w="397"/>
        <w:gridCol w:w="397"/>
        <w:gridCol w:w="397"/>
        <w:gridCol w:w="5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J. Durkin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Executive Officer and President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435"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266"/>
        <w:gridCol w:w="233"/>
        <w:gridCol w:w="233"/>
        <w:gridCol w:w="233"/>
        <w:gridCol w:w="233"/>
        <w:gridCol w:w="233"/>
        <w:gridCol w:w="233"/>
        <w:gridCol w:w="233"/>
        <w:gridCol w:w="246"/>
        <w:gridCol w:w="109"/>
        <w:gridCol w:w="109"/>
        <w:gridCol w:w="109"/>
        <w:gridCol w:w="109"/>
        <w:gridCol w:w="109"/>
        <w:gridCol w:w="109"/>
        <w:gridCol w:w="109"/>
        <w:gridCol w:w="109"/>
        <w:gridCol w:w="109"/>
        <w:gridCol w:w="422"/>
        <w:gridCol w:w="422"/>
        <w:gridCol w:w="422"/>
        <w:gridCol w:w="422"/>
        <w:gridCol w:w="422"/>
        <w:gridCol w:w="422"/>
        <w:gridCol w:w="422"/>
        <w:gridCol w:w="422"/>
        <w:gridCol w:w="422"/>
        <w:gridCol w:w="422"/>
        <w:gridCol w:w="422"/>
        <w:gridCol w:w="422"/>
        <w:gridCol w:w="109"/>
        <w:gridCol w:w="109"/>
        <w:gridCol w:w="109"/>
        <w:gridCol w:w="109"/>
        <w:gridCol w:w="109"/>
        <w:gridCol w:w="109"/>
        <w:gridCol w:w="109"/>
        <w:gridCol w:w="109"/>
        <w:gridCol w:w="109"/>
        <w:gridCol w:w="109"/>
        <w:gridCol w:w="109"/>
        <w:gridCol w:w="109"/>
        <w:gridCol w:w="109"/>
        <w:gridCol w:w="109"/>
        <w:gridCol w:w="109"/>
        <w:gridCol w:w="109"/>
        <w:gridCol w:w="109"/>
        <w:gridCol w:w="164"/>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4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President </w:t>
            </w:r>
          </w:p>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Rossiello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Rossiello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Smith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Investment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Smith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 of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Hess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Dianne Hurley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Jozoff</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r>
      <w:tr>
        <w:trPr/>
        <w:tc>
          <w:tcPr>
            <w:tcW w:w="21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 Christian Mitchell</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15"/>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u w:val="single"/>
        </w:rPr>
        <w:t xml:space="preserve">/s/ Anthony W. Rossiello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Anthony W. Rossiello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 Attorney-in-Fact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436"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8947" w:type="dxa"/>
        <w:jc w:val="right"/>
        <w:tblInd w:w="0" w:type="dxa"/>
        <w:tblLayout w:type="fixed"/>
        <w:tblCellMar>
          <w:top w:w="28" w:type="dxa"/>
          <w:left w:w="28" w:type="dxa"/>
          <w:bottom w:w="28" w:type="dxa"/>
          <w:right w:w="28" w:type="dxa"/>
        </w:tblCellMar>
      </w:tblPr>
      <w:tblGrid>
        <w:gridCol w:w="1238"/>
        <w:gridCol w:w="1088"/>
        <w:gridCol w:w="1090"/>
        <w:gridCol w:w="109"/>
        <w:gridCol w:w="109"/>
        <w:gridCol w:w="109"/>
        <w:gridCol w:w="1524"/>
        <w:gridCol w:w="1524"/>
        <w:gridCol w:w="2156"/>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00"/>
              <w:jc w:val="left"/>
              <w:rPr/>
            </w:pPr>
            <w:r>
              <w:rPr/>
              <w:drawing>
                <wp:inline distT="0" distB="0" distL="0" distR="0">
                  <wp:extent cx="2105025" cy="457200"/>
                  <wp:effectExtent l="0" t="0" r="0" b="0"/>
                  <wp:docPr id="4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7" descr=""/>
                          <pic:cNvPicPr>
                            <a:picLocks noChangeAspect="1" noChangeArrowheads="1"/>
                          </pic:cNvPicPr>
                        </pic:nvPicPr>
                        <pic:blipFill>
                          <a:blip r:embed="rId82"/>
                          <a:stretch>
                            <a:fillRect/>
                          </a:stretch>
                        </pic:blipFill>
                        <pic:spPr bwMode="auto">
                          <a:xfrm>
                            <a:off x="0" y="0"/>
                            <a:ext cx="2105025" cy="457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80"/>
              <w:jc w:val="right"/>
              <w:rPr>
                <w:rFonts w:ascii="Times New Roman;serif" w:hAnsi="Times New Roman;serif"/>
                <w:b w:val="false"/>
                <w:color w:val="000000"/>
                <w:sz w:val="20"/>
              </w:rPr>
            </w:pPr>
            <w:r>
              <w:rPr>
                <w:rFonts w:ascii="Times New Roman;serif" w:hAnsi="Times New Roman;serif"/>
                <w:b w:val="false"/>
                <w:color w:val="000000"/>
                <w:sz w:val="20"/>
              </w:rPr>
              <w:t>750 E. PRATT STREET SUITE 900 BALTIMORE, MD 21202</w:t>
            </w:r>
          </w:p>
          <w:p>
            <w:pPr>
              <w:pStyle w:val="TableContents"/>
              <w:bidi w:val="0"/>
              <w:spacing w:lineRule="auto" w:line="240" w:before="0" w:after="80"/>
              <w:jc w:val="right"/>
              <w:rPr/>
            </w:pPr>
            <w:r>
              <w:rPr>
                <w:rFonts w:ascii="Times New Roman;serif" w:hAnsi="Times New Roman;serif"/>
                <w:b/>
                <w:color w:val="000000"/>
                <w:sz w:val="20"/>
              </w:rPr>
              <w:t>T</w:t>
            </w:r>
            <w:r>
              <w:rPr>
                <w:color w:val="000000"/>
              </w:rPr>
              <w:t xml:space="preserve"> </w:t>
            </w:r>
            <w:r>
              <w:rPr>
                <w:rFonts w:ascii="Times New Roman;serif" w:hAnsi="Times New Roman;serif"/>
                <w:b w:val="false"/>
                <w:color w:val="000000"/>
                <w:sz w:val="20"/>
              </w:rPr>
              <w:t xml:space="preserve">410.244.7400 </w:t>
            </w:r>
            <w:r>
              <w:rPr>
                <w:rFonts w:ascii="Times New Roman;serif" w:hAnsi="Times New Roman;serif"/>
                <w:b/>
                <w:color w:val="000000"/>
                <w:sz w:val="20"/>
              </w:rPr>
              <w:t>F</w:t>
            </w:r>
            <w:r>
              <w:rPr>
                <w:color w:val="000000"/>
              </w:rPr>
              <w:t xml:space="preserve"> </w:t>
            </w:r>
            <w:r>
              <w:rPr>
                <w:rFonts w:ascii="Times New Roman;serif" w:hAnsi="Times New Roman;serif"/>
                <w:b w:val="false"/>
                <w:color w:val="000000"/>
                <w:sz w:val="20"/>
              </w:rPr>
              <w:t>410.244.7742 www.Venable.com</w:t>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w:t>
      </w:r>
    </w:p>
    <w:p>
      <w:pPr>
        <w:pStyle w:val="TextBody"/>
        <w:bidi w:val="0"/>
        <w:spacing w:before="0" w:after="0"/>
        <w:jc w:val="center"/>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pPr>
      <w:r>
        <w:rPr>
          <w:rFonts w:ascii="Times New Roman;serif" w:hAnsi="Times New Roman;serif"/>
          <w:b w:val="false"/>
          <w:color w:val="000000"/>
          <w:sz w:val="24"/>
        </w:rPr>
        <w:t>245 Park Avenue, 26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10167</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S-4 (File No. 333-298954)</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We have served as Maryland counsel to TPG Mortgage Investment Trust, Inc., a Maryland corporation (the “Company”), in connection with certain matters of Maryland law arising out of the registration of the offering and issuance of (i) shares (the “Common Shares”) of common stock, $0.01 par value per share (the “Common Stock”), of the Company (the “Common Stock Issuance”), (ii) 2,781,635 shares (the “Series D Preferred Shares”) of 8.20% Series D Cumulative Redeemable Preferred Stock, $0.01 par value per share (the “Series D Preferred Stock”), of the Company, and (iii) 1,604,103 shares (the “Series E Preferred Shares” and, together with the Common Shares and the Series D Preferred Shares, the “Shares”) of 8.250% Floating Rate Series E Cumulative Redeemable Preferred Stock, $0.01 par value per share (the “Series E Preferred Stock”), of the Company in connection with the merger (the “Merger”) of Cherry Hill Mortgage Investment Corporation, a Maryland corporation (“CHMI”), with and into MIT Merger Sub II, LLC, a Delaware limited liability company and wholly-owned subsidiary of the Company (“Merger Sub”), pursuant to the Agreement and Plan of Merger, dated as of August 9, 2026 (the “Merger Agreement”), by and among the Company, Merger Sub, CHMI, Cherry Hill Operating Partnership, LP, a Delaware limited partnership, and, for the limited purposes set forth in the Merger Agreement, AG REIT Management, LLC, a Delaware limited liability company. The Shares are covered by the above-referenced Registration Statement, and all amendments thereto (the “Registration Statement”), filed by the Company with the United States Securities and Exchange Commission (the “Commission”) under the Securities Act of 1933, as amended (the “1933 Act”).</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In connection with our representation of the Company, and as a basis for the opinion hereinafter set forth, we have examined originals, or copies certified or otherwise identified to our satisfaction, of the following documents (herein collectively referred to as the “Documents”):</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1.    The Registration Statement and the related form of joint proxy statement/prospectus included therein (the “Proxy Statement/Prospectus”) in the form in which it was transmitted to the Commission under the 1933 Act;</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438"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09775" cy="428625"/>
            <wp:effectExtent l="0" t="0" r="0" b="0"/>
            <wp:docPr id="4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8" descr=""/>
                    <pic:cNvPicPr>
                      <a:picLocks noChangeAspect="1" noChangeArrowheads="1"/>
                    </pic:cNvPicPr>
                  </pic:nvPicPr>
                  <pic:blipFill>
                    <a:blip r:embed="rId83"/>
                    <a:stretch>
                      <a:fillRect/>
                    </a:stretch>
                  </pic:blipFill>
                  <pic:spPr bwMode="auto">
                    <a:xfrm>
                      <a:off x="0" y="0"/>
                      <a:ext cx="2009775" cy="428625"/>
                    </a:xfrm>
                    <a:prstGeom prst="rect">
                      <a:avLst/>
                    </a:prstGeom>
                  </pic:spPr>
                </pic:pic>
              </a:graphicData>
            </a:graphic>
          </wp:inline>
        </w:drawing>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2.    The charter of the Company (the “Charter”), certified by the State Department of Assessments and Taxation of Maryland (the “SDAT”);</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3.    The Amended and Restated Bylaws of the Company, certified as of the date hereof by an officer of the Company;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4.    A certificate of the SDAT as to the good standing of the Company, dated as of a recent date;</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5.    Resolutions adopted by the Board of Directors (the “Board”) of the Company relating to, among other matters, the approval of the Merger Agreement and the Merger and the issuance of the Shares (the “Resolutions”), certified as of the date hereof by an officer of the Company;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6.    The Merger Agreement;</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7.    The form of Articles Supplementary classifying the Series D Preferred Stock, attached as an annex to the Merger Agreement that is attached as an annex to the Registration Statement (the “Series D Articles Supplementary”);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8.    The form of Articles Supplementary classifying the Series E Preferred Stock, attached as an annex to the Merger Agreement that is attached as an annex to the Registration Statement (the “Series E Articles Supplementary”);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9.    A certificate executed by an officer of the Company, dated as of the date hereof; and</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10.    Such other documents and matters as we have deemed necessary or appropriate to express the opinion set forth below, subject to the assumptions, limitations and qualifications stated herein.</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In expressing the opinion set forth below, we have assumed the following:</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1.    Each individual executing any of the Documents, whether on behalf of such individual or another person, is legally competent to do so.</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2.    Each individual executing any of the Documents on behalf of a party (other than the Company) is duly authorized to do so.</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440"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09775" cy="428625"/>
            <wp:effectExtent l="0" t="0" r="0" b="0"/>
            <wp:docPr id="4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9" descr=""/>
                    <pic:cNvPicPr>
                      <a:picLocks noChangeAspect="1" noChangeArrowheads="1"/>
                    </pic:cNvPicPr>
                  </pic:nvPicPr>
                  <pic:blipFill>
                    <a:blip r:embed="rId84"/>
                    <a:stretch>
                      <a:fillRect/>
                    </a:stretch>
                  </pic:blipFill>
                  <pic:spPr bwMode="auto">
                    <a:xfrm>
                      <a:off x="0" y="0"/>
                      <a:ext cx="2009775" cy="428625"/>
                    </a:xfrm>
                    <a:prstGeom prst="rect">
                      <a:avLst/>
                    </a:prstGeom>
                  </pic:spPr>
                </pic:pic>
              </a:graphicData>
            </a:graphic>
          </wp:inline>
        </w:drawing>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5.    Prior to issuance of any Shares, (i) the Common Stock Issuance will have been approved by the stockholders of the Company as contemplated by the Merger Agreement and (ii) the Series D Articles Supplementary and the Series E Articles Supplementary will have been accepted for record by the SDAT.</w:t>
      </w:r>
    </w:p>
    <w:p>
      <w:pPr>
        <w:pStyle w:val="TextBody"/>
        <w:bidi w:val="0"/>
        <w:spacing w:lineRule="auto" w:line="288" w:before="0" w:after="18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6.    The Common Shares will not be issued or transferred in violation of any restriction or limitation contained in Article VII of the Charter.</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7.    The Series D Preferred Shares will not be issued or transferred in violation of any restriction or limitation contained in Article VII of the Charter or the Series D Articles Supplementary.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8.    The Series E Preferred Shares will not be issued or transferred in violation of any restriction or limitation contained in Article VII of the Charter or the Series E Articles Supplementary.</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9.    Upon the issuance of any of the Common Shares, the total number of shares of Common Stock issued and outstanding will not exceed the total number of shares of Common Stock that the Company is then authorized to issue under the Charter.</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 xml:space="preserve">10.    Upon the issuance of any of the Series D Preferred Shares, the total number of shares of Series D Preferred Stock issued and outstanding will not exceed the total number of shares of Series D Preferred Stock that the Company is then authorized to issue under the Charter. </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 xml:space="preserve">11.    Upon the issuance of any of the Series E Preferred Shares, the total number of shares of Series E Preferred Stock issued and outstanding will not exceed the total number of shares of Series E Preferred Stock that the Company is then authorized to issue under the Charter. </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442" name="Frame4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09775" cy="428625"/>
            <wp:effectExtent l="0" t="0" r="0" b="0"/>
            <wp:docPr id="4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10" descr=""/>
                    <pic:cNvPicPr>
                      <a:picLocks noChangeAspect="1" noChangeArrowheads="1"/>
                    </pic:cNvPicPr>
                  </pic:nvPicPr>
                  <pic:blipFill>
                    <a:blip r:embed="rId85"/>
                    <a:stretch>
                      <a:fillRect/>
                    </a:stretch>
                  </pic:blipFill>
                  <pic:spPr bwMode="auto">
                    <a:xfrm>
                      <a:off x="0" y="0"/>
                      <a:ext cx="2009775" cy="428625"/>
                    </a:xfrm>
                    <a:prstGeom prst="rect">
                      <a:avLst/>
                    </a:prstGeom>
                  </pic:spPr>
                </pic:pic>
              </a:graphicData>
            </a:graphic>
          </wp:inline>
        </w:drawing>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______________________________________________________________________________</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before="0" w:after="0"/>
        <w:jc w:val="left"/>
        <w:rPr/>
      </w:pPr>
      <w:r>
        <w:rPr/>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Based upon the foregoing, and subject to the assumptions, limitations and qualifications stated herein, it is our opinion that:</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1.    The Company is a corporation duly incorporated and existing under and by virtue of the laws of the State of Maryland and is in good standing with the SDAT.</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2.    The issuance of the Shares has been duly authorized and, when and if issued in connection with the Merger in accordance with the Resolutions and the Merger Agreement, the Shares will be validly issued, fully paid and nonassessable.</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The foregoing opinion is limited to the laws of the State of Maryland and we do not express any opinion herein concerning federal law or any other state law. We express no opinion as to compliance with any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w:t>
      </w:r>
    </w:p>
    <w:p>
      <w:pPr>
        <w:pStyle w:val="TextBody"/>
        <w:bidi w:val="0"/>
        <w:spacing w:lineRule="auto" w:line="288" w:before="0" w:after="180"/>
        <w:ind w:left="0" w:right="0" w:firstLine="720"/>
        <w:jc w:val="left"/>
        <w:rPr>
          <w:color w:val="000000"/>
        </w:rPr>
      </w:pPr>
      <w:r>
        <w:rPr>
          <w:color w:val="000000"/>
        </w:rPr>
        <w:t>    </w:t>
      </w:r>
      <w:r>
        <w:rPr>
          <w:rFonts w:ascii="Times New Roman;serif" w:hAnsi="Times New Roman;serif"/>
          <w:b w:val="false"/>
          <w:color w:val="000000"/>
          <w:sz w:val="24"/>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pStyle w:val="TextBody"/>
        <w:bidi w:val="0"/>
        <w:spacing w:lineRule="auto" w:line="288" w:before="0" w:after="18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Very truly yours,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Venable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444" name="Frame4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8.1</w:t>
      </w:r>
    </w:p>
    <w:tbl>
      <w:tblPr>
        <w:tblW w:w="4466" w:type="dxa"/>
        <w:jc w:val="left"/>
        <w:tblInd w:w="0" w:type="dxa"/>
        <w:tblLayout w:type="fixed"/>
        <w:tblCellMar>
          <w:top w:w="28" w:type="dxa"/>
          <w:left w:w="28" w:type="dxa"/>
          <w:bottom w:w="28" w:type="dxa"/>
          <w:right w:w="28" w:type="dxa"/>
        </w:tblCellMar>
      </w:tblPr>
      <w:tblGrid>
        <w:gridCol w:w="721"/>
        <w:gridCol w:w="634"/>
        <w:gridCol w:w="636"/>
        <w:gridCol w:w="724"/>
        <w:gridCol w:w="724"/>
        <w:gridCol w:w="1027"/>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00150" cy="266700"/>
                  <wp:effectExtent l="0" t="0" r="0" b="0"/>
                  <wp:docPr id="4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1" descr=""/>
                          <pic:cNvPicPr>
                            <a:picLocks noChangeAspect="1" noChangeArrowheads="1"/>
                          </pic:cNvPicPr>
                        </pic:nvPicPr>
                        <pic:blipFill>
                          <a:blip r:embed="rId86"/>
                          <a:stretch>
                            <a:fillRect/>
                          </a:stretch>
                        </pic:blipFill>
                        <pic:spPr bwMode="auto">
                          <a:xfrm>
                            <a:off x="0" y="0"/>
                            <a:ext cx="1200150" cy="266700"/>
                          </a:xfrm>
                          <a:prstGeom prst="rect">
                            <a:avLst/>
                          </a:prstGeom>
                        </pic:spPr>
                      </pic:pic>
                    </a:graphicData>
                  </a:graphic>
                </wp:inline>
              </w:drawing>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HUNTON ANDREWS KURTH LLP</w:t>
            </w:r>
          </w:p>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FILE NO: 79612.58</w:t>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247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pPr>
      <w:r>
        <w:rPr>
          <w:rFonts w:ascii="Times New Roman;serif" w:hAnsi="Times New Roman;serif"/>
          <w:b w:val="false"/>
          <w:color w:val="000000"/>
          <w:sz w:val="24"/>
        </w:rPr>
        <w:t>245 Park Avenue, 26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10167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TPG Mortgage Investment Trust, Inc.</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Qualification as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Real Estate Investment Trust</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left"/>
        <w:rPr/>
      </w:pPr>
      <w:r>
        <w:rPr>
          <w:rFonts w:ascii="Times New Roman;serif" w:hAnsi="Times New Roman;serif"/>
          <w:b w:val="false"/>
          <w:color w:val="000000"/>
          <w:sz w:val="24"/>
        </w:rPr>
        <w:t>We have acted as tax counsel to TPG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Agreement and Plan of Merger, dated as of August 9, 2026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by and among the Company, MIT Merger Sub II, LLC, a Delaware limited liability company and direct wholly owned subsidiary of the Company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w:t>
      </w:r>
      <w:r>
        <w:rPr>
          <w:rFonts w:ascii="Times New Roman;serif" w:hAnsi="Times New Roman;serif"/>
          <w:b w:val="false"/>
          <w:color w:val="000000"/>
          <w:sz w:val="24"/>
          <w:u w:val="single"/>
        </w:rPr>
        <w:t>CHMI</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Operating Partnership</w:t>
      </w:r>
      <w:r>
        <w:rPr>
          <w:color w:val="000000"/>
        </w:rPr>
        <w:t>”</w:t>
      </w:r>
      <w:r>
        <w:rPr>
          <w:rFonts w:ascii="Times New Roman;serif" w:hAnsi="Times New Roman;serif"/>
          <w:b w:val="false"/>
          <w:color w:val="000000"/>
          <w:sz w:val="24"/>
        </w:rPr>
        <w:t>), and, solely for the limited purposes set forth in the Merger Agreement,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as described in the registration statement on Form S-4 filed on the date hereof,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and containing the proxy statement/prospectus of the Company (as amended through the date hereof,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As contemplated in the Merger Agreement, the Operating Partnership will merge with and into CHMI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with CHMI surviving the merger, and then CHMI will merge with and into Merger Sub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 with Merger Sub surviving the merger as a wholly owned subsidiary of the Company. This opinion letter is being delivered to be filed as an exhibit to the Registration Statement. Capitalized terms used herein that are defined in the Merger Agreement shall have the meanings set forth in the Merger Agreement, unless otherwise defined herein.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giving this opinion letter, we have examined, and with your consent, relied upon, the following:</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1.the Company’s Articles of Amendment and Restatement;</w:t>
      </w:r>
    </w:p>
    <w:p>
      <w:pPr>
        <w:pStyle w:val="TextBody"/>
        <w:bidi w:val="0"/>
        <w:spacing w:before="520" w:after="283"/>
        <w:jc w:val="left"/>
        <w:rPr/>
      </w:pPr>
      <w:r>
        <w:rPr/>
        <w:drawing>
          <wp:inline distT="0" distB="0" distL="0" distR="0">
            <wp:extent cx="1162050" cy="314325"/>
            <wp:effectExtent l="0" t="0" r="0" b="0"/>
            <wp:docPr id="4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2" descr=""/>
                    <pic:cNvPicPr>
                      <a:picLocks noChangeAspect="1" noChangeArrowheads="1"/>
                    </pic:cNvPicPr>
                  </pic:nvPicPr>
                  <pic:blipFill>
                    <a:blip r:embed="rId87"/>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419100"/>
                <wp:effectExtent l="0" t="0" r="0" b="0"/>
                <wp:wrapNone/>
                <wp:docPr id="447" name="Frame435"/>
                <a:graphic xmlns:a="http://schemas.openxmlformats.org/drawingml/2006/main">
                  <a:graphicData uri="http://schemas.microsoft.com/office/word/2010/wordprocessingShape">
                    <wps:wsp>
                      <wps:cNvSpPr txBox="1"/>
                      <wps:spPr>
                        <a:xfrm>
                          <a:off x="0" y="0"/>
                          <a:ext cx="6480175" cy="419100"/>
                        </a:xfrm>
                        <a:prstGeom prst="rect"/>
                        <a:solidFill>
                          <a:srgbClr val="FFFFFF"/>
                        </a:solidFill>
                      </wps:spPr>
                      <wps:txbx>
                        <w:txbxContent>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ATLANTA AUSTIN BANGKOK BEIJING BOSTON BRUSSELS CHARLOTTE DALLAS DUBAI HOUSTON</w:t>
                            </w:r>
                            <w:r>
                              <w:br w:type="page"/>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LONDON LOS ANGELES MIAMI NEW YORK RICHMOND SAN FRANCISCO TOKYO TYSONS WASHINGTON, DC</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www.Hunton.com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ATLANTA AUSTIN BANGKOK BEIJING BOSTON BRUSSELS CHARLOTTE DALLAS DUBAI HOUSTON</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LONDON LOS ANGELES MIAMI NEW YORK RICHMOND SAN FRANCISCO TOKYO TYSONS WASHINGTON, DC</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www.Hunton.com</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2.the Amended and Restated Limited Liability Company Agreement of Mortgage Acquisition Trust I LLC, a Delaware limited liability company (“</w:t>
      </w:r>
      <w:r>
        <w:rPr>
          <w:rFonts w:ascii="Times New Roman;serif" w:hAnsi="Times New Roman;serif"/>
          <w:b w:val="false"/>
          <w:color w:val="000000"/>
          <w:sz w:val="24"/>
          <w:u w:val="single"/>
        </w:rPr>
        <w:t>MATT</w:t>
      </w:r>
      <w:r>
        <w:rPr>
          <w:color w:val="000000"/>
        </w:rPr>
        <w:t>”</w:t>
      </w:r>
      <w:r>
        <w:rPr>
          <w:rFonts w:ascii="Times New Roman;serif" w:hAnsi="Times New Roman;serif"/>
          <w:b w:val="false"/>
          <w:color w:val="000000"/>
          <w:sz w:val="24"/>
        </w:rPr>
        <w:t>), dated as of January 31, 2018, and the Amended and Restated Limited Liability Company Agreement of WMC Residential Mortgage Sub-REIT I LLC (“</w:t>
      </w:r>
      <w:r>
        <w:rPr>
          <w:rFonts w:ascii="Times New Roman;serif" w:hAnsi="Times New Roman;serif"/>
          <w:b w:val="false"/>
          <w:color w:val="000000"/>
          <w:sz w:val="24"/>
          <w:u w:val="single"/>
        </w:rPr>
        <w:t>WMC Sub REIT</w:t>
      </w:r>
      <w:r>
        <w:rPr>
          <w:color w:val="000000"/>
        </w:rPr>
        <w:t>”</w:t>
      </w:r>
      <w:r>
        <w:rPr>
          <w:rFonts w:ascii="Times New Roman;serif" w:hAnsi="Times New Roman;serif"/>
          <w:b w:val="false"/>
          <w:color w:val="000000"/>
          <w:sz w:val="24"/>
        </w:rPr>
        <w:t>), dated as of December 19, 2019, in each case as amended and supplemented through the date hereof;</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3.the Registration Statement;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4.the Merger Agreement; and</w:t>
      </w:r>
    </w:p>
    <w:p>
      <w:pPr>
        <w:pStyle w:val="TextBody"/>
        <w:bidi w:val="0"/>
        <w:spacing w:lineRule="auto" w:line="288" w:before="0" w:after="240"/>
        <w:ind w:left="0" w:right="0" w:hanging="720"/>
        <w:jc w:val="left"/>
        <w:rPr/>
      </w:pPr>
      <w:r>
        <w:rPr>
          <w:rFonts w:ascii="Times New Roman;serif" w:hAnsi="Times New Roman;serif"/>
          <w:b w:val="false"/>
          <w:color w:val="000000"/>
          <w:sz w:val="24"/>
        </w:rPr>
        <w:t>5.such other documents as we have deemed necessary or appropriate for purposes of this opinion (together with the documents described in items 1-4 above, the “</w:t>
      </w:r>
      <w:r>
        <w:rPr>
          <w:rFonts w:ascii="Times New Roman;serif" w:hAnsi="Times New Roman;serif"/>
          <w:b w:val="false"/>
          <w:color w:val="000000"/>
          <w:sz w:val="24"/>
          <w:u w:val="single"/>
        </w:rPr>
        <w:t>Reviewed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connection with the opinion rendered below, we have assumed, with your consent, that:</w:t>
      </w:r>
    </w:p>
    <w:p>
      <w:pPr>
        <w:pStyle w:val="TextBody"/>
        <w:bidi w:val="0"/>
        <w:spacing w:lineRule="auto" w:line="288" w:before="0" w:after="240"/>
        <w:jc w:val="left"/>
        <w:rPr/>
      </w:pPr>
      <w:r>
        <w:rPr>
          <w:rFonts w:ascii="Times New Roman;serif" w:hAnsi="Times New Roman;serif"/>
          <w:b w:val="false"/>
          <w:color w:val="000000"/>
          <w:sz w:val="24"/>
        </w:rPr>
        <w:t>1.</w:t>
      </w:r>
      <w:r>
        <w:rPr>
          <w:rFonts w:ascii="Times New Roman;serif" w:hAnsi="Times New Roman;serif"/>
          <w:b w:val="false"/>
          <w:color w:val="000000"/>
          <w:sz w:val="24"/>
        </w:rPr>
        <w:t>each of the documents referred to above</w:t>
      </w:r>
      <w:r>
        <w:rPr>
          <w:color w:val="000000"/>
        </w:rPr>
        <w:t xml:space="preserve"> </w:t>
      </w:r>
      <w:r>
        <w:rPr>
          <w:rFonts w:ascii="Times New Roman;serif" w:hAnsi="Times New Roman;serif"/>
          <w:b w:val="false"/>
          <w:color w:val="000000"/>
          <w:sz w:val="24"/>
        </w:rPr>
        <w:t>has genuine signatures, has been duly authorized, executed, and delivered; is authentic, if an original, or is accurate, if a copy; and has not been amended;</w:t>
      </w:r>
    </w:p>
    <w:p>
      <w:pPr>
        <w:pStyle w:val="TextBody"/>
        <w:bidi w:val="0"/>
        <w:spacing w:lineRule="auto" w:line="288" w:before="0" w:after="240"/>
        <w:jc w:val="left"/>
        <w:rPr/>
      </w:pPr>
      <w:r>
        <w:rPr>
          <w:rFonts w:ascii="Times New Roman;serif" w:hAnsi="Times New Roman;serif"/>
          <w:b w:val="false"/>
          <w:color w:val="000000"/>
          <w:sz w:val="24"/>
        </w:rPr>
        <w:t>2.</w:t>
      </w:r>
      <w:r>
        <w:rPr>
          <w:rFonts w:ascii="Times New Roman;serif" w:hAnsi="Times New Roman;serif"/>
          <w:b w:val="false"/>
          <w:color w:val="000000"/>
          <w:sz w:val="24"/>
        </w:rPr>
        <w:t>any documents as to which we have reviewed only a form were or will be duly executed without material changes from the form reviewed by us;</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rPr>
        <w:t>the Merger Agreement is valid and binding in accordance with its terms;</w:t>
      </w:r>
    </w:p>
    <w:p>
      <w:pPr>
        <w:pStyle w:val="TextBody"/>
        <w:bidi w:val="0"/>
        <w:spacing w:lineRule="auto" w:line="288" w:before="0" w:after="240"/>
        <w:jc w:val="left"/>
        <w:rPr/>
      </w:pPr>
      <w:r>
        <w:rPr>
          <w:rFonts w:ascii="Times New Roman;serif" w:hAnsi="Times New Roman;serif"/>
          <w:b w:val="false"/>
          <w:color w:val="000000"/>
          <w:sz w:val="24"/>
        </w:rPr>
        <w:t>4.</w:t>
      </w:r>
      <w:r>
        <w:rPr>
          <w:rFonts w:ascii="Times New Roman;serif" w:hAnsi="Times New Roman;serif"/>
          <w:b w:val="false"/>
          <w:color w:val="000000"/>
          <w:sz w:val="24"/>
        </w:rPr>
        <w:t>the Company Merger will be consummated in accordance with the Merger Agreement (including satisfaction of all pre-closing covenants and conditions to the obligations of the parties without amendment, waiver, or breach thereof);</w:t>
      </w:r>
    </w:p>
    <w:p>
      <w:pPr>
        <w:pStyle w:val="TextBody"/>
        <w:bidi w:val="0"/>
        <w:spacing w:lineRule="auto" w:line="288" w:before="0" w:after="240"/>
        <w:jc w:val="left"/>
        <w:rPr/>
      </w:pPr>
      <w:r>
        <w:rPr>
          <w:rFonts w:ascii="Times New Roman;serif" w:hAnsi="Times New Roman;serif"/>
          <w:b w:val="false"/>
          <w:color w:val="000000"/>
          <w:sz w:val="24"/>
        </w:rPr>
        <w:t>5.</w:t>
      </w:r>
      <w:r>
        <w:rPr>
          <w:rFonts w:ascii="Times New Roman;serif" w:hAnsi="Times New Roman;serif"/>
          <w:b w:val="false"/>
          <w:color w:val="000000"/>
          <w:sz w:val="24"/>
        </w:rPr>
        <w:t>the Company Merger will qualify as a “reorganization” within the meaning of Section 368(a)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6.</w:t>
      </w:r>
      <w:r>
        <w:rPr>
          <w:rFonts w:ascii="Times New Roman;serif" w:hAnsi="Times New Roman;serif"/>
          <w:b w:val="false"/>
          <w:color w:val="000000"/>
          <w:sz w:val="24"/>
        </w:rPr>
        <w:t>the Company will timely file a U.S. federal income tax return on Form 1120-REIT for CHMI for its taxable year that ends on the Company Merger Effective Time;</w:t>
      </w:r>
    </w:p>
    <w:p>
      <w:pPr>
        <w:pStyle w:val="TextBody"/>
        <w:bidi w:val="0"/>
        <w:spacing w:lineRule="auto" w:line="288" w:before="0" w:after="240"/>
        <w:jc w:val="left"/>
        <w:rPr/>
      </w:pPr>
      <w:r>
        <w:rPr>
          <w:rFonts w:ascii="Times New Roman;serif" w:hAnsi="Times New Roman;serif"/>
          <w:b w:val="false"/>
          <w:color w:val="000000"/>
          <w:sz w:val="24"/>
        </w:rPr>
        <w:t>7.</w:t>
      </w:r>
      <w:r>
        <w:rPr>
          <w:rFonts w:ascii="Times New Roman;serif" w:hAnsi="Times New Roman;serif"/>
          <w:b w:val="false"/>
          <w:color w:val="000000"/>
          <w:sz w:val="24"/>
        </w:rPr>
        <w:t>the Company will comply with the requirements of Code Section 857(f)(1) and Treasury Regulations Sections 1.857-8 and 1.857-9 (related to records to be maintained concerning stock ownership and information required to be requested from shareholders as specified in applicable Treasury Regulations) with respect to CHMI for its taxable year that ends on the Effective Time;</w:t>
      </w:r>
    </w:p>
    <w:p>
      <w:pPr>
        <w:pStyle w:val="TextBody"/>
        <w:bidi w:val="0"/>
        <w:spacing w:before="520" w:after="283"/>
        <w:jc w:val="left"/>
        <w:rPr/>
      </w:pPr>
      <w:r>
        <w:rPr/>
        <w:drawing>
          <wp:inline distT="0" distB="0" distL="0" distR="0">
            <wp:extent cx="1162050" cy="314325"/>
            <wp:effectExtent l="0" t="0" r="0" b="0"/>
            <wp:docPr id="4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3" descr=""/>
                    <pic:cNvPicPr>
                      <a:picLocks noChangeAspect="1" noChangeArrowheads="1"/>
                    </pic:cNvPicPr>
                  </pic:nvPicPr>
                  <pic:blipFill>
                    <a:blip r:embed="rId88"/>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449" name="Frame4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8.</w:t>
      </w:r>
      <w:r>
        <w:rPr>
          <w:rFonts w:ascii="Times New Roman;serif" w:hAnsi="Times New Roman;serif"/>
          <w:b w:val="false"/>
          <w:color w:val="000000"/>
          <w:sz w:val="24"/>
        </w:rPr>
        <w:t>from and after the date of this letter, the Company and CHMI will each utilize all appropriate “savings provisions” (including the provisions of Sections 856(c)(6), 856(c)(7), and 856(g) of the Code, and the provision included in Section 856(c)(4) of the Code (flush language) allowing for the disposal of assets within 30 days after the close of a calendar quarter, and all available deficiency dividend procedures) available to the Company and/or CHMI under the Code to correct any violations of the applicable real estate investment trust (“</w:t>
      </w:r>
      <w:r>
        <w:rPr>
          <w:rFonts w:ascii="Times New Roman;serif" w:hAnsi="Times New Roman;serif"/>
          <w:b w:val="false"/>
          <w:color w:val="000000"/>
          <w:sz w:val="24"/>
          <w:u w:val="single"/>
        </w:rPr>
        <w:t>REIT</w:t>
      </w:r>
      <w:r>
        <w:rPr>
          <w:color w:val="000000"/>
        </w:rPr>
        <w:t>”</w:t>
      </w:r>
      <w:r>
        <w:rPr>
          <w:rFonts w:ascii="Times New Roman;serif" w:hAnsi="Times New Roman;serif"/>
          <w:b w:val="false"/>
          <w:color w:val="000000"/>
          <w:sz w:val="24"/>
        </w:rPr>
        <w:t>) qualification requirements of Sections 856 and 857 to the fullest extent the remedies under such provisions are available;</w:t>
      </w:r>
    </w:p>
    <w:p>
      <w:pPr>
        <w:pStyle w:val="TextBody"/>
        <w:bidi w:val="0"/>
        <w:spacing w:lineRule="auto" w:line="288" w:before="0" w:after="240"/>
        <w:jc w:val="left"/>
        <w:rPr/>
      </w:pPr>
      <w:r>
        <w:rPr>
          <w:rFonts w:ascii="Times New Roman;serif" w:hAnsi="Times New Roman;serif"/>
          <w:b w:val="false"/>
          <w:color w:val="000000"/>
          <w:sz w:val="24"/>
        </w:rPr>
        <w:t>9.</w:t>
      </w:r>
      <w:r>
        <w:rPr>
          <w:rFonts w:ascii="Times New Roman;serif" w:hAnsi="Times New Roman;serif"/>
          <w:b w:val="false"/>
          <w:color w:val="000000"/>
          <w:sz w:val="24"/>
        </w:rPr>
        <w:t>during their taxable years ending December 31, 2026, and future taxable years, the Company, MATT, and WMC Sub REIT have operated and will operate in a manner that will make the representations contained in a certificate, dated the date hereof and executed by a duly appointed officer of the Company and a certificate, dated the date hereof and executed by a duly appointed officer of each of MATT and WMC Sub REIT (together, the “</w:t>
      </w:r>
      <w:r>
        <w:rPr>
          <w:rFonts w:ascii="Times New Roman;serif" w:hAnsi="Times New Roman;serif"/>
          <w:b w:val="false"/>
          <w:color w:val="000000"/>
          <w:sz w:val="24"/>
          <w:u w:val="single"/>
        </w:rPr>
        <w:t>MITT Officer’s Certificates</w:t>
      </w:r>
      <w:r>
        <w:rPr>
          <w:color w:val="000000"/>
        </w:rPr>
        <w:t>”</w:t>
      </w:r>
      <w:r>
        <w:rPr>
          <w:rFonts w:ascii="Times New Roman;serif" w:hAnsi="Times New Roman;serif"/>
          <w:b w:val="false"/>
          <w:color w:val="000000"/>
          <w:sz w:val="24"/>
        </w:rPr>
        <w:t>), true for such years without regard to any qualifications as to knowledge;</w:t>
      </w:r>
    </w:p>
    <w:p>
      <w:pPr>
        <w:pStyle w:val="TextBody"/>
        <w:bidi w:val="0"/>
        <w:spacing w:lineRule="auto" w:line="288" w:before="0" w:after="240"/>
        <w:jc w:val="left"/>
        <w:rPr/>
      </w:pPr>
      <w:r>
        <w:rPr>
          <w:rFonts w:ascii="Times New Roman;serif" w:hAnsi="Times New Roman;serif"/>
          <w:b w:val="false"/>
          <w:color w:val="000000"/>
          <w:sz w:val="24"/>
        </w:rPr>
        <w:t>10.</w:t>
      </w:r>
      <w:r>
        <w:rPr>
          <w:rFonts w:ascii="Times New Roman;serif" w:hAnsi="Times New Roman;serif"/>
          <w:b w:val="false"/>
          <w:color w:val="000000"/>
          <w:sz w:val="24"/>
        </w:rPr>
        <w:t>during CHMI’s taxable year ending on the Company Merger Effective Time and during the taxable years of CHMI Sub‐REIT, Inc. (“</w:t>
      </w:r>
      <w:r>
        <w:rPr>
          <w:rFonts w:ascii="Times New Roman;serif" w:hAnsi="Times New Roman;serif"/>
          <w:b w:val="false"/>
          <w:color w:val="000000"/>
          <w:sz w:val="24"/>
          <w:u w:val="single"/>
        </w:rPr>
        <w:t>CHMI Sub-REIT</w:t>
      </w:r>
      <w:r>
        <w:rPr>
          <w:color w:val="000000"/>
        </w:rPr>
        <w:t>”</w:t>
      </w:r>
      <w:r>
        <w:rPr>
          <w:rFonts w:ascii="Times New Roman;serif" w:hAnsi="Times New Roman;serif"/>
          <w:b w:val="false"/>
          <w:color w:val="000000"/>
          <w:sz w:val="24"/>
        </w:rPr>
        <w:t>) ending on December 31, 2026, and thereafter, CHMI and CHMI Sub-REIT have operated and will operate in a manner that will make the representations contained in a certificate, dated the date hereof and executed by duly appointed officers of CHMI and CHMI Sub-REIT (together with the MITT Officer’s Certificates, the “</w:t>
      </w:r>
      <w:r>
        <w:rPr>
          <w:rFonts w:ascii="Times New Roman;serif" w:hAnsi="Times New Roman;serif"/>
          <w:b w:val="false"/>
          <w:color w:val="000000"/>
          <w:sz w:val="24"/>
          <w:u w:val="single"/>
        </w:rPr>
        <w:t>Officer’s Certificates</w:t>
      </w:r>
      <w:r>
        <w:rPr>
          <w:color w:val="000000"/>
        </w:rPr>
        <w:t>”</w:t>
      </w:r>
      <w:r>
        <w:rPr>
          <w:rFonts w:ascii="Times New Roman;serif" w:hAnsi="Times New Roman;serif"/>
          <w:b w:val="false"/>
          <w:color w:val="000000"/>
          <w:sz w:val="24"/>
        </w:rPr>
        <w:t>), true for such years without regard to any qualifications as to knowledge;</w:t>
      </w:r>
    </w:p>
    <w:p>
      <w:pPr>
        <w:pStyle w:val="TextBody"/>
        <w:bidi w:val="0"/>
        <w:spacing w:lineRule="auto" w:line="288" w:before="0" w:after="240"/>
        <w:jc w:val="left"/>
        <w:rPr/>
      </w:pPr>
      <w:r>
        <w:rPr>
          <w:rFonts w:ascii="Times New Roman;serif" w:hAnsi="Times New Roman;serif"/>
          <w:b w:val="false"/>
          <w:color w:val="000000"/>
          <w:sz w:val="24"/>
        </w:rPr>
        <w:t>11.</w:t>
      </w:r>
      <w:r>
        <w:rPr>
          <w:rFonts w:ascii="Times New Roman;serif" w:hAnsi="Times New Roman;serif"/>
          <w:b w:val="false"/>
          <w:color w:val="000000"/>
          <w:sz w:val="24"/>
        </w:rPr>
        <w:t>none of the Company, MATT, WMC Sub REIT, or CHMI Sub-REIT will make any amendments to its organizational documents after the date of this opinion that would adversely affect the Company’s, MATT’s, WMC Sub REIT’s, or CHMI Sub-REIT’s qualification as a REIT under the Code for any taxable year; and</w:t>
      </w:r>
    </w:p>
    <w:p>
      <w:pPr>
        <w:pStyle w:val="TextBody"/>
        <w:bidi w:val="0"/>
        <w:spacing w:lineRule="auto" w:line="288" w:before="0" w:after="240"/>
        <w:jc w:val="left"/>
        <w:rPr/>
      </w:pPr>
      <w:r>
        <w:rPr>
          <w:rFonts w:ascii="Times New Roman;serif" w:hAnsi="Times New Roman;serif"/>
          <w:b w:val="false"/>
          <w:color w:val="000000"/>
          <w:sz w:val="24"/>
        </w:rPr>
        <w:t>12.</w:t>
      </w:r>
      <w:r>
        <w:rPr>
          <w:rFonts w:ascii="Times New Roman;serif" w:hAnsi="Times New Roman;serif"/>
          <w:b w:val="false"/>
          <w:color w:val="000000"/>
          <w:sz w:val="24"/>
        </w:rPr>
        <w:t>no action will be taken by the Company, MATT, WMC Sub REIT, CHMI, or CHMI Sub-REIT after the date hereof that would have the effect of altering the facts upon which the opinion set forth below is based.</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connection with the opinion rendered below, we also have relied upon the truth, accuracy, and completeness, without regard to any qualifications as to knowledge of the representations, covenants and statements as to factual matters discussed in the Reviewed Documents and the Officer’s Certificates that relate to the Company’s status as a REIT. We are not aware of any facts that are inconsistent with the factual representations contained in the Officer’s Certificates. Where the factual representations in the Officer’s Certificates involve terms defined in the Code, the Treasury regulations thereunder (the “</w:t>
      </w:r>
      <w:r>
        <w:rPr>
          <w:rFonts w:ascii="Times New Roman;serif" w:hAnsi="Times New Roman;serif"/>
          <w:b w:val="false"/>
          <w:color w:val="000000"/>
          <w:sz w:val="24"/>
          <w:u w:val="single"/>
        </w:rPr>
        <w:t>Regulations</w:t>
      </w:r>
      <w:r>
        <w:rPr>
          <w:color w:val="000000"/>
        </w:rPr>
        <w:t>”</w:t>
      </w:r>
      <w:r>
        <w:rPr>
          <w:rFonts w:ascii="Times New Roman;serif" w:hAnsi="Times New Roman;serif"/>
          <w:b w:val="false"/>
          <w:color w:val="000000"/>
          <w:sz w:val="24"/>
        </w:rPr>
        <w:t>), published rulings of the Internal Revenue Service (the “</w:t>
      </w:r>
      <w:r>
        <w:rPr>
          <w:rFonts w:ascii="Times New Roman;serif" w:hAnsi="Times New Roman;serif"/>
          <w:b w:val="false"/>
          <w:color w:val="000000"/>
          <w:sz w:val="24"/>
          <w:u w:val="single"/>
        </w:rPr>
        <w:t>Service</w:t>
      </w:r>
      <w:r>
        <w:rPr>
          <w:color w:val="000000"/>
        </w:rPr>
        <w:t>”</w:t>
      </w:r>
      <w:r>
        <w:rPr>
          <w:rFonts w:ascii="Times New Roman;serif" w:hAnsi="Times New Roman;serif"/>
          <w:b w:val="false"/>
          <w:color w:val="000000"/>
          <w:sz w:val="24"/>
        </w:rPr>
        <w:t xml:space="preserve">), or other relevant authority, we have </w:t>
      </w:r>
    </w:p>
    <w:p>
      <w:pPr>
        <w:pStyle w:val="TextBody"/>
        <w:bidi w:val="0"/>
        <w:spacing w:before="520" w:after="283"/>
        <w:jc w:val="left"/>
        <w:rPr/>
      </w:pPr>
      <w:r>
        <w:rPr/>
        <w:drawing>
          <wp:inline distT="0" distB="0" distL="0" distR="0">
            <wp:extent cx="1162050" cy="314325"/>
            <wp:effectExtent l="0" t="0" r="0" b="0"/>
            <wp:docPr id="45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4" descr=""/>
                    <pic:cNvPicPr>
                      <a:picLocks noChangeAspect="1" noChangeArrowheads="1"/>
                    </pic:cNvPicPr>
                  </pic:nvPicPr>
                  <pic:blipFill>
                    <a:blip r:embed="rId89"/>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451"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reviewed with the individual making such representations the relevant provisions of the Code, the applicable Regulations, the published rulings of the Service, and other relevant authority.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Based solely on the documents set forth above, and subject to the assumptions and qualifications set forth herein, we are of the opinion that commencing with the Company’s taxable year ended December 31, 2020, the Company has been organized and operated in conformity with the requirements for qualification and taxation as a REIT under the Code, and the Company’s proposed method of organization and operation will enable the Company to continue to satisfy the requirements for qualification and taxation as a REIT under the Code.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will not review on a continuing basis the Company’s, MATT’s, WMC Sub REIT’s, CHMI’s, or CHMI’s Sub-REIT’s compliance with the documents or assumptions set forth above, or the representations set forth in the Officer’s Certificates. Accordingly, no assurance can be given that the actual results of the Company’s, MATT’s, WMC Sub REIT’s, or CHMI Sub-REIT’s operations for any given taxable year will satisfy the requirements for qualification and taxation as a REIT. Although we have made such inquiries and performed such investigations as we have deemed necessary to fulfill our professional responsibilities as counsel, we have not undertaken an independent investigation of all the facts referred to in this opinion letter or the Officer’s Certificates. In particular, we note that the Company has engaged in transactions in connection with which we have not provided legal advice and may not have reviewed. Moreover, we note that we did not represent the Company prior to June 25, 2012. Any material variation or difference in the facts from those set forth in the reviewed documents and upon which we have relied (including, in particular, the Registration Statement and the Officer’s Certificates) may adversely affect the conclusions stated herein. In addition, the Company’s, MATT’s, WMC Sub REIT’s, and CHMI Sub-REIT’s qualification and taxation under the Code depends on the ability of the Company, MATT, WMC Sub REIT, and/or CHMI Sub-REIT to meet on an ongoing basis (through actual quarterly and annual operating results, distribution levels, diversity of share ownership and otherwise) the various qualification tests imposed under the Code, and upon the Company, MATT, WMC Sub REIT, CHMI, and/or CHMI Sub-REIT utilizing any and all “savings provisions” available to the Company, MATT, WMC Sub REIT, CHMI, and/or CHMI Sub-REIT under the Code to correct violations of specified REIT qualification requirements of Sections 856 and 857 of the Code. Our opinion set forth above does not foreclose the possibility that the Company, MATT, WMC Sub REIT, CHMI, and/or CHMI Sub-REIT may have to utilize one or more of these “savings provisions” in the future, which could require the Company, MATT, WMC Sub REIT, CHMI, and/or CHMI Sub-REIT to pay an excise or penalty tax (which could be significant in amount) in order to maintain the Company’s REIT qualification.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foregoing opinion is based on current provisions of the Code and the Regulations, published administrative interpretations thereof, and published court decisions. The </w:t>
      </w:r>
    </w:p>
    <w:p>
      <w:pPr>
        <w:pStyle w:val="TextBody"/>
        <w:bidi w:val="0"/>
        <w:spacing w:before="520" w:after="283"/>
        <w:jc w:val="left"/>
        <w:rPr/>
      </w:pPr>
      <w:r>
        <w:rPr/>
        <w:drawing>
          <wp:inline distT="0" distB="0" distL="0" distR="0">
            <wp:extent cx="1162050" cy="314325"/>
            <wp:effectExtent l="0" t="0" r="0" b="0"/>
            <wp:docPr id="4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5" descr=""/>
                    <pic:cNvPicPr>
                      <a:picLocks noChangeAspect="1" noChangeArrowheads="1"/>
                    </pic:cNvPicPr>
                  </pic:nvPicPr>
                  <pic:blipFill>
                    <a:blip r:embed="rId90"/>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453" name="Frame4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Service has not issued Regulations or administrative interpretations with respect to various provisions of the Code relating to REIT qualification. No assurance can be given that the law will not change in a way that will prevent the Company, MATT, WMC Sub REIT, or CHMI Sub-REIT from qualifying as a REIT.</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foregoing opinion is limited to the U.S. federal income tax matters addressed herein, and no other opinion is rendered with respect to other U.S. federal tax matters or to any issues arising under the tax laws of any other country, or any state or locality. We undertake no obligation to update the opinion expressed herein after the date of this letter. This opinion letter speaks only as of the date hereof. Except as provided in the next paragraph, this opinion letter may not be distributed, relied upon for any purpose by any other person, quoted in whole or in part or otherwise reproduced in any document, or filed with any governmental agency without our express written consent.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with the SEC as an exhibit to the Registration Statement, and to the references to Hunton Andrews Kurth LLP under the captions “U.S. Federal Income Tax Considerations” and “Legal Matters” in the Registration Statement. In giving such consent, we do not thereby admit that we are in the category of persons whose consent is required under Section 7 of the Securities Act of 1933, as amended, or the rules and regulations promulgated thereunder by the Securities and Exchange Commission.</w:t>
      </w:r>
    </w:p>
    <w:p>
      <w:pPr>
        <w:pStyle w:val="TextBody"/>
        <w:bidi w:val="0"/>
        <w:spacing w:before="0" w:after="0"/>
        <w:ind w:left="0" w:right="0" w:firstLine="144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ind w:left="0" w:right="0" w:firstLine="4320"/>
        <w:jc w:val="left"/>
        <w:rPr/>
      </w:pPr>
      <w:r>
        <w:rPr/>
      </w:r>
    </w:p>
    <w:p>
      <w:pPr>
        <w:pStyle w:val="TextBody"/>
        <w:bidi w:val="0"/>
        <w:spacing w:lineRule="auto" w:line="288"/>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/s/ Hunton Andrews Kurth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454" name="Frame4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8.2</w:t>
      </w:r>
    </w:p>
    <w:tbl>
      <w:tblPr>
        <w:tblW w:w="5092" w:type="dxa"/>
        <w:jc w:val="left"/>
        <w:tblInd w:w="0" w:type="dxa"/>
        <w:tblLayout w:type="fixed"/>
        <w:tblCellMar>
          <w:top w:w="28" w:type="dxa"/>
          <w:left w:w="28" w:type="dxa"/>
          <w:bottom w:w="28" w:type="dxa"/>
          <w:right w:w="28" w:type="dxa"/>
        </w:tblCellMar>
      </w:tblPr>
      <w:tblGrid>
        <w:gridCol w:w="950"/>
        <w:gridCol w:w="835"/>
        <w:gridCol w:w="836"/>
        <w:gridCol w:w="383"/>
        <w:gridCol w:w="383"/>
        <w:gridCol w:w="383"/>
        <w:gridCol w:w="383"/>
        <w:gridCol w:w="383"/>
        <w:gridCol w:w="556"/>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0200" cy="361950"/>
                  <wp:effectExtent l="0" t="0" r="0" b="0"/>
                  <wp:docPr id="45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6" descr=""/>
                          <pic:cNvPicPr>
                            <a:picLocks noChangeAspect="1" noChangeArrowheads="1"/>
                          </pic:cNvPicPr>
                        </pic:nvPicPr>
                        <pic:blipFill>
                          <a:blip r:embed="rId91"/>
                          <a:stretch>
                            <a:fillRect/>
                          </a:stretch>
                        </pic:blipFill>
                        <pic:spPr bwMode="auto">
                          <a:xfrm>
                            <a:off x="0" y="0"/>
                            <a:ext cx="1600200" cy="361950"/>
                          </a:xfrm>
                          <a:prstGeom prst="rect">
                            <a:avLst/>
                          </a:prstGeom>
                        </pic:spPr>
                      </pic:pic>
                    </a:graphicData>
                  </a:graphic>
                </wp:inline>
              </w:drawing>
            </w:r>
          </w:p>
        </w:tc>
        <w:tc>
          <w:tcPr>
            <w:tcW w:w="247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HUNTON ANDREWS KURTH LLP</w:t>
            </w:r>
          </w:p>
          <w:p>
            <w:pPr>
              <w:pStyle w:val="TableContents"/>
              <w:bidi w:val="0"/>
              <w:spacing w:lineRule="auto" w:line="288" w:before="0" w:after="0"/>
              <w:jc w:val="right"/>
              <w:rPr>
                <w:rFonts w:ascii="Arial;sans-serif" w:hAnsi="Arial;sans-serif"/>
                <w:b w:val="false"/>
                <w:color w:val="000000"/>
                <w:sz w:val="15"/>
              </w:rPr>
            </w:pPr>
            <w:r>
              <w:rPr>
                <w:rFonts w:ascii="Arial;sans-serif" w:hAnsi="Arial;sans-serif"/>
                <w:b w:val="false"/>
                <w:color w:val="000000"/>
                <w:sz w:val="15"/>
              </w:rPr>
              <w:t>FILE NO: 79612.58</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245 Park Avenue, 26th Floor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tc>
        <w:tc>
          <w:tcPr>
            <w:tcW w:w="132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0"/>
        <w:ind w:left="0" w:right="0" w:firstLine="720"/>
        <w:jc w:val="both"/>
        <w:rPr/>
      </w:pPr>
      <w:r>
        <w:rPr>
          <w:rFonts w:ascii="Times New Roman;serif" w:hAnsi="Times New Roman;serif"/>
          <w:b w:val="false"/>
          <w:color w:val="000000"/>
          <w:sz w:val="24"/>
        </w:rPr>
        <w:t>We have acted as special tax counsel to TPG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Mergers and other transactions contemplated by the Agreement and Plan of Merger, dated as of August 9, 2026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by and among the Company, MIT Merger Sub II, LLC, a Delaware limited liability company and wholly owned subsidiary of the Company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w:t>
      </w:r>
      <w:r>
        <w:rPr>
          <w:rFonts w:ascii="Times New Roman;serif" w:hAnsi="Times New Roman;serif"/>
          <w:b w:val="false"/>
          <w:color w:val="000000"/>
          <w:sz w:val="24"/>
          <w:u w:val="single"/>
        </w:rPr>
        <w:t>CHMI</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Operating Partnership</w:t>
      </w:r>
      <w:r>
        <w:rPr>
          <w:color w:val="000000"/>
        </w:rPr>
        <w:t>”</w:t>
      </w:r>
      <w:r>
        <w:rPr>
          <w:rFonts w:ascii="Times New Roman;serif" w:hAnsi="Times New Roman;serif"/>
          <w:b w:val="false"/>
          <w:color w:val="000000"/>
          <w:sz w:val="24"/>
        </w:rPr>
        <w:t>), and, solely for the limited purposes set forth in the Merger Agreement, AG REIT Management, LLC, a Delaware limited liability company, as described in the registration statement on Form S-4, filed on the date hereof,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and containing the proxy statement/prospectus of the Company (as amended through the date hereof,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As contemplated in the Merger Agreement, the Operating Partnership will merge with and into CHMI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with CHMI surviving the merger, and then CHMI will merge with and into Merger Sub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 with Merger Sub surviving the merger as a wholly owned subsidiary of the Company. This opinion letter is being delivered to be filed as an exhibit to the Registration Statement. Capitalized terms used herein that are defined in the Merger Agreement shall have the meanings set forth in the Merger Agreement, unless otherwise defined 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Set forth below is our opinion, together with the representations, assumptions and documents upon which we have relied in rendering our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opinion rendered below, we have reviewed and relied upon the following documents:</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Merger Agreement; </w:t>
      </w:r>
    </w:p>
    <w:p>
      <w:pPr>
        <w:pStyle w:val="TextBody"/>
        <w:bidi w:val="0"/>
        <w:spacing w:before="520" w:after="283"/>
        <w:jc w:val="left"/>
        <w:rPr/>
      </w:pPr>
      <w:r>
        <w:rPr/>
        <w:drawing>
          <wp:inline distT="0" distB="0" distL="0" distR="0">
            <wp:extent cx="1162050" cy="314325"/>
            <wp:effectExtent l="0" t="0" r="0" b="0"/>
            <wp:docPr id="4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7" descr=""/>
                    <pic:cNvPicPr>
                      <a:picLocks noChangeAspect="1" noChangeArrowheads="1"/>
                    </pic:cNvPicPr>
                  </pic:nvPicPr>
                  <pic:blipFill>
                    <a:blip r:embed="rId92"/>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419100"/>
                <wp:effectExtent l="0" t="0" r="0" b="0"/>
                <wp:wrapNone/>
                <wp:docPr id="457" name="Frame440"/>
                <a:graphic xmlns:a="http://schemas.openxmlformats.org/drawingml/2006/main">
                  <a:graphicData uri="http://schemas.microsoft.com/office/word/2010/wordprocessingShape">
                    <wps:wsp>
                      <wps:cNvSpPr txBox="1"/>
                      <wps:spPr>
                        <a:xfrm>
                          <a:off x="0" y="0"/>
                          <a:ext cx="6480175" cy="419100"/>
                        </a:xfrm>
                        <a:prstGeom prst="rect"/>
                        <a:solidFill>
                          <a:srgbClr val="FFFFFF"/>
                        </a:solidFill>
                      </wps:spPr>
                      <wps:txbx>
                        <w:txbxContent>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ATLANTA AUSTIN BANGKOK BEIJING BOSTON BRUSSELS CHARLOTTE DALLAS DUBAI HOUSTON</w:t>
                            </w:r>
                            <w:r>
                              <w:br w:type="page"/>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LONDON LOS ANGELES MIAMI NEW YORK RICHMOND SAN FRANCISCO TOKYO TYSONS WASHINGTON, DC</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www.Hunton.com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ATLANTA AUSTIN BANGKOK BEIJING BOSTON BRUSSELS CHARLOTTE DALLAS DUBAI HOUSTON</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LONDON LOS ANGELES MIAMI NEW YORK RICHMOND SAN FRANCISCO TOKYO TYSONS WASHINGTON, DC</w:t>
                      </w:r>
                    </w:p>
                    <w:p>
                      <w:pPr>
                        <w:pStyle w:val="TextBody"/>
                        <w:bidi w:val="0"/>
                        <w:spacing w:lineRule="atLeast" w:line="220" w:before="0" w:after="0"/>
                        <w:jc w:val="center"/>
                        <w:rPr>
                          <w:rFonts w:ascii="Arial;sans-serif" w:hAnsi="Arial;sans-serif"/>
                          <w:b w:val="false"/>
                          <w:color w:val="000000"/>
                          <w:sz w:val="13"/>
                        </w:rPr>
                      </w:pPr>
                      <w:r>
                        <w:rPr>
                          <w:rFonts w:ascii="Arial;sans-serif" w:hAnsi="Arial;sans-serif"/>
                          <w:b w:val="false"/>
                          <w:color w:val="000000"/>
                          <w:sz w:val="13"/>
                        </w:rPr>
                        <w:t>www.Hunton.com</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Registration Statement;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3.    the Certificates of the Company and CHMI (together, the “</w:t>
      </w:r>
      <w:r>
        <w:rPr>
          <w:rFonts w:ascii="Times New Roman;serif" w:hAnsi="Times New Roman;serif"/>
          <w:b w:val="false"/>
          <w:color w:val="000000"/>
          <w:sz w:val="24"/>
          <w:u w:val="single"/>
        </w:rPr>
        <w:t>Representation Parties</w:t>
      </w:r>
      <w:r>
        <w:rPr>
          <w:color w:val="000000"/>
        </w:rPr>
        <w:t>”</w:t>
      </w:r>
      <w:r>
        <w:rPr>
          <w:rFonts w:ascii="Times New Roman;serif" w:hAnsi="Times New Roman;serif"/>
          <w:b w:val="false"/>
          <w:color w:val="000000"/>
          <w:sz w:val="24"/>
        </w:rPr>
        <w:t>), delivered to us as of the date hereof, with respect to various factual representations and certifications (collectively, the “</w:t>
      </w:r>
      <w:r>
        <w:rPr>
          <w:rFonts w:ascii="Times New Roman;serif" w:hAnsi="Times New Roman;serif"/>
          <w:b w:val="false"/>
          <w:color w:val="000000"/>
          <w:sz w:val="24"/>
          <w:u w:val="single"/>
        </w:rPr>
        <w:t>Certificates</w:t>
      </w:r>
      <w:r>
        <w:rPr>
          <w:color w:val="000000"/>
        </w:rPr>
        <w:t>”</w:t>
      </w:r>
      <w:r>
        <w:rPr>
          <w:rFonts w:ascii="Times New Roman;serif" w:hAnsi="Times New Roman;serif"/>
          <w:b w:val="false"/>
          <w:color w:val="000000"/>
          <w:sz w:val="24"/>
        </w:rPr>
        <w:t>); and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4.    such other documents as we have deemed necessary or appropriate for purposes of this opinion (together with the documents described in items 1-3 above, the “</w:t>
      </w:r>
      <w:r>
        <w:rPr>
          <w:rFonts w:ascii="Times New Roman;serif" w:hAnsi="Times New Roman;serif"/>
          <w:b w:val="false"/>
          <w:color w:val="000000"/>
          <w:sz w:val="24"/>
          <w:u w:val="single"/>
        </w:rPr>
        <w:t>Documents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opinion rendered below, we have reviewed and relied upon statements and representations of officers and other representatives of the Representation Parties, which statements and representations we have neither independently investigated nor verified, and we have assumed that such statements and representations, including those set forth in the Certificates, are and will continue to be true and correct without regard to any qualification as to knowledge, belief, intent, or otherwise. In connection with the opinion rendered below, we have assumed that: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all signatures on all documents submitted to us are genuine, that all documents submitted to us as originals are authentic, that all documents submitted to us as copies are accurate, that all information submitted to us is accurate and complete, and that all persons executing and delivering originals or copies of documents examined by us are authorized and competent to execute and deliver such documents;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Company Merger and the other transactions specified in the Merger Agreement will be consummated as provided in the Merger Agreement, without waiver of any material provision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the statements concerning the Company Merger and the parties thereto set forth in the Merger Agreement and in the Registration Statement are true, complete and correct and will remain true, complete and correct at all times up to and including the Company Merger Effective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each of the parties to the Merger Agreement have complied and will continue to comply with the obligations, covenants and agreements contained in the Merger Agreement;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5.        the Company Merger will be reported by the Company, CHMI, and Merger Sub on their respective income tax returns in a manner consistent with the opinion set </w:t>
      </w:r>
    </w:p>
    <w:p>
      <w:pPr>
        <w:pStyle w:val="TextBody"/>
        <w:bidi w:val="0"/>
        <w:spacing w:before="520" w:after="283"/>
        <w:jc w:val="left"/>
        <w:rPr/>
      </w:pPr>
      <w:r>
        <w:rPr/>
        <w:drawing>
          <wp:inline distT="0" distB="0" distL="0" distR="0">
            <wp:extent cx="1162050" cy="314325"/>
            <wp:effectExtent l="0" t="0" r="0" b="0"/>
            <wp:docPr id="4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8" descr=""/>
                    <pic:cNvPicPr>
                      <a:picLocks noChangeAspect="1" noChangeArrowheads="1"/>
                    </pic:cNvPicPr>
                  </pic:nvPicPr>
                  <pic:blipFill>
                    <a:blip r:embed="rId93"/>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459" name="Frame4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forth below, and each of the parties to the Merger Agreement will comply with all applicable reporting obligations with respect to the Company Merger required under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and the Treasury Regulations thereunder;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6.    the Certificates are true and accurate and will remain true and accurate at all times up to and including the Company Merger Effective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7.    with respect to any representations in any of the Documents that are made “to the best knowledge of” or are similarly qualified, such representations are, and will continue to be, accurate, in each case, without such qualification;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8.    commencing with its short taxable year ended December 31, 2013, CHMI has qualified, and through the taxable year which includes the Company Merger Effective Time, will continue to qualify, as a real estate investment trust under Subchapter M of the Code;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    commencing with its taxable year ended December 31, 2011 and through its taxable year ended December 31, 2025, the Company has qualified, and the Company will be organized and operated to enable it to continue to qualify, as a real estate investment trust under Subchapter M of the Code for its taxable years ending December 31, 2026 and thereafter;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    the opinion of counsel to be delivered concurrently herewith with respect to the Company Merger as a reorganization within the meaning of Section 368(a) of the Code pursuant to Section 7.3(e) of the Merger Agreement has not been and will not be modified or withdrawn;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11.    there will be no change in applicable U.S. federal income tax law from the date hereof through the Company Merger Effective Time.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Based solely upon the documents and assumptions set forth above and conditioned upon the initial and continuing accuracy of the factual representations set forth in the Documents as of the date hereof and at the Company Merger Effective Time, and subject to the limitations set forth herein and in the Registration Statement under the caption “U.S. Federal Income Tax Considerations,” it is our opinion that (i) the Company Merger, when effective, will qualify as a reorganization under, and with the meaning of, Section 368(a) of the Code, and (ii) the Company, CHMI, and Merger Sub will each be a party to that reorganization with the meaning of Section 368(b) of the Code.</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indicated, the opinions contained in this letter are based upon the Code and its legislative history, the Treasury regulations promulgated thereunder, judicial decisions and current administrative rulings and practices of the Internal Revenue Service, all as </w:t>
      </w:r>
    </w:p>
    <w:p>
      <w:pPr>
        <w:pStyle w:val="TextBody"/>
        <w:bidi w:val="0"/>
        <w:spacing w:before="520" w:after="283"/>
        <w:jc w:val="left"/>
        <w:rPr/>
      </w:pPr>
      <w:r>
        <w:rPr/>
        <w:drawing>
          <wp:inline distT="0" distB="0" distL="0" distR="0">
            <wp:extent cx="1162050" cy="314325"/>
            <wp:effectExtent l="0" t="0" r="0" b="0"/>
            <wp:docPr id="46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19" descr=""/>
                    <pic:cNvPicPr>
                      <a:picLocks noChangeAspect="1" noChangeArrowheads="1"/>
                    </pic:cNvPicPr>
                  </pic:nvPicPr>
                  <pic:blipFill>
                    <a:blip r:embed="rId94"/>
                    <a:stretch>
                      <a:fillRect/>
                    </a:stretch>
                  </pic:blipFill>
                  <pic:spPr bwMode="auto">
                    <a:xfrm>
                      <a:off x="0" y="0"/>
                      <a:ext cx="1162050" cy="314325"/>
                    </a:xfrm>
                    <a:prstGeom prst="rect">
                      <a:avLst/>
                    </a:prstGeom>
                  </pic:spPr>
                </pic:pic>
              </a:graphicData>
            </a:graphic>
          </wp:inline>
        </w:drawing>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461"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effect on the date of this letter. These authorities may be amended or revoked at any time. Any such changes may or may not be retroactive with respect to transactions entered into or contemplated prior to the effective date thereof and could significantly alter the conclusions reached in this letter. There is no assurance that legislative, judicial or administrative changes will not occur in the future. We assume no obligation to update or modify this letter to reflect any developments that may occur after the date of this letter. In addition, our opinion is being delivered prior to the consummation of the Company Merger and therefore is prospective and dependent on future events.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opinions expressed herein represent counsel’s best legal judgment and are not binding upon the Internal Revenue Service or the courts and are dependent upon the accuracy and completeness of the documents we have reviewed under the circumstances, the assumptions made and the factual representations contained in the Certificates. We have made no independent investigation of the assumptions set forth above, the facts contained in the documents or the factual representations set forth in the Certificates or the Merger Agreement. Any material inaccuracy or incompleteness in these documents, assumptions or factual representations (whether made by the Company, CHMI or the Merger Sub) could adversely affect the opinions stated herein.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opinion is expressed as to any federal income tax consequence of the Company Merger or the other transactions contemplated by the Merger Agreement except as specifically set forth herein, and this opinion may not be relied upon except with respect to the consequences specifically discussed herein. This opinion does not address the various state, local or foreign tax consequences that may result from the Company Merger or the other transactions contemplated by the Merger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opinion is furnished to you solely in connection with the Registration Statement and this opinion is not to be relied upon for any other purpose without our prior written consent. We hereby consent to the filing of this opinion with the SEC as an exhibit to the Registration Statement, and to the references to Hunton Andrews Kurth LLP under the caption “Legal Matters” in the Registration Statement. In giving such consent, we do not thereby admit that we are in the category of persons whose consent is required under Section 7 of the Securities Act.</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Very truly yours,</w:t>
        <w:br/>
        <w:br/>
        <w:t xml:space="preserve">                            /s/ Hunton Andrews Kurth LLP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drawing>
          <wp:inline distT="0" distB="0" distL="0" distR="0">
            <wp:extent cx="2190750" cy="266700"/>
            <wp:effectExtent l="0" t="0" r="0" b="0"/>
            <wp:docPr id="4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0" descr=""/>
                    <pic:cNvPicPr>
                      <a:picLocks noChangeAspect="1" noChangeArrowheads="1"/>
                    </pic:cNvPicPr>
                  </pic:nvPicPr>
                  <pic:blipFill>
                    <a:blip r:embed="rId95"/>
                    <a:stretch>
                      <a:fillRect/>
                    </a:stretch>
                  </pic:blipFill>
                  <pic:spPr bwMode="auto">
                    <a:xfrm>
                      <a:off x="0" y="0"/>
                      <a:ext cx="2190750" cy="266700"/>
                    </a:xfrm>
                    <a:prstGeom prst="rect">
                      <a:avLst/>
                    </a:prstGeom>
                  </pic:spPr>
                </pic:pic>
              </a:graphicData>
            </a:graphic>
          </wp:inline>
        </w:drawing>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63" name="Frame4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8.3</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Mayer Brown LLP</w:t>
            </w:r>
          </w:p>
          <w:p>
            <w:pPr>
              <w:pStyle w:val="TableContents"/>
              <w:bidi w:val="0"/>
              <w:spacing w:lineRule="auto" w:line="288" w:before="0" w:after="160"/>
              <w:jc w:val="right"/>
              <w:rPr>
                <w:rFonts w:ascii="Times New Roman;serif" w:hAnsi="Times New Roman;serif"/>
                <w:b w:val="false"/>
                <w:color w:val="000000"/>
                <w:sz w:val="17"/>
              </w:rPr>
            </w:pPr>
            <w:r>
              <w:rPr>
                <w:rFonts w:ascii="Times New Roman;serif" w:hAnsi="Times New Roman;serif"/>
                <w:b w:val="false"/>
                <w:color w:val="000000"/>
                <w:sz w:val="17"/>
              </w:rPr>
              <w:t>1221 Avenue of Americas</w:t>
              <w:br/>
              <w:t>New York, New York 10020-1001</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Main Tel (212) 506-2500</w:t>
              <w:br/>
              <w:t xml:space="preserve">Main Fax (212) 262-1910 </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www.mayerbrown.com</w:t>
            </w:r>
          </w:p>
          <w:p>
            <w:pPr>
              <w:pStyle w:val="TableContents"/>
              <w:bidi w:val="0"/>
              <w:spacing w:before="0" w:after="240"/>
              <w:jc w:val="right"/>
              <w:rPr/>
            </w:pPr>
            <w:r>
              <w:rPr/>
            </w:r>
          </w:p>
          <w:p>
            <w:pPr>
              <w:pStyle w:val="TableContents"/>
              <w:bidi w:val="0"/>
              <w:spacing w:before="0" w:after="240"/>
              <w:jc w:val="right"/>
              <w:rPr/>
            </w:pPr>
            <w:r>
              <w:rPr/>
            </w:r>
          </w:p>
          <w:p>
            <w:pPr>
              <w:pStyle w:val="TableContents"/>
              <w:bidi w:val="0"/>
              <w:spacing w:lineRule="auto" w:line="288" w:before="0" w:after="240"/>
              <w:jc w:val="right"/>
              <w:rPr>
                <w:rFonts w:ascii="Times New Roman;serif" w:hAnsi="Times New Roman;serif"/>
                <w:b w:val="false"/>
                <w:color w:val="000000"/>
                <w:sz w:val="17"/>
              </w:rPr>
            </w:pPr>
            <w:r>
              <w:rPr>
                <w:rFonts w:ascii="Times New Roman;serif" w:hAnsi="Times New Roman;serif"/>
                <w:b w:val="false"/>
                <w:color w:val="000000"/>
                <w:sz w:val="17"/>
              </w:rPr>
              <w:t>www.mayerbrown.com</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F: +1 650 331 2060</w:t>
            </w:r>
          </w:p>
          <w:p>
            <w:pPr>
              <w:pStyle w:val="TableContents"/>
              <w:bidi w:val="0"/>
              <w:spacing w:lineRule="auto" w:line="288" w:before="0" w:after="0"/>
              <w:jc w:val="right"/>
              <w:rPr>
                <w:rFonts w:ascii="Times New Roman;serif" w:hAnsi="Times New Roman;serif"/>
                <w:b w:val="false"/>
                <w:color w:val="000000"/>
                <w:sz w:val="15"/>
              </w:rPr>
            </w:pPr>
            <w:r>
              <w:rPr>
                <w:rFonts w:ascii="Times New Roman;serif" w:hAnsi="Times New Roman;serif"/>
                <w:b w:val="false"/>
                <w:color w:val="000000"/>
                <w:sz w:val="15"/>
              </w:rPr>
              <w:t>mayerbrown.com</w:t>
            </w:r>
          </w:p>
          <w:p>
            <w:pPr>
              <w:pStyle w:val="TableContents"/>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Mayer Brown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4000 Route 66, Suite 310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New Jersey 07753</w:t>
      </w:r>
    </w:p>
    <w:p>
      <w:pPr>
        <w:pStyle w:val="TextBody"/>
        <w:bidi w:val="0"/>
        <w:spacing w:lineRule="atLeast" w:line="271" w:before="285"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tLeast" w:line="275" w:before="282" w:after="240"/>
        <w:ind w:left="0" w:right="0" w:firstLine="792"/>
        <w:jc w:val="both"/>
        <w:rPr/>
      </w:pPr>
      <w:r>
        <w:rPr>
          <w:rFonts w:ascii="Times New Roman;serif" w:hAnsi="Times New Roman;serif"/>
          <w:b w:val="false"/>
          <w:color w:val="000000"/>
          <w:sz w:val="24"/>
        </w:rPr>
        <w:t>We have represented Cherry Hill Mortgage Investment Corporation, a Maryland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as tax counsel, in connection with the Agreement and Plan of Merger, dated as of August 9, 2026 (the “</w:t>
      </w:r>
      <w:r>
        <w:rPr>
          <w:rFonts w:ascii="Times New Roman;serif" w:hAnsi="Times New Roman;serif"/>
          <w:b/>
          <w:i/>
          <w:color w:val="000000"/>
          <w:sz w:val="24"/>
        </w:rPr>
        <w:t>Merger Agreement</w:t>
      </w:r>
      <w:r>
        <w:rPr>
          <w:color w:val="000000"/>
        </w:rPr>
        <w:t>”</w:t>
      </w:r>
      <w:r>
        <w:rPr>
          <w:rFonts w:ascii="Times New Roman;serif" w:hAnsi="Times New Roman;serif"/>
          <w:b w:val="false"/>
          <w:color w:val="000000"/>
          <w:sz w:val="24"/>
        </w:rPr>
        <w:t>), by and among TPG Mortgage Investment Trust Inc. (“</w:t>
      </w:r>
      <w:r>
        <w:rPr>
          <w:rFonts w:ascii="Times New Roman;serif" w:hAnsi="Times New Roman;serif"/>
          <w:b/>
          <w:i/>
          <w:color w:val="000000"/>
          <w:sz w:val="24"/>
        </w:rPr>
        <w:t>Parent</w:t>
      </w:r>
      <w:r>
        <w:rPr>
          <w:color w:val="000000"/>
        </w:rPr>
        <w:t>”</w:t>
      </w:r>
      <w:r>
        <w:rPr>
          <w:rFonts w:ascii="Times New Roman;serif" w:hAnsi="Times New Roman;serif"/>
          <w:b w:val="false"/>
          <w:color w:val="000000"/>
          <w:sz w:val="24"/>
        </w:rPr>
        <w:t>), MIT Merger Sub II, LLC, a Delaware limited liability company and direct wholly owned subsidiary of Parent (“</w:t>
      </w:r>
      <w:r>
        <w:rPr>
          <w:rFonts w:ascii="Times New Roman;serif" w:hAnsi="Times New Roman;serif"/>
          <w:b/>
          <w:i/>
          <w:color w:val="000000"/>
          <w:sz w:val="24"/>
        </w:rPr>
        <w:t>Merger Sub</w:t>
      </w:r>
      <w:r>
        <w:rPr>
          <w:color w:val="000000"/>
        </w:rPr>
        <w:t>”</w:t>
      </w:r>
      <w:r>
        <w:rPr>
          <w:rFonts w:ascii="Times New Roman;serif" w:hAnsi="Times New Roman;serif"/>
          <w:b w:val="false"/>
          <w:color w:val="000000"/>
          <w:sz w:val="24"/>
        </w:rPr>
        <w:t>), the Company, and Cherry Hill Operating Partnership, LP, a Delaware limited partnership (the “</w:t>
      </w:r>
      <w:r>
        <w:rPr>
          <w:rFonts w:ascii="Times New Roman;serif" w:hAnsi="Times New Roman;serif"/>
          <w:b/>
          <w:i/>
          <w:color w:val="000000"/>
          <w:sz w:val="24"/>
        </w:rPr>
        <w:t>Operating Partnership</w:t>
      </w:r>
      <w:r>
        <w:rPr>
          <w:color w:val="000000"/>
        </w:rPr>
        <w:t>”</w:t>
      </w:r>
      <w:r>
        <w:rPr>
          <w:rFonts w:ascii="Times New Roman;serif" w:hAnsi="Times New Roman;serif"/>
          <w:b w:val="false"/>
          <w:color w:val="000000"/>
          <w:sz w:val="24"/>
        </w:rPr>
        <w:t>), and, solely for the limited purposes set forth in the Merger Agreement, AG REIT Management, LLC, a Delaware limited liability company (“</w:t>
      </w:r>
      <w:r>
        <w:rPr>
          <w:rFonts w:ascii="Times New Roman;serif" w:hAnsi="Times New Roman;serif"/>
          <w:b/>
          <w:i/>
          <w:color w:val="000000"/>
          <w:sz w:val="24"/>
        </w:rPr>
        <w:t>Parent Manager</w:t>
      </w:r>
      <w:r>
        <w:rPr>
          <w:color w:val="000000"/>
        </w:rPr>
        <w:t>”</w:t>
      </w:r>
      <w:r>
        <w:rPr>
          <w:rFonts w:ascii="Times New Roman;serif" w:hAnsi="Times New Roman;serif"/>
          <w:b w:val="false"/>
          <w:color w:val="000000"/>
          <w:sz w:val="24"/>
        </w:rPr>
        <w:t>), as described in the registration statement on Form S-4 filed on the date hereof, with the Securities and Exchange Commission (the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and containing the proxy statement/prospectus of the Company (as amended through the date hereof,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As contemplated in the Merger Agreement, the Operating Partnership will merge with and into the Company (the “</w:t>
      </w:r>
      <w:r>
        <w:rPr>
          <w:rFonts w:ascii="Times New Roman;serif" w:hAnsi="Times New Roman;serif"/>
          <w:b/>
          <w:i/>
          <w:color w:val="000000"/>
          <w:sz w:val="24"/>
        </w:rPr>
        <w:t>Partnership Merger</w:t>
      </w:r>
      <w:r>
        <w:rPr>
          <w:color w:val="000000"/>
        </w:rPr>
        <w:t>”</w:t>
      </w:r>
      <w:r>
        <w:rPr>
          <w:rFonts w:ascii="Times New Roman;serif" w:hAnsi="Times New Roman;serif"/>
          <w:b w:val="false"/>
          <w:color w:val="000000"/>
          <w:sz w:val="24"/>
        </w:rPr>
        <w:t>), with the Company surviving the merger, and then the Company will merge with and into Merger Sub (the “</w:t>
      </w:r>
      <w:r>
        <w:rPr>
          <w:rFonts w:ascii="Times New Roman;serif" w:hAnsi="Times New Roman;serif"/>
          <w:b/>
          <w:i/>
          <w:color w:val="000000"/>
          <w:sz w:val="24"/>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i/>
          <w:color w:val="000000"/>
          <w:sz w:val="24"/>
        </w:rPr>
        <w:t>Mergers</w:t>
      </w:r>
      <w:r>
        <w:rPr>
          <w:color w:val="000000"/>
        </w:rPr>
        <w:t>”</w:t>
      </w:r>
      <w:r>
        <w:rPr>
          <w:rFonts w:ascii="Times New Roman;serif" w:hAnsi="Times New Roman;serif"/>
          <w:b w:val="false"/>
          <w:color w:val="000000"/>
          <w:sz w:val="24"/>
        </w:rPr>
        <w:t>), with Merger Sub surviving the merger as a wholly owned subsidiary of Parent. This opinion letter is being delivered to be filed as an exhibit to the Registration Statement. Capitalized terms used herein and not otherwise defined have the meanings set forth in the Merger Agreement. As tax counsel to the Company, we have examined and relied upon originals or copies of such agreements, instruments, certificates, records and other documents and have made such examination of law as we have deemed necessary or appropriate for the purpose of this letter, including the following:</w:t>
      </w:r>
    </w:p>
    <w:p>
      <w:pPr>
        <w:pStyle w:val="TextBody"/>
        <w:bidi w:val="0"/>
        <w:spacing w:lineRule="atLeast" w:line="279"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1.Copy of the Articles of Amendment and Restatement of the Company, as amended and supplemented, in the form filed with the Commission.</w:t>
      </w:r>
    </w:p>
    <w:p>
      <w:pPr>
        <w:pStyle w:val="TextBody"/>
        <w:bidi w:val="0"/>
        <w:spacing w:lineRule="atLeast" w:line="273"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2.Copy of the Amended and Restated Bylaws of the Company in the form filed with the Commission.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497205"/>
                <wp:effectExtent l="0" t="0" r="0" b="0"/>
                <wp:wrapNone/>
                <wp:docPr id="464" name="Frame4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lineRule="auto" w:line="288" w:before="120" w:after="283"/>
                              <w:jc w:val="center"/>
                              <w:rPr>
                                <w:rFonts w:ascii="Arial Narrow;sans-serif" w:hAnsi="Arial Narrow;sans-serif"/>
                                <w:b w:val="false"/>
                                <w:color w:val="000000"/>
                                <w:sz w:val="17"/>
                              </w:rPr>
                            </w:pPr>
                            <w:r>
                              <w:rPr>
                                <w:rFonts w:ascii="Arial Narrow;sans-serif" w:hAnsi="Arial Narrow;sans-serif"/>
                                <w:b w:val="false"/>
                                <w:color w:val="000000"/>
                                <w:sz w:val="17"/>
                              </w:rPr>
                              <w:t>Mayer Brown is a global services provider comprising an association of legal practices that are separate entities including</w:t>
                              <w:br/>
                              <w:t>Mayer Brown LLP (Illinois, USA), Mayer Brown International LLP (England &amp; Wales), Mayer Brown Hong Kong LLP (a Hong Kong limited liability partnership) and Tauil &amp; Chequer Advogados (a Brazilian law partnership).</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 Narrow;sans-serif" w:hAnsi="Arial Narrow;sans-serif"/>
                          <w:b w:val="false"/>
                          <w:color w:val="000000"/>
                          <w:sz w:val="17"/>
                        </w:rPr>
                      </w:pPr>
                      <w:r>
                        <w:rPr>
                          <w:rFonts w:ascii="Arial Narrow;sans-serif" w:hAnsi="Arial Narrow;sans-serif"/>
                          <w:b w:val="false"/>
                          <w:color w:val="000000"/>
                          <w:sz w:val="17"/>
                        </w:rPr>
                        <w:t>Mayer Brown is a global services provider comprising an association of legal practices that are separate entities including</w:t>
                        <w:br/>
                        <w:t>Mayer Brown LLP (Illinois, USA), Mayer Brown International LLP (England &amp; Wales), Mayer Brown Hong Kong LLP (a Hong Kong limited liability partnership) and Tauil &amp; Chequer Advogados (a Brazilian law partnership).</w:t>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5" w:before="100" w:after="240"/>
        <w:ind w:left="0" w:right="0" w:hanging="216"/>
        <w:jc w:val="left"/>
        <w:rPr/>
      </w:pPr>
      <w:r>
        <w:rPr>
          <w:rFonts w:ascii="Times New Roman;serif" w:hAnsi="Times New Roman;serif"/>
          <w:b w:val="false"/>
          <w:color w:val="000000"/>
          <w:sz w:val="24"/>
        </w:rPr>
        <w:t>3.A certificate containing certain factual representations and covenants of the Company, and CHMI Sub-REIT, Inc., a Maryland corporation (“</w:t>
      </w:r>
      <w:r>
        <w:rPr>
          <w:rFonts w:ascii="Times New Roman;serif" w:hAnsi="Times New Roman;serif"/>
          <w:b/>
          <w:i/>
          <w:color w:val="000000"/>
          <w:sz w:val="24"/>
        </w:rPr>
        <w:t>Sub-REIT</w:t>
      </w:r>
      <w:r>
        <w:rPr>
          <w:color w:val="000000"/>
        </w:rPr>
        <w:t>”</w:t>
      </w:r>
      <w:r>
        <w:rPr>
          <w:rFonts w:ascii="Times New Roman;serif" w:hAnsi="Times New Roman;serif"/>
          <w:b w:val="false"/>
          <w:color w:val="000000"/>
          <w:sz w:val="24"/>
        </w:rPr>
        <w:t>), (the “</w:t>
      </w:r>
      <w:r>
        <w:rPr>
          <w:rFonts w:ascii="Times New Roman;serif" w:hAnsi="Times New Roman;serif"/>
          <w:b/>
          <w:i/>
          <w:color w:val="000000"/>
          <w:sz w:val="24"/>
        </w:rPr>
        <w:t>Officer’s Certificate</w:t>
      </w:r>
      <w:r>
        <w:rPr>
          <w:color w:val="000000"/>
        </w:rPr>
        <w:t>”</w:t>
      </w:r>
      <w:r>
        <w:rPr>
          <w:rFonts w:ascii="Times New Roman;serif" w:hAnsi="Times New Roman;serif"/>
          <w:b w:val="false"/>
          <w:color w:val="000000"/>
          <w:sz w:val="24"/>
        </w:rPr>
        <w:t>) relating to, among other things, the past, current, and proposed operations of the Company and the entities in which it holds a direct or indirect interest.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4.A copy of the Registration Statement.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5.A copy of the Merger Agreement.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6.Such other documentation or information provided to us by the Company, as we have deemed necessary or appropriate as a basis for our opinion set forth herein.</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Although we have made such inquiries and performed such investigations as we have deemed necessary for purposes of our opinion, we have not independently verified all of the facts, representations and covenants set forth in the Officer’s Certificate, the Registration Statement, the Merger Agreement or in any other document.</w:t>
      </w:r>
    </w:p>
    <w:p>
      <w:pPr>
        <w:pStyle w:val="TextBody"/>
        <w:bidi w:val="0"/>
        <w:spacing w:lineRule="atLeast" w:line="275"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have relied on the factual statements, representations and covenants of the Company and Sub-REIT contained in the Officer’s Certificate, the Registration Statement, the Merger Agreement and other documents. We have assumed that such factual statements, representations and covenants are true, accurate, and complete, without regard to any qualification as to knowledge or belief.</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conditioned on, among other things, the initial and continuing accuracy of the factual information, covenants and representations set forth in the Registration Statement, the Merger Agreement and the Officer’s Certificate and the representations made by representatives of the Company and Sub-REIT, without regard to any qualifications therein. Any change or inaccuracy in the facts referred to, set forth or assumed herein or in the Officer’s Certificate may affect our conclusions set forth herein.</w:t>
      </w:r>
    </w:p>
    <w:p>
      <w:pPr>
        <w:pStyle w:val="TextBody"/>
        <w:bidi w:val="0"/>
        <w:spacing w:lineRule="atLeast" w:line="276" w:before="274"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also based on the correctness of the following assumptions: (i) the Company and each of the entities in which the Company holds a direct or indirect interest have been and will continue to be operated in accordance with the laws of the jurisdictions in which they were formed and in the manner described in the relevant organizational documents, (ii) there will be no changes in the applicable laws of the State of Maryland or of any other jurisdiction under the laws of which any such entity has been formed, and (iii) each of the written agreements to which the Company or any such entity is a party will be implemented, construed and enforced in accordance with its terms.</w:t>
      </w:r>
    </w:p>
    <w:p>
      <w:pPr>
        <w:pStyle w:val="TextBody"/>
        <w:bidi w:val="0"/>
        <w:spacing w:lineRule="atLeast" w:line="276" w:before="276" w:after="240"/>
        <w:ind w:left="0" w:right="0" w:firstLine="720"/>
        <w:jc w:val="both"/>
        <w:rPr/>
      </w:pPr>
      <w:r>
        <w:rPr>
          <w:rFonts w:ascii="Times New Roman;serif" w:hAnsi="Times New Roman;serif"/>
          <w:b w:val="false"/>
          <w:color w:val="000000"/>
          <w:sz w:val="24"/>
        </w:rPr>
        <w:t>In rendering our opinion, we have also considered the applicable provisions of the Internal Revenue Code of 1986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xml:space="preserve">), the Treasury Regulations promulgated thereunder, judicial decisions, administrative rulings and other applicable authorities, in each case as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65" name="Frame4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6" w:before="276" w:after="240"/>
        <w:jc w:val="both"/>
        <w:rPr>
          <w:rFonts w:ascii="Times New Roman;serif" w:hAnsi="Times New Roman;serif"/>
          <w:b w:val="false"/>
          <w:color w:val="000000"/>
          <w:sz w:val="24"/>
        </w:rPr>
      </w:pPr>
      <w:r>
        <w:rPr>
          <w:rFonts w:ascii="Times New Roman;serif" w:hAnsi="Times New Roman;serif"/>
          <w:b w:val="false"/>
          <w:color w:val="000000"/>
          <w:sz w:val="24"/>
        </w:rPr>
        <w:t>effect on the date hereof. The statutory provisions, regulations, decisions, rulings and other authorities on which this opinion is based are subject to change, and such changes could apply retroactively. A material change that is made after the date hereof in any of the foregoing bases for our opinion could affect our conclusions set forth herein.</w:t>
      </w:r>
    </w:p>
    <w:p>
      <w:pPr>
        <w:pStyle w:val="TextBody"/>
        <w:bidi w:val="0"/>
        <w:spacing w:lineRule="atLeast" w:line="275"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or photostatic copies, and (v) the authenticity of the originals of such copies.</w:t>
      </w:r>
    </w:p>
    <w:p>
      <w:pPr>
        <w:pStyle w:val="TextBody"/>
        <w:bidi w:val="0"/>
        <w:spacing w:lineRule="atLeast" w:line="275" w:before="280" w:after="240"/>
        <w:ind w:left="0" w:right="0" w:firstLine="720"/>
        <w:jc w:val="both"/>
        <w:rPr/>
      </w:pPr>
      <w:r>
        <w:rPr>
          <w:rFonts w:ascii="Times New Roman;serif" w:hAnsi="Times New Roman;serif"/>
          <w:b w:val="false"/>
          <w:color w:val="000000"/>
          <w:sz w:val="24"/>
        </w:rPr>
        <w:t>This opinion shall not be construed as or deemed to be a guaranty or insuring agreement. Opinions of special tax counsel represent only special tax counsel’s best legal judgment and are not binding on the Internal Revenue Service (“</w:t>
      </w:r>
      <w:r>
        <w:rPr>
          <w:rFonts w:ascii="Times New Roman;serif" w:hAnsi="Times New Roman;serif"/>
          <w:b/>
          <w:i/>
          <w:color w:val="000000"/>
          <w:sz w:val="24"/>
        </w:rPr>
        <w:t>IRS</w:t>
      </w:r>
      <w:r>
        <w:rPr>
          <w:color w:val="000000"/>
        </w:rPr>
        <w:t>”</w:t>
      </w:r>
      <w:r>
        <w:rPr>
          <w:rFonts w:ascii="Times New Roman;serif" w:hAnsi="Times New Roman;serif"/>
          <w:b w:val="false"/>
          <w:color w:val="000000"/>
          <w:sz w:val="24"/>
        </w:rPr>
        <w:t>) or on any court. Accordingly, no assurance can be given that the IRS will not challenge the conclusions of the opinion set forth herein or that such a challenge would not be successful.</w:t>
      </w:r>
    </w:p>
    <w:p>
      <w:pPr>
        <w:pStyle w:val="TextBody"/>
        <w:bidi w:val="0"/>
        <w:spacing w:lineRule="atLeast" w:line="276" w:before="272" w:after="240"/>
        <w:ind w:left="0" w:right="0" w:firstLine="720"/>
        <w:jc w:val="both"/>
        <w:rPr/>
      </w:pPr>
      <w:r>
        <w:rPr>
          <w:rFonts w:ascii="Times New Roman;serif" w:hAnsi="Times New Roman;serif"/>
          <w:b w:val="false"/>
          <w:color w:val="000000"/>
          <w:sz w:val="24"/>
        </w:rPr>
        <w:t>Based on and subject to the foregoing, we are of the opinion that, commencing with the Company’s taxable year ended December 31, 2020, the Company has been organized and operated in conformity with the requirements for qualification and taxation as a real estate investment trust (a “</w:t>
      </w:r>
      <w:r>
        <w:rPr>
          <w:rFonts w:ascii="Times New Roman;serif" w:hAnsi="Times New Roman;serif"/>
          <w:b/>
          <w:i/>
          <w:color w:val="000000"/>
          <w:sz w:val="24"/>
        </w:rPr>
        <w:t>REIT</w:t>
      </w:r>
      <w:r>
        <w:rPr>
          <w:color w:val="000000"/>
        </w:rPr>
        <w:t>”</w:t>
      </w:r>
      <w:r>
        <w:rPr>
          <w:rFonts w:ascii="Times New Roman;serif" w:hAnsi="Times New Roman;serif"/>
          <w:b w:val="false"/>
          <w:color w:val="000000"/>
          <w:sz w:val="24"/>
        </w:rPr>
        <w:t xml:space="preserve">) under the Code, and its actual and proposed method of operation will enable the Company to meet, through the Company Merger Effective Time, the requirements for qualification and taxation as a REIT under the Code. </w:t>
      </w:r>
    </w:p>
    <w:p>
      <w:pPr>
        <w:pStyle w:val="TextBody"/>
        <w:bidi w:val="0"/>
        <w:spacing w:lineRule="atLeast" w:line="276" w:before="278"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than as expressly stated above, we express no opinion on any issue relating to the Company or to any investment therein or under any other law. Furthermore, the Company’s qualification as a REIT will depend upon the Company’s meeting, in its actual operations, the applicable asset composition, source of income, stockholder diversification, distribution and other requirements of the Code and Treasury Regulations necessary for a corporation to qualify as a REIT. We will not review these operations and no assurance can be given that the actual operations of the Company and any applicable affiliates will meet these requirements or the representations made to us with respect thereto. This opinion letter is being furnished to you solely in connection with the Registration Statement and is not to be used by any other person or for any other purpose without our prior written consent. </w:t>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w:t>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filing of this opinion with the SEC as an exhibit to the Registration Statement, and to the references to Mayer Brown LLP under the captions “U.S.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466" name="Frame4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6" w:before="276" w:after="240"/>
        <w:jc w:val="both"/>
        <w:rPr>
          <w:rFonts w:ascii="Times New Roman;serif" w:hAnsi="Times New Roman;serif"/>
          <w:b w:val="false"/>
          <w:color w:val="000000"/>
          <w:sz w:val="24"/>
        </w:rPr>
      </w:pPr>
      <w:r>
        <w:rPr>
          <w:rFonts w:ascii="Times New Roman;serif" w:hAnsi="Times New Roman;serif"/>
          <w:b w:val="false"/>
          <w:color w:val="000000"/>
          <w:sz w:val="24"/>
        </w:rPr>
        <w:t>Federal Income Tax Considerations” and “Legal Matters” in the Registration Statement. In giving such consent, we do not thereby admit that we are in the category of persons whose consent is required under Section 7 of the Securities Act of 1933, as amended, or the rules and regulations promulgated thereunder by the SEC.</w:t>
      </w:r>
    </w:p>
    <w:p>
      <w:pPr>
        <w:pStyle w:val="TextBody"/>
        <w:bidi w:val="0"/>
        <w:spacing w:before="276" w:after="240"/>
        <w:ind w:left="0" w:right="0" w:firstLine="720"/>
        <w:jc w:val="both"/>
        <w:rPr/>
      </w:pPr>
      <w:r>
        <w:rPr/>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tLeast" w:line="276" w:before="3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Mayer Brown LLP</w:t>
      </w:r>
    </w:p>
    <w:p>
      <w:pPr>
        <w:pStyle w:val="TextBody"/>
        <w:bidi w:val="0"/>
        <w:spacing w:lineRule="atLeast" w:line="276" w:before="3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Mayer Brown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drawing>
          <wp:inline distT="0" distB="0" distL="0" distR="0">
            <wp:extent cx="2190750" cy="266700"/>
            <wp:effectExtent l="0" t="0" r="0" b="0"/>
            <wp:docPr id="46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1" descr=""/>
                    <pic:cNvPicPr>
                      <a:picLocks noChangeAspect="1" noChangeArrowheads="1"/>
                    </pic:cNvPicPr>
                  </pic:nvPicPr>
                  <pic:blipFill>
                    <a:blip r:embed="rId96"/>
                    <a:stretch>
                      <a:fillRect/>
                    </a:stretch>
                  </pic:blipFill>
                  <pic:spPr bwMode="auto">
                    <a:xfrm>
                      <a:off x="0" y="0"/>
                      <a:ext cx="2190750" cy="266700"/>
                    </a:xfrm>
                    <a:prstGeom prst="rect">
                      <a:avLst/>
                    </a:prstGeom>
                  </pic:spPr>
                </pic:pic>
              </a:graphicData>
            </a:graphic>
          </wp:inline>
        </w:drawing>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468" name="Frame4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8.4</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Mayer Brown LLP</w:t>
            </w:r>
          </w:p>
          <w:p>
            <w:pPr>
              <w:pStyle w:val="TableContents"/>
              <w:bidi w:val="0"/>
              <w:spacing w:lineRule="auto" w:line="288" w:before="0" w:after="160"/>
              <w:jc w:val="right"/>
              <w:rPr>
                <w:rFonts w:ascii="Times New Roman;serif" w:hAnsi="Times New Roman;serif"/>
                <w:b w:val="false"/>
                <w:color w:val="000000"/>
                <w:sz w:val="17"/>
              </w:rPr>
            </w:pPr>
            <w:r>
              <w:rPr>
                <w:rFonts w:ascii="Times New Roman;serif" w:hAnsi="Times New Roman;serif"/>
                <w:b w:val="false"/>
                <w:color w:val="000000"/>
                <w:sz w:val="17"/>
              </w:rPr>
              <w:t>1221 Avenue of Americas</w:t>
              <w:br/>
              <w:t>New York, New York 10020-1001</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Main Tel (212) 506-2500</w:t>
              <w:br/>
              <w:t xml:space="preserve">Main Fax (212) 262-1910 </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www.mayerbrown.com</w:t>
            </w:r>
          </w:p>
          <w:p>
            <w:pPr>
              <w:pStyle w:val="TableContents"/>
              <w:bidi w:val="0"/>
              <w:spacing w:before="0" w:after="240"/>
              <w:jc w:val="right"/>
              <w:rPr/>
            </w:pPr>
            <w:r>
              <w:rPr/>
            </w:r>
          </w:p>
          <w:p>
            <w:pPr>
              <w:pStyle w:val="TableContents"/>
              <w:bidi w:val="0"/>
              <w:spacing w:before="0" w:after="240"/>
              <w:jc w:val="right"/>
              <w:rPr/>
            </w:pPr>
            <w:r>
              <w:rPr/>
            </w:r>
          </w:p>
          <w:p>
            <w:pPr>
              <w:pStyle w:val="TableContents"/>
              <w:bidi w:val="0"/>
              <w:spacing w:lineRule="auto" w:line="288" w:before="0" w:after="240"/>
              <w:jc w:val="right"/>
              <w:rPr>
                <w:rFonts w:ascii="Times New Roman;serif" w:hAnsi="Times New Roman;serif"/>
                <w:b w:val="false"/>
                <w:color w:val="000000"/>
                <w:sz w:val="17"/>
              </w:rPr>
            </w:pPr>
            <w:r>
              <w:rPr>
                <w:rFonts w:ascii="Times New Roman;serif" w:hAnsi="Times New Roman;serif"/>
                <w:b w:val="false"/>
                <w:color w:val="000000"/>
                <w:sz w:val="17"/>
              </w:rPr>
              <w:t>www.mayerbrown.com</w:t>
            </w:r>
          </w:p>
          <w:p>
            <w:pPr>
              <w:pStyle w:val="TableContents"/>
              <w:bidi w:val="0"/>
              <w:spacing w:lineRule="auto" w:line="288" w:before="0" w:after="0"/>
              <w:jc w:val="right"/>
              <w:rPr>
                <w:rFonts w:ascii="Times New Roman;serif" w:hAnsi="Times New Roman;serif"/>
                <w:b w:val="false"/>
                <w:color w:val="000000"/>
                <w:sz w:val="17"/>
              </w:rPr>
            </w:pPr>
            <w:r>
              <w:rPr>
                <w:rFonts w:ascii="Times New Roman;serif" w:hAnsi="Times New Roman;serif"/>
                <w:b w:val="false"/>
                <w:color w:val="000000"/>
                <w:sz w:val="17"/>
              </w:rPr>
              <w:t>F: +1 650 331 2060</w:t>
            </w:r>
          </w:p>
          <w:p>
            <w:pPr>
              <w:pStyle w:val="TableContents"/>
              <w:bidi w:val="0"/>
              <w:spacing w:lineRule="auto" w:line="288" w:before="0" w:after="0"/>
              <w:jc w:val="right"/>
              <w:rPr>
                <w:rFonts w:ascii="Times New Roman;serif" w:hAnsi="Times New Roman;serif"/>
                <w:b w:val="false"/>
                <w:color w:val="000000"/>
                <w:sz w:val="15"/>
              </w:rPr>
            </w:pPr>
            <w:r>
              <w:rPr>
                <w:rFonts w:ascii="Times New Roman;serif" w:hAnsi="Times New Roman;serif"/>
                <w:b w:val="false"/>
                <w:color w:val="000000"/>
                <w:sz w:val="15"/>
              </w:rPr>
              <w:t>mayerbrown.com</w:t>
            </w:r>
          </w:p>
          <w:p>
            <w:pPr>
              <w:pStyle w:val="TableContents"/>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Mayer Brown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4000 Route 66, Suite 310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New Jersey 07753</w:t>
      </w:r>
    </w:p>
    <w:p>
      <w:pPr>
        <w:pStyle w:val="TextBody"/>
        <w:bidi w:val="0"/>
        <w:spacing w:before="0" w:after="0"/>
        <w:jc w:val="left"/>
        <w:rPr/>
      </w:pPr>
      <w:r>
        <w:rPr/>
      </w:r>
    </w:p>
    <w:p>
      <w:pPr>
        <w:pStyle w:val="TextBody"/>
        <w:bidi w:val="0"/>
        <w:spacing w:lineRule="atLeast" w:line="271"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tLeast" w:line="275" w:before="282" w:after="240"/>
        <w:ind w:left="0" w:right="0" w:firstLine="792"/>
        <w:jc w:val="both"/>
        <w:rPr/>
      </w:pPr>
      <w:r>
        <w:rPr>
          <w:rFonts w:ascii="Times New Roman;serif" w:hAnsi="Times New Roman;serif"/>
          <w:b w:val="false"/>
          <w:color w:val="000000"/>
          <w:sz w:val="24"/>
        </w:rPr>
        <w:t>We have represented Cherry Hill Mortgage Investment Corporation, a Maryland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as tax counsel, in connection with the Agreement and Plan of Merger, dated as of August 9, 2026 (the “</w:t>
      </w:r>
      <w:r>
        <w:rPr>
          <w:rFonts w:ascii="Times New Roman;serif" w:hAnsi="Times New Roman;serif"/>
          <w:b/>
          <w:i/>
          <w:color w:val="000000"/>
          <w:sz w:val="24"/>
        </w:rPr>
        <w:t>Merger Agreement</w:t>
      </w:r>
      <w:r>
        <w:rPr>
          <w:color w:val="000000"/>
        </w:rPr>
        <w:t>”</w:t>
      </w:r>
      <w:r>
        <w:rPr>
          <w:rFonts w:ascii="Times New Roman;serif" w:hAnsi="Times New Roman;serif"/>
          <w:b w:val="false"/>
          <w:color w:val="000000"/>
          <w:sz w:val="24"/>
        </w:rPr>
        <w:t>), by and among the TPG Mortgage Investment Trust Inc. (“</w:t>
      </w:r>
      <w:r>
        <w:rPr>
          <w:rFonts w:ascii="Times New Roman;serif" w:hAnsi="Times New Roman;serif"/>
          <w:b/>
          <w:i/>
          <w:color w:val="000000"/>
          <w:sz w:val="24"/>
        </w:rPr>
        <w:t>Parent</w:t>
      </w:r>
      <w:r>
        <w:rPr>
          <w:color w:val="000000"/>
        </w:rPr>
        <w:t>”</w:t>
      </w:r>
      <w:r>
        <w:rPr>
          <w:rFonts w:ascii="Times New Roman;serif" w:hAnsi="Times New Roman;serif"/>
          <w:b w:val="false"/>
          <w:color w:val="000000"/>
          <w:sz w:val="24"/>
        </w:rPr>
        <w:t>), MIT Merger Sub II, LLC, a Delaware limited liability company and direct wholly owned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the Company, and Cherry Hill Operating Partnership, LP, a Delaware limited partnership (the “</w:t>
      </w:r>
      <w:r>
        <w:rPr>
          <w:rFonts w:ascii="Times New Roman;serif" w:hAnsi="Times New Roman;serif"/>
          <w:b/>
          <w:i/>
          <w:color w:val="000000"/>
          <w:sz w:val="24"/>
        </w:rPr>
        <w:t>Operating Partnership</w:t>
      </w:r>
      <w:r>
        <w:rPr>
          <w:color w:val="000000"/>
        </w:rPr>
        <w:t>”</w:t>
      </w:r>
      <w:r>
        <w:rPr>
          <w:rFonts w:ascii="Times New Roman;serif" w:hAnsi="Times New Roman;serif"/>
          <w:b w:val="false"/>
          <w:color w:val="000000"/>
          <w:sz w:val="24"/>
        </w:rPr>
        <w:t>), and, solely for the limited purposes set forth in the Merger Agreement, AG REIT Management, LLC, a Delaware limited liability company (“</w:t>
      </w:r>
      <w:r>
        <w:rPr>
          <w:rFonts w:ascii="Times New Roman;serif" w:hAnsi="Times New Roman;serif"/>
          <w:b/>
          <w:i/>
          <w:color w:val="000000"/>
          <w:sz w:val="24"/>
        </w:rPr>
        <w:t>Parent Manager</w:t>
      </w:r>
      <w:r>
        <w:rPr>
          <w:color w:val="000000"/>
        </w:rPr>
        <w:t>”</w:t>
      </w:r>
      <w:r>
        <w:rPr>
          <w:rFonts w:ascii="Times New Roman;serif" w:hAnsi="Times New Roman;serif"/>
          <w:b w:val="false"/>
          <w:color w:val="000000"/>
          <w:sz w:val="24"/>
        </w:rPr>
        <w:t>), as described in the registration statement on Form S-4, filed on the date hereof, with the Securities and Exchange Commission (the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and containing the proxy statement/prospectus of the Company (as amended through the date hereof,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As contemplated in the Merger Agreement, the Operating Partnership will merge with and into the Company (the “</w:t>
      </w:r>
      <w:r>
        <w:rPr>
          <w:rFonts w:ascii="Times New Roman;serif" w:hAnsi="Times New Roman;serif"/>
          <w:b/>
          <w:i/>
          <w:color w:val="000000"/>
          <w:sz w:val="24"/>
        </w:rPr>
        <w:t>Partnership Merger</w:t>
      </w:r>
      <w:r>
        <w:rPr>
          <w:color w:val="000000"/>
        </w:rPr>
        <w:t>”</w:t>
      </w:r>
      <w:r>
        <w:rPr>
          <w:rFonts w:ascii="Times New Roman;serif" w:hAnsi="Times New Roman;serif"/>
          <w:b w:val="false"/>
          <w:color w:val="000000"/>
          <w:sz w:val="24"/>
        </w:rPr>
        <w:t>), with the Company surviving the merger, and then the Company will merge with and into Merger Sub (the “</w:t>
      </w:r>
      <w:r>
        <w:rPr>
          <w:rFonts w:ascii="Times New Roman;serif" w:hAnsi="Times New Roman;serif"/>
          <w:b/>
          <w:i/>
          <w:color w:val="000000"/>
          <w:sz w:val="24"/>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i/>
          <w:color w:val="000000"/>
          <w:sz w:val="24"/>
        </w:rPr>
        <w:t>Mergers</w:t>
      </w:r>
      <w:r>
        <w:rPr>
          <w:color w:val="000000"/>
        </w:rPr>
        <w:t>”</w:t>
      </w:r>
      <w:r>
        <w:rPr>
          <w:rFonts w:ascii="Times New Roman;serif" w:hAnsi="Times New Roman;serif"/>
          <w:b w:val="false"/>
          <w:color w:val="000000"/>
          <w:sz w:val="24"/>
        </w:rPr>
        <w:t>), with Merger Sub surviving the merger as a wholly owned subsidiary of Parent. This opinion letter is being delivered to be filed as an exhibit to the Registration Statement. Capitalized terms used herein and not otherwise defined have the meanings set forth in the Merger Agreement. As tax counsel to the Company, we have examined and relied upon originals or copies of such agreements, instruments, certificates, records and other documents and have made such examination of law as we have deemed necessary or appropriate for the purpose of this letter, including the following:</w:t>
      </w:r>
    </w:p>
    <w:p>
      <w:pPr>
        <w:pStyle w:val="TextBody"/>
        <w:bidi w:val="0"/>
        <w:spacing w:lineRule="atLeast" w:line="279"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1.Copy of the Articles of Amendment and Restatement of the Company, as amended and supplemented, in the form filed with the Commission.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876935"/>
                <wp:effectExtent l="0" t="0" r="0" b="0"/>
                <wp:wrapNone/>
                <wp:docPr id="469" name="Frame448"/>
                <a:graphic xmlns:a="http://schemas.openxmlformats.org/drawingml/2006/main">
                  <a:graphicData uri="http://schemas.microsoft.com/office/word/2010/wordprocessingShape">
                    <wps:wsp>
                      <wps:cNvSpPr txBox="1"/>
                      <wps:spPr>
                        <a:xfrm>
                          <a:off x="0" y="0"/>
                          <a:ext cx="6480175" cy="876935"/>
                        </a:xfrm>
                        <a:prstGeom prst="rect"/>
                        <a:solidFill>
                          <a:srgbClr val="FFFFFF"/>
                        </a:solidFill>
                      </wps:spPr>
                      <wps:txbx>
                        <w:txbxContent>
                          <w:p>
                            <w:pPr>
                              <w:pStyle w:val="TextBody"/>
                              <w:bidi w:val="0"/>
                              <w:spacing w:lineRule="auto" w:line="288" w:before="120" w:after="283"/>
                              <w:jc w:val="center"/>
                              <w:rPr>
                                <w:rFonts w:ascii="Arial Narrow;sans-serif" w:hAnsi="Arial Narrow;sans-serif"/>
                                <w:b w:val="false"/>
                                <w:color w:val="000000"/>
                                <w:sz w:val="17"/>
                              </w:rPr>
                            </w:pPr>
                            <w:r>
                              <w:rPr>
                                <w:rFonts w:ascii="Arial Narrow;sans-serif" w:hAnsi="Arial Narrow;sans-serif"/>
                                <w:b w:val="false"/>
                                <w:color w:val="000000"/>
                                <w:sz w:val="17"/>
                              </w:rPr>
                              <w:t>Mayer Brown is a global services provider comprising an association of legal practices that are separate entities including</w:t>
                              <w:br/>
                              <w:t>Mayer Brown LLP (Illinois, USA), Mayer Brown International LLP (England &amp; Wales), Mayer Brown Hong Kong LLP (a Hong Kong limited liability partnership) and Tauil &amp; Chequer Advogados (a Brazilian law partnership).</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 Narrow;sans-serif" w:hAnsi="Arial Narrow;sans-serif"/>
                          <w:b w:val="false"/>
                          <w:color w:val="000000"/>
                          <w:sz w:val="17"/>
                        </w:rPr>
                      </w:pPr>
                      <w:r>
                        <w:rPr>
                          <w:rFonts w:ascii="Arial Narrow;sans-serif" w:hAnsi="Arial Narrow;sans-serif"/>
                          <w:b w:val="false"/>
                          <w:color w:val="000000"/>
                          <w:sz w:val="17"/>
                        </w:rPr>
                        <w:t>Mayer Brown is a global services provider comprising an association of legal practices that are separate entities including</w:t>
                        <w:br/>
                        <w:t>Mayer Brown LLP (Illinois, USA), Mayer Brown International LLP (England &amp; Wales), Mayer Brown Hong Kong LLP (a Hong Kong limited liability partnership) and Tauil &amp; Chequer Advogados (a Brazilian law partnership).</w:t>
                      </w:r>
                    </w:p>
                    <w:p>
                      <w:pPr>
                        <w:pStyle w:val="TextBody"/>
                        <w:bidi w:val="0"/>
                        <w:spacing w:before="0" w:after="0"/>
                        <w:jc w:val="left"/>
                        <w:rPr/>
                      </w:pPr>
                      <w:r>
                        <w:rPr/>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3"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2.Copy of the Amended and Restated Bylaws of the Company in the form filed with the Commission.</w:t>
      </w:r>
    </w:p>
    <w:p>
      <w:pPr>
        <w:pStyle w:val="TextBody"/>
        <w:bidi w:val="0"/>
        <w:spacing w:lineRule="atLeast" w:line="275" w:before="100" w:after="240"/>
        <w:ind w:left="0" w:right="0" w:hanging="216"/>
        <w:jc w:val="left"/>
        <w:rPr/>
      </w:pPr>
      <w:r>
        <w:rPr>
          <w:rFonts w:ascii="Times New Roman;serif" w:hAnsi="Times New Roman;serif"/>
          <w:b w:val="false"/>
          <w:color w:val="000000"/>
          <w:sz w:val="24"/>
        </w:rPr>
        <w:t>3.The certificates containing certain factual representations and covenants of Parent, Merger Sub and the Company (the “</w:t>
      </w:r>
      <w:r>
        <w:rPr>
          <w:rFonts w:ascii="Times New Roman;serif" w:hAnsi="Times New Roman;serif"/>
          <w:b/>
          <w:i/>
          <w:color w:val="000000"/>
          <w:sz w:val="24"/>
        </w:rPr>
        <w:t>Officer’s Certificates</w:t>
      </w:r>
      <w:r>
        <w:rPr>
          <w:color w:val="000000"/>
        </w:rPr>
        <w:t>”</w:t>
      </w:r>
      <w:r>
        <w:rPr>
          <w:rFonts w:ascii="Times New Roman;serif" w:hAnsi="Times New Roman;serif"/>
          <w:b w:val="false"/>
          <w:color w:val="000000"/>
          <w:sz w:val="24"/>
        </w:rPr>
        <w:t>) relating to, among other things, the past, current, and proposed operations of the Company and the entities in which it holds a direct or indirect interest.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4.A copy of the Registration Statement.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5.A copy of the Merger Agreement.</w:t>
      </w:r>
    </w:p>
    <w:p>
      <w:pPr>
        <w:pStyle w:val="TextBody"/>
        <w:bidi w:val="0"/>
        <w:spacing w:lineRule="atLeast" w:line="271" w:before="100" w:after="240"/>
        <w:ind w:left="0" w:right="0" w:hanging="216"/>
        <w:jc w:val="left"/>
        <w:rPr>
          <w:rFonts w:ascii="Times New Roman;serif" w:hAnsi="Times New Roman;serif"/>
          <w:b w:val="false"/>
          <w:color w:val="000000"/>
          <w:sz w:val="24"/>
        </w:rPr>
      </w:pPr>
      <w:r>
        <w:rPr>
          <w:rFonts w:ascii="Times New Roman;serif" w:hAnsi="Times New Roman;serif"/>
          <w:b w:val="false"/>
          <w:color w:val="000000"/>
          <w:sz w:val="24"/>
        </w:rPr>
        <w:t>6.Such other documentation or information provided to us by the Company, as we have deemed necessary or appropriate as a basis for our opinion set forth herein.</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Although we have made such inquiries and performed such investigations as we have deemed necessary for purposes of our opinion, we have not independently verified all of the facts, representations and covenants set forth in the Officer’s Certificates, the Registration Statement, the Merger Agreement or in any other document.</w:t>
      </w:r>
    </w:p>
    <w:p>
      <w:pPr>
        <w:pStyle w:val="TextBody"/>
        <w:bidi w:val="0"/>
        <w:spacing w:lineRule="atLeast" w:line="276" w:before="278" w:after="240"/>
        <w:ind w:left="0" w:right="0" w:firstLine="720"/>
        <w:jc w:val="both"/>
        <w:rPr/>
      </w:pPr>
      <w:r>
        <w:rPr>
          <w:rFonts w:ascii="Times New Roman;serif" w:hAnsi="Times New Roman;serif"/>
          <w:b w:val="false"/>
          <w:color w:val="000000"/>
          <w:sz w:val="24"/>
        </w:rPr>
        <w:t>We have relied on the factual statements, representations and covenants of Parent, Merger Sub and the Company contained in the Officer’s Certificates, the Registration Statement, the Merger Agreement and other documents. We have assumed that such factual statements, representations and covenants are true, accurate, and complete, without regard to any qualification as to knowledge or belief. In addition, we have assumed that the opinion of counsel to be delivered concurrently herewith with respect to the Company Merger as a reorganization within the meaning of Section 368(a) of the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pursuant to Section 7.2(e) of the Merger Agreement has not been and will not be modified or withdrawn.</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conditioned on, among other things, the initial and continuing accuracy of the factual information, covenants and representations set forth in the Registration Statement, the Merger Agreement and the Officer’s Certificates and the representations made by representatives of Parent, Merger Sub and the Company, without regard to any qualifications therein. Any change or inaccuracy in the facts referred to, set forth or assumed herein or in the Officer’s Certificates may affect our conclusions set forth herein.</w:t>
      </w:r>
    </w:p>
    <w:p>
      <w:pPr>
        <w:pStyle w:val="TextBody"/>
        <w:bidi w:val="0"/>
        <w:spacing w:lineRule="atLeast" w:line="276" w:before="274"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also based on the correctness of the following assumptions: (i) the Company and each of the entities in which the Company holds a direct or indirect interest have been and will continue to be operated in accordance with the laws of the jurisdictions in which they were formed and in the manner described in the relevant organizational documents,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470" name="Frame4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(ii) there will be no changes in the applicable laws of the State of Maryland or of any other jurisdiction under the laws of which any such entity has been formed, and (iii) each of the written agreements to which the Company or any such entity is a party will be implemented, construed and enforced in accordance with its terms.</w:t>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rendering our opinion, we have also considered the applicable provisions of the Code, the Treasury Regulations promulgated thereunder, judicial decisions, administrative rulings and other applicable authorities, in each case as in effect on the date hereof. The statutory provisions, regulations, decisions, rulings and other authorities on which this opinion is based are subject to change, and such changes could apply retroactively. A material change that is made after the date hereof in any of the foregoing bases for our opinion could affect our conclusions set forth herein.</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or photostatic copies, and (v) the authenticity of the originals of such copies.</w:t>
      </w:r>
    </w:p>
    <w:p>
      <w:pPr>
        <w:pStyle w:val="TextBody"/>
        <w:bidi w:val="0"/>
        <w:spacing w:lineRule="atLeast" w:line="275" w:before="280" w:after="240"/>
        <w:ind w:left="0" w:right="0" w:firstLine="720"/>
        <w:jc w:val="both"/>
        <w:rPr/>
      </w:pPr>
      <w:r>
        <w:rPr>
          <w:rFonts w:ascii="Times New Roman;serif" w:hAnsi="Times New Roman;serif"/>
          <w:b w:val="false"/>
          <w:color w:val="000000"/>
          <w:sz w:val="24"/>
        </w:rPr>
        <w:t>This opinion shall not be construed as or deemed to be a guaranty or insuring agreement. Opinions of special tax counsel represent only special tax counsel’s best legal judgment and are not binding on the Internal Revenue Service (“</w:t>
      </w:r>
      <w:r>
        <w:rPr>
          <w:rFonts w:ascii="Times New Roman;serif" w:hAnsi="Times New Roman;serif"/>
          <w:b/>
          <w:i/>
          <w:color w:val="000000"/>
          <w:sz w:val="24"/>
        </w:rPr>
        <w:t>IRS</w:t>
      </w:r>
      <w:r>
        <w:rPr>
          <w:color w:val="000000"/>
        </w:rPr>
        <w:t>”</w:t>
      </w:r>
      <w:r>
        <w:rPr>
          <w:rFonts w:ascii="Times New Roman;serif" w:hAnsi="Times New Roman;serif"/>
          <w:b w:val="false"/>
          <w:color w:val="000000"/>
          <w:sz w:val="24"/>
        </w:rPr>
        <w:t>) or on any court. Accordingly, no assurance can be given that the IRS will not challenge the conclusions of the opinion set forth herein or that such a challenge would not be successful.</w:t>
      </w:r>
    </w:p>
    <w:p>
      <w:pPr>
        <w:pStyle w:val="TextBody"/>
        <w:bidi w:val="0"/>
        <w:spacing w:lineRule="atLeast" w:line="276" w:before="272"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on and subject to the foregoing, we are of the opinion that (i) the Company Merger, when effective, will qualify as a reorganization under, and with the meaning of, Section 368(a) of the Code, and (ii) the Company, Parent, and Merger Sub will each be a party to that reorganization with the meaning of Section 368(b) of the Code.</w:t>
      </w:r>
    </w:p>
    <w:p>
      <w:pPr>
        <w:pStyle w:val="TextBody"/>
        <w:bidi w:val="0"/>
        <w:spacing w:lineRule="atLeast" w:line="276" w:before="278"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Other than as expressly stated above, we express no opinion on any issue or matter relating to the tax consequences of the transactions contemplated by the Merger Agreement or the Registration Statement other than the opinion set forth above. This opinion letter is being furnished to you solely in connection with the Registration Statement and is not to be used by any other person or for any other purpose without our prior written consent. </w:t>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 addition, our opinion is being delivered prior to the consummation of the Company Merger and therefore is prospective and dependent on future events.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71" name="Frame4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9" w:type="dxa"/>
        <w:jc w:val="left"/>
        <w:tblInd w:w="0" w:type="dxa"/>
        <w:tblLayout w:type="fixed"/>
        <w:tblCellMar>
          <w:top w:w="28" w:type="dxa"/>
          <w:left w:w="28" w:type="dxa"/>
          <w:bottom w:w="28" w:type="dxa"/>
          <w:right w:w="28" w:type="dxa"/>
        </w:tblCellMar>
      </w:tblPr>
      <w:tblGrid>
        <w:gridCol w:w="1616"/>
        <w:gridCol w:w="1425"/>
        <w:gridCol w:w="1428"/>
        <w:gridCol w:w="304"/>
        <w:gridCol w:w="304"/>
        <w:gridCol w:w="432"/>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50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tc>
        <w:tc>
          <w:tcPr>
            <w:tcW w:w="1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October 2, 2026</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with the SEC as an exhibit to the Registration Statement, and to the references to Mayer Brown LLP under the caption “Legal Matters” in the Registration Statement. In giving such consent, we do not thereby admit that we are in the category of persons whose consent is required under Section 7 of the Securities Act of 1933, as amended, or the rules and regulations promulgated thereunder by the SEC.</w:t>
      </w:r>
    </w:p>
    <w:p>
      <w:pPr>
        <w:pStyle w:val="TextBody"/>
        <w:bidi w:val="0"/>
        <w:spacing w:lineRule="atLeast" w:line="276" w:before="276"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tLeast" w:line="276" w:before="3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Mayer Brown LLP</w:t>
      </w:r>
    </w:p>
    <w:p>
      <w:pPr>
        <w:pStyle w:val="TextBody"/>
        <w:bidi w:val="0"/>
        <w:spacing w:lineRule="atLeast" w:line="276" w:before="3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Mayer Brown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472" name="Frame4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93" w:before="0" w:after="0"/>
        <w:jc w:val="center"/>
        <w:rPr>
          <w:rFonts w:ascii="Roboto;sans-serif" w:hAnsi="Roboto;sans-serif"/>
          <w:b w:val="false"/>
          <w:color w:val="000000"/>
          <w:sz w:val="21"/>
          <w:u w:val="single"/>
        </w:rPr>
      </w:pPr>
      <w:r>
        <w:rPr>
          <w:rFonts w:ascii="Roboto;sans-serif" w:hAnsi="Roboto;sans-serif"/>
          <w:b w:val="false"/>
          <w:color w:val="000000"/>
          <w:sz w:val="21"/>
          <w:u w:val="single"/>
        </w:rPr>
        <w:t>CONSENT OF INDEPENDENT REGISTERED PUBLIC ACCOUNTING FIRM</w:t>
      </w:r>
    </w:p>
    <w:p>
      <w:pPr>
        <w:pStyle w:val="TextBody"/>
        <w:bidi w:val="0"/>
        <w:spacing w:before="0" w:after="0"/>
        <w:jc w:val="center"/>
        <w:rPr/>
      </w:pPr>
      <w:r>
        <w:rPr/>
      </w:r>
    </w:p>
    <w:p>
      <w:pPr>
        <w:pStyle w:val="TextBody"/>
        <w:bidi w:val="0"/>
        <w:spacing w:lineRule="auto" w:line="256" w:before="0" w:after="0"/>
        <w:jc w:val="left"/>
        <w:rPr>
          <w:rFonts w:ascii="Roboto;sans-serif" w:hAnsi="Roboto;sans-serif"/>
          <w:b w:val="false"/>
          <w:color w:val="000000"/>
          <w:sz w:val="21"/>
        </w:rPr>
      </w:pPr>
      <w:r>
        <w:rPr>
          <w:rFonts w:ascii="Roboto;sans-serif" w:hAnsi="Roboto;sans-serif"/>
          <w:b w:val="false"/>
          <w:color w:val="000000"/>
          <w:sz w:val="21"/>
        </w:rPr>
        <w:t>We consent to the incorporation by reference in this Registration Statement No. 333-298954 on Form S-4 of our report dated February 25, 2026 relating to the financial statements of TPG Mortgage Investment Trust, Inc. and the effectiveness of TPG Mortgage Investment Trust, Inc.'s internal control over financial reporting, appearing in the Annual Report on Form 10-K of TPG Mortgage Investment Trust, Inc.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1"/>
        </w:rPr>
      </w:pPr>
      <w:r>
        <w:rPr>
          <w:rFonts w:ascii="Roboto;sans-serif" w:hAnsi="Roboto;sans-serif"/>
          <w:b w:val="false"/>
          <w:color w:val="000000"/>
          <w:sz w:val="21"/>
        </w:rPr>
        <w:t>/s/ DELOITTE &amp; TOUCHE LLP    </w:t>
      </w:r>
    </w:p>
    <w:p>
      <w:pPr>
        <w:pStyle w:val="TextBody"/>
        <w:bidi w:val="0"/>
        <w:spacing w:lineRule="auto" w:line="288" w:before="0" w:after="0"/>
        <w:jc w:val="left"/>
        <w:rPr>
          <w:rFonts w:ascii="Roboto;sans-serif" w:hAnsi="Roboto;sans-serif"/>
          <w:b w:val="false"/>
          <w:color w:val="000000"/>
          <w:sz w:val="21"/>
        </w:rPr>
      </w:pPr>
      <w:r>
        <w:rPr>
          <w:rFonts w:ascii="Roboto;sans-serif" w:hAnsi="Roboto;sans-serif"/>
          <w:b w:val="false"/>
          <w:color w:val="000000"/>
          <w:sz w:val="21"/>
        </w:rPr>
        <w:t>New York, New York    </w:t>
      </w:r>
    </w:p>
    <w:p>
      <w:pPr>
        <w:pStyle w:val="TextBody"/>
        <w:bidi w:val="0"/>
        <w:spacing w:lineRule="auto" w:line="288"/>
        <w:jc w:val="left"/>
        <w:rPr>
          <w:rFonts w:ascii="Roboto;sans-serif" w:hAnsi="Roboto;sans-serif"/>
          <w:b w:val="false"/>
          <w:color w:val="000000"/>
          <w:sz w:val="21"/>
        </w:rPr>
      </w:pPr>
      <w:r>
        <w:rPr>
          <w:rFonts w:ascii="Roboto;sans-serif" w:hAnsi="Roboto;sans-serif"/>
          <w:b w:val="false"/>
          <w:color w:val="000000"/>
          <w:sz w:val="21"/>
        </w:rPr>
        <w:t>October 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23.2</w:t>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73" name="Frame4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caption "Experts" and to the use of our reports dated March 5, 2026, with respect to the consolidated financial statements of Cherry Hill Mortgage Investment Corporation and the effectiveness of internal control over financial reporting of Cherry Hill Mortgage Investment Corporation included in the Registration Statement (Form S-4 No. 333-298954) of TPG Mortgage Investment Trust, Inc. and related joint proxy statement/prospectus of TPG Mortgage Investment Trust, Inc. and Cherry Hill Mortgage Investment Corporation for the registration of TPG Mortgage Investment Trust, Inc’s. common stock and preferred stock.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October 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74" name="Frame4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4757" w:type="dxa"/>
        <w:jc w:val="right"/>
        <w:tblInd w:w="0" w:type="dxa"/>
        <w:tblLayout w:type="fixed"/>
        <w:tblCellMar>
          <w:top w:w="28" w:type="dxa"/>
          <w:left w:w="28" w:type="dxa"/>
          <w:bottom w:w="28" w:type="dxa"/>
          <w:right w:w="28" w:type="dxa"/>
        </w:tblCellMar>
      </w:tblPr>
      <w:tblGrid>
        <w:gridCol w:w="387"/>
        <w:gridCol w:w="340"/>
        <w:gridCol w:w="340"/>
        <w:gridCol w:w="340"/>
        <w:gridCol w:w="340"/>
        <w:gridCol w:w="340"/>
        <w:gridCol w:w="782"/>
        <w:gridCol w:w="782"/>
        <w:gridCol w:w="1106"/>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4757" w:type="dxa"/>
            <w:gridSpan w:val="9"/>
            <w:tcBorders>
              <w:right w:val="single" w:sz="4" w:space="0" w:color="3F97B5"/>
            </w:tcBorders>
            <w:tcMar>
              <w:top w:w="0" w:type="dxa"/>
              <w:left w:w="0" w:type="dxa"/>
              <w:bottom w:w="0" w:type="dxa"/>
            </w:tcMar>
            <w:vAlign w:val="center"/>
          </w:tcPr>
          <w:p>
            <w:pPr>
              <w:pStyle w:val="TableContents"/>
              <w:bidi w:val="0"/>
              <w:spacing w:lineRule="auto" w:line="288" w:before="0" w:after="0"/>
              <w:jc w:val="right"/>
              <w:rPr/>
            </w:pPr>
            <w:r>
              <w:rPr>
                <w:rFonts w:ascii="HelveticaNeueLT Std;sans-serif" w:hAnsi="HelveticaNeueLT Std;sans-serif"/>
                <w:b w:val="false"/>
                <w:color w:val="000000"/>
                <w:sz w:val="14"/>
              </w:rPr>
              <w:t>1251 AVENUE OF THE AMERICAS, 6</w:t>
            </w:r>
            <w:r>
              <w:rPr>
                <w:rFonts w:ascii="HelveticaNeueLT Std;sans-serif" w:hAnsi="HelveticaNeueLT Std;sans-serif"/>
                <w:b w:val="false"/>
                <w:color w:val="000000"/>
                <w:sz w:val="9"/>
              </w:rPr>
              <w:t>TH</w:t>
            </w:r>
            <w:r>
              <w:rPr>
                <w:color w:val="000000"/>
              </w:rPr>
              <w:t xml:space="preserve"> </w:t>
            </w:r>
            <w:r>
              <w:rPr>
                <w:rFonts w:ascii="HelveticaNeueLT Std;sans-serif" w:hAnsi="HelveticaNeueLT Std;sans-serif"/>
                <w:b w:val="false"/>
                <w:color w:val="000000"/>
                <w:sz w:val="14"/>
              </w:rPr>
              <w:t>FLOOR</w:t>
              <w:br/>
              <w:t>NEW YORK, NY 10020</w:t>
            </w:r>
          </w:p>
        </w:tc>
      </w:tr>
      <w:tr>
        <w:trPr/>
        <w:tc>
          <w:tcPr>
            <w:tcW w:w="106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20"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2670" w:type="dxa"/>
            <w:gridSpan w:val="3"/>
            <w:tcBorders>
              <w:right w:val="single" w:sz="4" w:space="0" w:color="3F97B5"/>
            </w:tcBorders>
            <w:tcMar>
              <w:top w:w="0" w:type="dxa"/>
              <w:left w:w="0" w:type="dxa"/>
              <w:bottom w:w="0" w:type="dxa"/>
            </w:tcMar>
            <w:vAlign w:val="center"/>
          </w:tcPr>
          <w:p>
            <w:pPr>
              <w:pStyle w:val="TableContents"/>
              <w:bidi w:val="0"/>
              <w:spacing w:lineRule="auto" w:line="288" w:before="0" w:after="0"/>
              <w:jc w:val="right"/>
              <w:rPr/>
            </w:pPr>
            <w:r>
              <w:rPr>
                <w:rFonts w:ascii="HelveticaNeueLT Std;sans-serif" w:hAnsi="HelveticaNeueLT Std;sans-serif"/>
                <w:b/>
                <w:color w:val="000000"/>
                <w:sz w:val="14"/>
              </w:rPr>
              <w:t>P</w:t>
            </w:r>
            <w:r>
              <w:rPr>
                <w:color w:val="000000"/>
              </w:rPr>
              <w:t xml:space="preserve"> </w:t>
            </w:r>
            <w:r>
              <w:rPr>
                <w:rFonts w:ascii="HelveticaNeueLT Std;sans-serif" w:hAnsi="HelveticaNeueLT Std;sans-serif"/>
                <w:b w:val="false"/>
                <w:color w:val="000000"/>
                <w:sz w:val="14"/>
              </w:rPr>
              <w:t xml:space="preserve">212 466-7800 | </w:t>
            </w:r>
            <w:r>
              <w:rPr>
                <w:rFonts w:ascii="HelveticaNeueLT Std;sans-serif" w:hAnsi="HelveticaNeueLT Std;sans-serif"/>
                <w:b/>
                <w:color w:val="000000"/>
                <w:sz w:val="14"/>
              </w:rPr>
              <w:t>TF</w:t>
            </w:r>
            <w:r>
              <w:rPr>
                <w:color w:val="000000"/>
              </w:rPr>
              <w:t xml:space="preserve"> </w:t>
            </w:r>
            <w:r>
              <w:rPr>
                <w:rFonts w:ascii="HelveticaNeueLT Std;sans-serif" w:hAnsi="HelveticaNeueLT Std;sans-serif"/>
                <w:b w:val="false"/>
                <w:color w:val="000000"/>
                <w:sz w:val="14"/>
              </w:rPr>
              <w:t>800 635-6851</w:t>
            </w:r>
          </w:p>
        </w:tc>
      </w:tr>
      <w:tr>
        <w:trPr/>
        <w:tc>
          <w:tcPr>
            <w:tcW w:w="4757" w:type="dxa"/>
            <w:gridSpan w:val="9"/>
            <w:tcBorders>
              <w:right w:val="single" w:sz="4" w:space="0" w:color="3F97B5"/>
            </w:tcBorders>
            <w:tcMar>
              <w:top w:w="0" w:type="dxa"/>
              <w:left w:w="0" w:type="dxa"/>
              <w:bottom w:w="0" w:type="dxa"/>
            </w:tcMar>
            <w:vAlign w:val="center"/>
          </w:tcPr>
          <w:p>
            <w:pPr>
              <w:pStyle w:val="TableContents"/>
              <w:bidi w:val="0"/>
              <w:spacing w:lineRule="auto" w:line="288" w:before="0" w:after="0"/>
              <w:jc w:val="right"/>
              <w:rPr>
                <w:rFonts w:ascii="HelveticaNeueLT Std;sans-serif" w:hAnsi="HelveticaNeueLT Std;sans-serif"/>
                <w:b w:val="false"/>
                <w:color w:val="000000"/>
                <w:sz w:val="12"/>
              </w:rPr>
            </w:pPr>
            <w:r>
              <w:rPr>
                <w:rFonts w:ascii="HelveticaNeueLT Std;sans-serif" w:hAnsi="HelveticaNeueLT Std;sans-serif"/>
                <w:b w:val="false"/>
                <w:color w:val="000000"/>
                <w:sz w:val="12"/>
              </w:rPr>
              <w:t xml:space="preserve">Piper Sandler &amp; Co. </w:t>
              <w:br/>
              <w:t>Since 1895. Member SIPC and NYSE.</w:t>
            </w:r>
          </w:p>
        </w:tc>
      </w:tr>
    </w:tbl>
    <w:p>
      <w:pPr>
        <w:pStyle w:val="TextBody"/>
        <w:bidi w:val="0"/>
        <w:spacing w:before="0" w:after="0"/>
        <w:jc w:val="left"/>
        <w:rPr/>
      </w:pPr>
      <w:r>
        <w:rPr/>
        <w:drawing>
          <wp:inline distT="0" distB="0" distL="0" distR="0">
            <wp:extent cx="2076450" cy="304800"/>
            <wp:effectExtent l="0" t="0" r="0" b="0"/>
            <wp:docPr id="47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2" descr=""/>
                    <pic:cNvPicPr>
                      <a:picLocks noChangeAspect="1" noChangeArrowheads="1"/>
                    </pic:cNvPicPr>
                  </pic:nvPicPr>
                  <pic:blipFill>
                    <a:blip r:embed="rId97"/>
                    <a:stretch>
                      <a:fillRect/>
                    </a:stretch>
                  </pic:blipFill>
                  <pic:spPr bwMode="auto">
                    <a:xfrm>
                      <a:off x="0" y="0"/>
                      <a:ext cx="2076450" cy="304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PIPER SANDLER &amp; CO.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900"/>
        <w:jc w:val="both"/>
        <w:rPr>
          <w:rFonts w:ascii="Times New Roman;serif" w:hAnsi="Times New Roman;serif"/>
          <w:b w:val="false"/>
          <w:color w:val="000000"/>
          <w:sz w:val="24"/>
        </w:rPr>
      </w:pPr>
      <w:r>
        <w:rPr>
          <w:rFonts w:ascii="Times New Roman;serif" w:hAnsi="Times New Roman;serif"/>
          <w:b w:val="false"/>
          <w:color w:val="000000"/>
          <w:sz w:val="24"/>
        </w:rPr>
        <w:t>We hereby consent to the inclusion of our opinion letter to the Board of Directors of TPG Mortgage Investment Trust, Inc. (the “Company”) as an Annex to the Joint Proxy Statement/Prospectus relating to the proposed merger of the Company with Cherry Hill Mortgage Investment Corporation contained in Amendment No. 1 to the Registration Statement on Form S-4, as filed with the Securities and Exchange Commission, and to references to such opinion and the quotation or summarization of such opinion in such Joint Proxy Statement/Prospectus and Amendment No. 1 to the Registration Statement. In giving such consent, we do not admit that we come within the category of persons whose consent is required under Section 7 of the Securities Act of 1933, as amended (the “Act”), or the rules and regulations of the Securities and Exchange Commission thereunder (the “Regulations”), nor do we admit that we are experts with respect to any part of such Joint Proxy Statement/Prospectus and Amendment No. 1 to the Registration Statement within the meaning of the term “experts” as used in the Act or the Regulations.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Piper Sandler &amp; Co.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76" name="Frame4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BTIG, LLC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October 2,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Board of Directors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Cherry Hill Mortgage Investment Corporation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4000 Route 66, Suite 310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Tinton Falls, New Jersey 07753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Members of the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hereby consent to (i) the inclusion of our opinion letter, dated August 9, 2026, to the Board of Directors of Cherry Hill Mortgage Investment Corporation (“CHMI”) as Annex E to the joint proxy statement/prospectus of CHMI and TPG Mortgage Investment Trust, Inc. (“MITT”) relating to (i) the proposed merger of Cherry Hill Operating Partnership, LP with and into CHMI and (ii) the proposed merger of CHMI with and into MIT Merger Sub II, LLC, a wholly owned subsidiary of MITT (the “Proxy Statement/Prospectus”), which Proxy Statement/Prospectus forms a part of MITT’s Amendment No. 1 to the Registration Statement on Form S-4 dated October 2, 2026 (the “Registration Statement”) to which this consent is filed as an exhibit, and (ii) the references to such opinion and to our firm in such Proxy Statement/Prospectus under the headings “Summary— Opinion of CHMI’s Financial Advisor,” “The Mergers—Background of the Mergers,” “The Mergers— Recommendation of the CHMI Board and Its Reasons for the Mergers,” “The Merger— Opinion of CHMI’s Financial Advisor,” and “The Mergers— Certain CHMI Unaudited Prospective Financial Information.” Notwithstanding the foregoing, it is understood that our consent is being delivered solely in connection with the filing of the aforementioned Registration Statement being filed with the Securities and Exchange Commission as of the date hereof and not to any other amendments or supplements thereto.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pStyle w:val="TextBody"/>
        <w:bidi w:val="0"/>
        <w:spacing w:before="0" w:after="0"/>
        <w:jc w:val="both"/>
        <w:rPr/>
      </w:pPr>
      <w:r>
        <w:rPr/>
      </w:r>
    </w:p>
    <w:p>
      <w:pPr>
        <w:pStyle w:val="TextBody"/>
        <w:bidi w:val="0"/>
        <w:spacing w:lineRule="auto" w:line="288" w:before="480" w:after="283"/>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88" w:before="480" w:after="283"/>
        <w:jc w:val="both"/>
        <w:rPr>
          <w:rFonts w:ascii="Times New Roman;serif" w:hAnsi="Times New Roman;serif"/>
          <w:b w:val="false"/>
          <w:color w:val="000000"/>
          <w:sz w:val="20"/>
        </w:rPr>
      </w:pPr>
      <w:r>
        <w:rPr>
          <w:rFonts w:ascii="Times New Roman;serif" w:hAnsi="Times New Roman;serif"/>
          <w:b w:val="false"/>
          <w:color w:val="000000"/>
          <w:sz w:val="20"/>
        </w:rPr>
        <w:t>/s/ BTIG, LLC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BTIG,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77" name="Frame4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99.3</w:t>
      </w:r>
    </w:p>
    <w:p>
      <w:pPr>
        <w:pStyle w:val="TextBody"/>
        <w:bidi w:val="0"/>
        <w:spacing w:before="0" w:after="283"/>
        <w:jc w:val="left"/>
        <w:rPr/>
      </w:pPr>
      <w:r>
        <w:rPr/>
        <w:drawing>
          <wp:inline distT="0" distB="0" distL="0" distR="0">
            <wp:extent cx="6496050" cy="8410575"/>
            <wp:effectExtent l="0" t="0" r="0" b="0"/>
            <wp:docPr id="47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3" descr=""/>
                    <pic:cNvPicPr>
                      <a:picLocks noChangeAspect="1" noChangeArrowheads="1"/>
                    </pic:cNvPicPr>
                  </pic:nvPicPr>
                  <pic:blipFill>
                    <a:blip r:embed="rId98"/>
                    <a:stretch>
                      <a:fillRect/>
                    </a:stretch>
                  </pic:blipFill>
                  <pic:spPr bwMode="auto">
                    <a:xfrm>
                      <a:off x="0" y="0"/>
                      <a:ext cx="6496050" cy="8410575"/>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79" name="Frame4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429375" cy="8315325"/>
            <wp:effectExtent l="0" t="0" r="0" b="0"/>
            <wp:docPr id="48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4" descr=""/>
                    <pic:cNvPicPr>
                      <a:picLocks noChangeAspect="1" noChangeArrowheads="1"/>
                    </pic:cNvPicPr>
                  </pic:nvPicPr>
                  <pic:blipFill>
                    <a:blip r:embed="rId99"/>
                    <a:stretch>
                      <a:fillRect/>
                    </a:stretch>
                  </pic:blipFill>
                  <pic:spPr bwMode="auto">
                    <a:xfrm>
                      <a:off x="0" y="0"/>
                      <a:ext cx="6429375" cy="8315325"/>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81" name="Frame4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429375" cy="8315325"/>
            <wp:effectExtent l="0" t="0" r="0" b="0"/>
            <wp:docPr id="48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5" descr=""/>
                    <pic:cNvPicPr>
                      <a:picLocks noChangeAspect="1" noChangeArrowheads="1"/>
                    </pic:cNvPicPr>
                  </pic:nvPicPr>
                  <pic:blipFill>
                    <a:blip r:embed="rId100"/>
                    <a:stretch>
                      <a:fillRect/>
                    </a:stretch>
                  </pic:blipFill>
                  <pic:spPr bwMode="auto">
                    <a:xfrm>
                      <a:off x="0" y="0"/>
                      <a:ext cx="6429375" cy="831532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83" name="Frame4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99.4</w:t>
      </w:r>
    </w:p>
    <w:p>
      <w:pPr>
        <w:pStyle w:val="TextBody"/>
        <w:bidi w:val="0"/>
        <w:spacing w:before="0" w:after="283"/>
        <w:jc w:val="left"/>
        <w:rPr/>
      </w:pPr>
      <w:r>
        <w:rPr/>
        <w:drawing>
          <wp:inline distT="0" distB="0" distL="0" distR="0">
            <wp:extent cx="6496050" cy="8410575"/>
            <wp:effectExtent l="0" t="0" r="0" b="0"/>
            <wp:docPr id="4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6" descr=""/>
                    <pic:cNvPicPr>
                      <a:picLocks noChangeAspect="1" noChangeArrowheads="1"/>
                    </pic:cNvPicPr>
                  </pic:nvPicPr>
                  <pic:blipFill>
                    <a:blip r:embed="rId101"/>
                    <a:stretch>
                      <a:fillRect/>
                    </a:stretch>
                  </pic:blipFill>
                  <pic:spPr bwMode="auto">
                    <a:xfrm>
                      <a:off x="0" y="0"/>
                      <a:ext cx="6496050" cy="8410575"/>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85" name="Frame4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496050" cy="8410575"/>
            <wp:effectExtent l="0" t="0" r="0" b="0"/>
            <wp:docPr id="48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7" descr=""/>
                    <pic:cNvPicPr>
                      <a:picLocks noChangeAspect="1" noChangeArrowheads="1"/>
                    </pic:cNvPicPr>
                  </pic:nvPicPr>
                  <pic:blipFill>
                    <a:blip r:embed="rId102"/>
                    <a:stretch>
                      <a:fillRect/>
                    </a:stretch>
                  </pic:blipFill>
                  <pic:spPr bwMode="auto">
                    <a:xfrm>
                      <a:off x="0" y="0"/>
                      <a:ext cx="6496050" cy="84105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87" name="Frame4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NeueLT Std">
    <w:altName w:val="sans-serif"/>
    <w:charset w:val="01"/>
    <w:family w:val="auto"/>
    <w:pitch w:val="default"/>
  </w:font>
  <w:font w:name="Arial">
    <w:altName w:val="sans-serif"/>
    <w:charset w:val="01"/>
    <w:family w:val="auto"/>
    <w:pitch w:val="default"/>
  </w:font>
  <w:font w:name="Arial Narrow">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jpeg"/><Relationship Id="rId8" Type="http://schemas.openxmlformats.org/officeDocument/2006/relationships/hyperlink" Target="https://www.sec.gov/Archives/edgar/data/1514281/000162828026054986/mitt-8x10x26exhibit21.htm" TargetMode="External"/><Relationship Id="rId9" Type="http://schemas.openxmlformats.org/officeDocument/2006/relationships/hyperlink" Target="https://www.sec.gov/Archives/edgar/data/1514281/000162828026054986/mitt-8x10x26exhibit21.htm" TargetMode="External"/><Relationship Id="rId10" Type="http://schemas.openxmlformats.org/officeDocument/2006/relationships/hyperlink" Target="https://www.sec.gov/Archives/edgar/data/1514281/000119312511100286/dex31.htm" TargetMode="External"/><Relationship Id="rId11" Type="http://schemas.openxmlformats.org/officeDocument/2006/relationships/hyperlink" Target="https://www.sec.gov/Archives/edgar/data/1514281/000119312511100286/dex31.htm" TargetMode="External"/><Relationship Id="rId12" Type="http://schemas.openxmlformats.org/officeDocument/2006/relationships/hyperlink" Target="https://www.sec.gov/Archives/edgar/data/1514281/000119312517161247/d334144dex31.htm" TargetMode="External"/><Relationship Id="rId13" Type="http://schemas.openxmlformats.org/officeDocument/2006/relationships/hyperlink" Target="https://www.sec.gov/Archives/edgar/data/1514281/000119312517161247/d334144dex31.htm" TargetMode="External"/><Relationship Id="rId14" Type="http://schemas.openxmlformats.org/officeDocument/2006/relationships/hyperlink" Target="https://www.sec.gov/Archives/edgar/data/1514281/000162828025057427/a8k-121625xexhibit32.htm" TargetMode="External"/><Relationship Id="rId15" Type="http://schemas.openxmlformats.org/officeDocument/2006/relationships/hyperlink" Target="https://www.sec.gov/Archives/edgar/data/1514281/000162828025057427/a8k-121625xexhibit32.htm" TargetMode="External"/><Relationship Id="rId16" Type="http://schemas.openxmlformats.org/officeDocument/2006/relationships/hyperlink" Target="https://www.sec.gov/Archives/edgar/data/1514281/000119312512331404/d389692dex31.htm" TargetMode="External"/><Relationship Id="rId17" Type="http://schemas.openxmlformats.org/officeDocument/2006/relationships/hyperlink" Target="https://www.sec.gov/Archives/edgar/data/1514281/000119312512331404/d389692dex31.htm" TargetMode="External"/><Relationship Id="rId18" Type="http://schemas.openxmlformats.org/officeDocument/2006/relationships/hyperlink" Target="https://www.sec.gov/Archives/edgar/data/1514281/000119312512400232/d414755dex31.htm" TargetMode="External"/><Relationship Id="rId19" Type="http://schemas.openxmlformats.org/officeDocument/2006/relationships/hyperlink" Target="https://www.sec.gov/Archives/edgar/data/1514281/000119312512400232/d414755dex31.htm" TargetMode="External"/><Relationship Id="rId20" Type="http://schemas.openxmlformats.org/officeDocument/2006/relationships/hyperlink" Target="https://www.sec.gov/Archives/edgar/data/1514281/000151428119000091/exhibit3-5articlessuppleme.htm" TargetMode="External"/><Relationship Id="rId21" Type="http://schemas.openxmlformats.org/officeDocument/2006/relationships/hyperlink" Target="https://www.sec.gov/Archives/edgar/data/1514281/000151428119000091/exhibit3-5articlessuppleme.htm" TargetMode="External"/><Relationship Id="rId22" Type="http://schemas.openxmlformats.org/officeDocument/2006/relationships/hyperlink" Target="https://www.sec.gov/Archives/edgar/data/1514281/000151428121000103/exhibit31.htm" TargetMode="External"/><Relationship Id="rId23" Type="http://schemas.openxmlformats.org/officeDocument/2006/relationships/hyperlink" Target="https://www.sec.gov/Archives/edgar/data/1514281/000151428121000103/exhibit31.htm" TargetMode="External"/><Relationship Id="rId24" Type="http://schemas.openxmlformats.org/officeDocument/2006/relationships/hyperlink" Target="https://www.sec.gov/Archives/edgar/data/1514281/000151428121000103/exhibit32.htm" TargetMode="External"/><Relationship Id="rId25" Type="http://schemas.openxmlformats.org/officeDocument/2006/relationships/hyperlink" Target="https://www.sec.gov/Archives/edgar/data/1514281/000151428121000103/exhibit32.htm" TargetMode="External"/><Relationship Id="rId26" Type="http://schemas.openxmlformats.org/officeDocument/2006/relationships/hyperlink" Target="https://www.sec.gov/Archives/edgar/data/1514281/000151428121000067/exhibit41-commonspecimence.htm" TargetMode="External"/><Relationship Id="rId27" Type="http://schemas.openxmlformats.org/officeDocument/2006/relationships/hyperlink" Target="https://www.sec.gov/Archives/edgar/data/1514281/000151428121000067/exhibit41-commonspecimence.htm" TargetMode="External"/><Relationship Id="rId28" Type="http://schemas.openxmlformats.org/officeDocument/2006/relationships/hyperlink" Target="https://www.sec.gov/Archives/edgar/data/1514281/000119312512331404/d389692dex41.htm" TargetMode="External"/><Relationship Id="rId29" Type="http://schemas.openxmlformats.org/officeDocument/2006/relationships/hyperlink" Target="https://www.sec.gov/Archives/edgar/data/1514281/000119312512331404/d389692dex41.htm" TargetMode="External"/><Relationship Id="rId30" Type="http://schemas.openxmlformats.org/officeDocument/2006/relationships/hyperlink" Target="https://www.sec.gov/Archives/edgar/data/1514281/000119312512400232/d414755dex41.htm" TargetMode="External"/><Relationship Id="rId31" Type="http://schemas.openxmlformats.org/officeDocument/2006/relationships/hyperlink" Target="https://www.sec.gov/Archives/edgar/data/1514281/000119312512400232/d414755dex41.htm" TargetMode="External"/><Relationship Id="rId32" Type="http://schemas.openxmlformats.org/officeDocument/2006/relationships/hyperlink" Target="https://www.sec.gov/Archives/edgar/data/1514281/000151428119000091/exhibit3-9prcspecimenstock.htm" TargetMode="External"/><Relationship Id="rId33" Type="http://schemas.openxmlformats.org/officeDocument/2006/relationships/hyperlink" Target="https://www.sec.gov/Archives/edgar/data/1514281/000151428119000091/exhibit3-9prcspecimenstock.htm" TargetMode="External"/><Relationship Id="rId34" Type="http://schemas.openxmlformats.org/officeDocument/2006/relationships/hyperlink" Target="https://www.sec.gov/Archives/edgar/data/1514281/000162828026011775/a12312025exhibit45.htm" TargetMode="External"/><Relationship Id="rId35" Type="http://schemas.openxmlformats.org/officeDocument/2006/relationships/hyperlink" Target="https://www.sec.gov/Archives/edgar/data/1514281/000162828026011775/a12312025exhibit45.htm" TargetMode="External"/><Relationship Id="rId36" Type="http://schemas.openxmlformats.org/officeDocument/2006/relationships/hyperlink" Target="https://www.sec.gov/Archives/edgar/data/1514281/000151428124000015/mitt-exhibit42xindenture.htm" TargetMode="External"/><Relationship Id="rId37" Type="http://schemas.openxmlformats.org/officeDocument/2006/relationships/hyperlink" Target="https://www.sec.gov/Archives/edgar/data/1514281/000151428124000015/mitt-exhibit42xindenture.htm" TargetMode="External"/><Relationship Id="rId38" Type="http://schemas.openxmlformats.org/officeDocument/2006/relationships/hyperlink" Target="https://www.sec.gov/Archives/edgar/data/1514281/000151428124000015/mitt-ex43xsupplementalinde.htm" TargetMode="External"/><Relationship Id="rId39" Type="http://schemas.openxmlformats.org/officeDocument/2006/relationships/hyperlink" Target="https://www.sec.gov/Archives/edgar/data/1514281/000151428124000015/mitt-ex43xsupplementalinde.htm" TargetMode="External"/><Relationship Id="rId40" Type="http://schemas.openxmlformats.org/officeDocument/2006/relationships/hyperlink" Target="https://www.sec.gov/Archives/edgar/data/1514281/000151428124000092/mitt-ex44xsecondsupplement.htm" TargetMode="External"/><Relationship Id="rId41" Type="http://schemas.openxmlformats.org/officeDocument/2006/relationships/hyperlink" Target="https://www.sec.gov/Archives/edgar/data/1514281/000151428124000092/mitt-ex44xsecondsupplement.htm" TargetMode="External"/><Relationship Id="rId42" Type="http://schemas.openxmlformats.org/officeDocument/2006/relationships/hyperlink" Target="https://www.sec.gov/Archives/edgar/data/1514281/000151428124000015/mitt-ex43xsupplementalinde.htm" TargetMode="External"/><Relationship Id="rId43" Type="http://schemas.openxmlformats.org/officeDocument/2006/relationships/hyperlink" Target="https://www.sec.gov/Archives/edgar/data/1514281/000151428124000015/mitt-ex43xsupplementalinde.htm" TargetMode="External"/><Relationship Id="rId44" Type="http://schemas.openxmlformats.org/officeDocument/2006/relationships/hyperlink" Target="https://www.sec.gov/Archives/edgar/data/1514281/000151428124000092/mitt-ex44xsecondsupplement.htm" TargetMode="External"/><Relationship Id="rId45" Type="http://schemas.openxmlformats.org/officeDocument/2006/relationships/hyperlink" Target="https://www.sec.gov/Archives/edgar/data/1514281/000151428124000092/mitt-ex44xsecondsupplement.htm" TargetMode="External"/><Relationship Id="rId46" Type="http://schemas.openxmlformats.org/officeDocument/2006/relationships/hyperlink" Target="https://www.sec.gov/Archives/edgar/data/1514281/000151428122000023/a10k12312021-exhibit101.htm" TargetMode="External"/><Relationship Id="rId47" Type="http://schemas.openxmlformats.org/officeDocument/2006/relationships/hyperlink" Target="https://www.sec.gov/Archives/edgar/data/1514281/000151428122000023/a10k12312021-exhibit101.htm" TargetMode="External"/><Relationship Id="rId48" Type="http://schemas.openxmlformats.org/officeDocument/2006/relationships/hyperlink" Target="https://www.sec.gov/Archives/edgar/data/1514281/000151428122000045/mittq122exh101.htm" TargetMode="External"/><Relationship Id="rId49" Type="http://schemas.openxmlformats.org/officeDocument/2006/relationships/hyperlink" Target="https://www.sec.gov/Archives/edgar/data/1514281/000151428122000045/mittq122exh101.htm" TargetMode="External"/><Relationship Id="rId50" Type="http://schemas.openxmlformats.org/officeDocument/2006/relationships/hyperlink" Target="https://www.sec.gov/ix?doc=/Archives/edgar/data/0001514281/000151428124000157/mitt-20241105.htm" TargetMode="External"/><Relationship Id="rId51" Type="http://schemas.openxmlformats.org/officeDocument/2006/relationships/hyperlink" Target="https://www.sec.gov/ix?doc=/Archives/edgar/data/0001514281/000151428124000157/mitt-20241105.htm" TargetMode="External"/><Relationship Id="rId52" Type="http://schemas.openxmlformats.org/officeDocument/2006/relationships/hyperlink" Target="https://www.sec.gov/Archives/edgar/data/1514281/000151428124000157/mitt-ex12xedajonestrading.htm" TargetMode="External"/><Relationship Id="rId53" Type="http://schemas.openxmlformats.org/officeDocument/2006/relationships/hyperlink" Target="https://www.sec.gov/Archives/edgar/data/1514281/000151428124000157/mitt-ex12xedajonestrading.htm" TargetMode="External"/><Relationship Id="rId54" Type="http://schemas.openxmlformats.org/officeDocument/2006/relationships/hyperlink" Target="https://www.sec.gov/Archives/edgar/data/1514281/000151428124000157/mitt-exhibit13xedakbw.htm" TargetMode="External"/><Relationship Id="rId55" Type="http://schemas.openxmlformats.org/officeDocument/2006/relationships/hyperlink" Target="https://www.sec.gov/Archives/edgar/data/1514281/000151428124000157/mitt-exhibit13xedakbw.htm" TargetMode="External"/><Relationship Id="rId56" Type="http://schemas.openxmlformats.org/officeDocument/2006/relationships/hyperlink" Target="https://www.sec.gov/Archives/edgar/data/1514281/000151428124000157/mitt-exhibit14xedapiper.htm" TargetMode="External"/><Relationship Id="rId57" Type="http://schemas.openxmlformats.org/officeDocument/2006/relationships/hyperlink" Target="https://www.sec.gov/Archives/edgar/data/1514281/000151428124000157/mitt-exhibit14xedapiper.htm" TargetMode="External"/><Relationship Id="rId58" Type="http://schemas.openxmlformats.org/officeDocument/2006/relationships/hyperlink" Target="https://www.sec.gov/Archives/edgar/data/1514281/000151428120000029/exhibit101mitt8-k482020.htm" TargetMode="External"/><Relationship Id="rId59" Type="http://schemas.openxmlformats.org/officeDocument/2006/relationships/hyperlink" Target="https://www.sec.gov/Archives/edgar/data/1514281/000151428120000029/exhibit101mitt8-k482020.htm" TargetMode="External"/><Relationship Id="rId60" Type="http://schemas.openxmlformats.org/officeDocument/2006/relationships/hyperlink" Target="https://www.sec.gov/Archives/edgar/data/1514281/000151428120000105/exhibit101mitt8-k92420.htm" TargetMode="External"/><Relationship Id="rId61" Type="http://schemas.openxmlformats.org/officeDocument/2006/relationships/hyperlink" Target="https://www.sec.gov/Archives/edgar/data/1514281/000151428120000105/exhibit101mitt8-k92420.htm" TargetMode="External"/><Relationship Id="rId62" Type="http://schemas.openxmlformats.org/officeDocument/2006/relationships/hyperlink" Target="https://www.sec.gov/Archives/edgar/data/1514281/000151428121000136/exhibit101-mittx1122218xk.htm" TargetMode="External"/><Relationship Id="rId63" Type="http://schemas.openxmlformats.org/officeDocument/2006/relationships/hyperlink" Target="https://www.sec.gov/Archives/edgar/data/1514281/000151428121000136/exhibit101-mittx1122218xk.htm" TargetMode="External"/><Relationship Id="rId64" Type="http://schemas.openxmlformats.org/officeDocument/2006/relationships/hyperlink" Target="https://www.sec.gov/Archives/edgar/data/1514281/000151428123000089/mitt-exhibit101.htm" TargetMode="External"/><Relationship Id="rId65" Type="http://schemas.openxmlformats.org/officeDocument/2006/relationships/hyperlink" Target="https://www.sec.gov/Archives/edgar/data/1514281/000151428123000089/mitt-exhibit101.htm" TargetMode="External"/><Relationship Id="rId66" Type="http://schemas.openxmlformats.org/officeDocument/2006/relationships/hyperlink" Target="https://www.sec.gov/Archives/edgar/data/1514281/000151428121000112/mittq22021eipexh101.htm" TargetMode="External"/><Relationship Id="rId67" Type="http://schemas.openxmlformats.org/officeDocument/2006/relationships/hyperlink" Target="https://www.sec.gov/Archives/edgar/data/1514281/000151428121000112/mittq22021eipexh101.htm" TargetMode="External"/><Relationship Id="rId68" Type="http://schemas.openxmlformats.org/officeDocument/2006/relationships/hyperlink" Target="https://www.sec.gov/Archives/edgar/data/1514281/000151428125000062/exhibit101-2025equityincen.htm" TargetMode="External"/><Relationship Id="rId69" Type="http://schemas.openxmlformats.org/officeDocument/2006/relationships/hyperlink" Target="https://www.sec.gov/Archives/edgar/data/1514281/000151428125000062/exhibit101-2025equityincen.htm" TargetMode="External"/><Relationship Id="rId70" Type="http://schemas.openxmlformats.org/officeDocument/2006/relationships/hyperlink" Target="https://www.sec.gov/Archives/edgar/data/1514281/000151428121000112/mittq22021mipexh102.htm" TargetMode="External"/><Relationship Id="rId71" Type="http://schemas.openxmlformats.org/officeDocument/2006/relationships/hyperlink" Target="https://www.sec.gov/Archives/edgar/data/1514281/000151428121000112/mittq22021mipexh102.htm" TargetMode="External"/><Relationship Id="rId72" Type="http://schemas.openxmlformats.org/officeDocument/2006/relationships/hyperlink" Target="https://www.sec.gov/Archives/edgar/data/1514281/000151428120000094/exhibit1060-mitt630202.htm" TargetMode="External"/><Relationship Id="rId73" Type="http://schemas.openxmlformats.org/officeDocument/2006/relationships/hyperlink" Target="https://www.sec.gov/Archives/edgar/data/1514281/000151428120000094/exhibit1060-mitt630202.htm" TargetMode="External"/><Relationship Id="rId74" Type="http://schemas.openxmlformats.org/officeDocument/2006/relationships/hyperlink" Target="https://www.sec.gov/Archives/edgar/data/1514281/000151428125000086/mittq22025exh101.htm" TargetMode="External"/><Relationship Id="rId75" Type="http://schemas.openxmlformats.org/officeDocument/2006/relationships/hyperlink" Target="https://www.sec.gov/Archives/edgar/data/1514281/000151428125000086/mittq22025exh101.htm" TargetMode="External"/><Relationship Id="rId76" Type="http://schemas.openxmlformats.org/officeDocument/2006/relationships/hyperlink" Target="https://www.sec.gov/Archives/edgar/data/1514281/000162828026011775/a12312025exhibit191.htm" TargetMode="External"/><Relationship Id="rId77" Type="http://schemas.openxmlformats.org/officeDocument/2006/relationships/hyperlink" Target="https://www.sec.gov/Archives/edgar/data/1514281/000162828026011775/a12312025exhibit191.htm" TargetMode="External"/><Relationship Id="rId78" Type="http://schemas.openxmlformats.org/officeDocument/2006/relationships/hyperlink" Target="https://www.sec.gov/Archives/edgar/data/1514281/000162828026011775/a12312025exhibit211.htm" TargetMode="External"/><Relationship Id="rId79" Type="http://schemas.openxmlformats.org/officeDocument/2006/relationships/hyperlink" Target="https://www.sec.gov/Archives/edgar/data/1514281/000162828026011775/a12312025exhibit211.htm" TargetMode="External"/><Relationship Id="rId80" Type="http://schemas.openxmlformats.org/officeDocument/2006/relationships/hyperlink" Target="https://www.sec.gov/Archives/edgar/data/1514281/000162828026062095/mitts4filingfee_91526.htm" TargetMode="External"/><Relationship Id="rId81" Type="http://schemas.openxmlformats.org/officeDocument/2006/relationships/hyperlink" Target="https://www.sec.gov/Archives/edgar/data/1514281/000162828026062095/mitts4filingfee_91526.htm" TargetMode="External"/><Relationship Id="rId82" Type="http://schemas.openxmlformats.org/officeDocument/2006/relationships/image" Target="media/image5.png"/><Relationship Id="rId83" Type="http://schemas.openxmlformats.org/officeDocument/2006/relationships/image" Target="media/image5.png"/><Relationship Id="rId84" Type="http://schemas.openxmlformats.org/officeDocument/2006/relationships/image" Target="media/image5.png"/><Relationship Id="rId85" Type="http://schemas.openxmlformats.org/officeDocument/2006/relationships/image" Target="media/image5.png"/><Relationship Id="rId86" Type="http://schemas.openxmlformats.org/officeDocument/2006/relationships/image" Target="media/image6.jpeg"/><Relationship Id="rId87" Type="http://schemas.openxmlformats.org/officeDocument/2006/relationships/image" Target="media/image7.png"/><Relationship Id="rId88" Type="http://schemas.openxmlformats.org/officeDocument/2006/relationships/image" Target="media/image7.png"/><Relationship Id="rId89" Type="http://schemas.openxmlformats.org/officeDocument/2006/relationships/image" Target="media/image7.png"/><Relationship Id="rId90" Type="http://schemas.openxmlformats.org/officeDocument/2006/relationships/image" Target="media/image7.png"/><Relationship Id="rId91" Type="http://schemas.openxmlformats.org/officeDocument/2006/relationships/image" Target="media/image6.jpeg"/><Relationship Id="rId92" Type="http://schemas.openxmlformats.org/officeDocument/2006/relationships/image" Target="media/image7.png"/><Relationship Id="rId93" Type="http://schemas.openxmlformats.org/officeDocument/2006/relationships/image" Target="media/image7.png"/><Relationship Id="rId94" Type="http://schemas.openxmlformats.org/officeDocument/2006/relationships/image" Target="media/image7.png"/><Relationship Id="rId95" Type="http://schemas.openxmlformats.org/officeDocument/2006/relationships/image" Target="media/image8.png"/><Relationship Id="rId96" Type="http://schemas.openxmlformats.org/officeDocument/2006/relationships/image" Target="media/image8.png"/><Relationship Id="rId97" Type="http://schemas.openxmlformats.org/officeDocument/2006/relationships/image" Target="media/image9.png"/><Relationship Id="rId98" Type="http://schemas.openxmlformats.org/officeDocument/2006/relationships/image" Target="media/image10.jpeg"/><Relationship Id="rId99" Type="http://schemas.openxmlformats.org/officeDocument/2006/relationships/image" Target="media/image11.jpeg"/><Relationship Id="rId100" Type="http://schemas.openxmlformats.org/officeDocument/2006/relationships/image" Target="media/image12.jpeg"/><Relationship Id="rId101" Type="http://schemas.openxmlformats.org/officeDocument/2006/relationships/image" Target="media/image13.jpeg"/><Relationship Id="rId102" Type="http://schemas.openxmlformats.org/officeDocument/2006/relationships/image" Target="media/image14.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460</Pages>
  <Words>254629</Words>
  <Characters>1347602</Characters>
  <CharactersWithSpaces>1597747</CharactersWithSpaces>
  <Paragraphs>6946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