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 xml:space="preserve">Date of Report (Date of earliest event reported): </w:t>
      </w:r>
      <w:r>
        <w:rPr>
          <w:rFonts w:ascii="Times New Roman" w:cs="Times New Roman" w:eastAsia="Times New Roman" w:hAnsi="Times New Roman"/>
          <w:sz w:val="11"/>
          <w:szCs w:val="11"/>
          <w:color w:val="auto"/>
        </w:rPr>
        <w:t>April 29, 2026</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TPG Mortgage Investment Trust, Inc.</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ectPr>
          <w:pgSz w:w="11900" w:h="16838" w:orient="portrait"/>
          <w:cols w:equalWidth="0" w:num="1">
            <w:col w:w="11300"/>
          </w:cols>
          <w:pgMar w:left="300" w:top="737" w:right="299" w:bottom="1440" w:gutter="0" w:footer="0" w:header="0"/>
        </w:sectPr>
      </w:pP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2"/>
          <w:szCs w:val="12"/>
          <w:b w:val="1"/>
          <w:bCs w:val="1"/>
          <w:color w:val="auto"/>
        </w:rPr>
        <w:t>Maryland</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001-35151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27-5254382</w:t>
      </w:r>
    </w:p>
    <w:p>
      <w:pPr>
        <w:spacing w:after="0" w:line="32" w:lineRule="exact"/>
        <w:rPr>
          <w:sz w:val="24"/>
          <w:szCs w:val="24"/>
          <w:color w:val="auto"/>
        </w:rPr>
      </w:pPr>
    </w:p>
    <w:p>
      <w:pPr>
        <w:sectPr>
          <w:pgSz w:w="11900" w:h="16838" w:orient="portrait"/>
          <w:cols w:equalWidth="0" w:num="3">
            <w:col w:w="4680" w:space="720"/>
            <w:col w:w="3000" w:space="720"/>
            <w:col w:w="2180"/>
          </w:cols>
          <w:pgMar w:left="300" w:top="737" w:right="2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(IRS Employer Identification No.)</w:t>
      </w:r>
    </w:p>
    <w:p>
      <w:pPr>
        <w:spacing w:after="0" w:line="200" w:lineRule="exact"/>
        <w:rPr>
          <w:sz w:val="24"/>
          <w:szCs w:val="24"/>
          <w:color w:val="auto"/>
        </w:rPr>
      </w:pPr>
    </w:p>
    <w:p>
      <w:pPr>
        <w:sectPr>
          <w:pgSz w:w="11900" w:h="16838" w:orient="portrait"/>
          <w:cols w:equalWidth="0" w:num="3">
            <w:col w:w="4400" w:space="720"/>
            <w:col w:w="2920" w:space="720"/>
            <w:col w:w="2540"/>
          </w:cols>
          <w:pgMar w:left="300" w:top="737" w:right="299" w:bottom="1440" w:gutter="0" w:footer="0" w:header="0"/>
          <w:type w:val="continuous"/>
        </w:sectPr>
      </w:pPr>
    </w:p>
    <w:p>
      <w:pPr>
        <w:spacing w:after="0" w:line="5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245 Park Avenue, 26th floor</w:t>
      </w:r>
    </w:p>
    <w:p>
      <w:pPr>
        <w:spacing w:after="0" w:line="2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New York, New York 10167</w:t>
      </w:r>
    </w:p>
    <w:p>
      <w:pPr>
        <w:jc w:val="center"/>
        <w:ind w:right="20"/>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1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9"/>
          <w:szCs w:val="9"/>
          <w:color w:val="auto"/>
        </w:rPr>
        <w:t xml:space="preserve">Registrant's telephone number, including area code: </w:t>
      </w:r>
      <w:r>
        <w:rPr>
          <w:rFonts w:ascii="Times New Roman" w:cs="Times New Roman" w:eastAsia="Times New Roman" w:hAnsi="Times New Roman"/>
          <w:sz w:val="10"/>
          <w:szCs w:val="10"/>
          <w:b w:val="1"/>
          <w:bCs w:val="1"/>
          <w:color w:val="auto"/>
        </w:rPr>
        <w:t>(212) 692-2000</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(Former Name or Address, if Changed Since Last Report)</w:t>
      </w:r>
    </w:p>
    <w:p>
      <w:pPr>
        <w:sectPr>
          <w:pgSz w:w="11900" w:h="16838" w:orient="portrait"/>
          <w:cols w:equalWidth="0" w:num="1">
            <w:col w:w="11300"/>
          </w:cols>
          <w:pgMar w:left="300" w:top="737" w:right="299" w:bottom="1440" w:gutter="0" w:footer="0" w:header="0"/>
          <w:type w:val="continuous"/>
        </w:sectPr>
      </w:pP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is intended to simultaneously satisfy the filing obligation of the registrant under any of the following provisions:</w:t>
      </w:r>
    </w:p>
    <w:p>
      <w:pPr>
        <w:spacing w:after="0" w:line="33" w:lineRule="exact"/>
        <w:rPr>
          <w:sz w:val="24"/>
          <w:szCs w:val="24"/>
          <w:color w:val="auto"/>
        </w:rPr>
      </w:pPr>
    </w:p>
    <w:p>
      <w:pPr>
        <w:ind w:left="620" w:hanging="526"/>
        <w:spacing w:after="0"/>
        <w:tabs>
          <w:tab w:leader="none" w:pos="6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620" w:hanging="526"/>
        <w:spacing w:after="0"/>
        <w:tabs>
          <w:tab w:leader="none" w:pos="6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620" w:hanging="526"/>
        <w:spacing w:after="0"/>
        <w:tabs>
          <w:tab w:leader="none" w:pos="6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9" w:lineRule="exact"/>
        <w:rPr>
          <w:rFonts w:ascii="MS PGothic" w:cs="MS PGothic" w:eastAsia="MS PGothic" w:hAnsi="MS PGothic"/>
          <w:sz w:val="12"/>
          <w:szCs w:val="12"/>
          <w:color w:val="auto"/>
        </w:rPr>
      </w:pPr>
    </w:p>
    <w:p>
      <w:pPr>
        <w:ind w:left="620" w:hanging="526"/>
        <w:spacing w:after="0"/>
        <w:tabs>
          <w:tab w:leader="none" w:pos="6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5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59"/>
        </w:trPr>
        <w:tc>
          <w:tcPr>
            <w:tcW w:w="5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402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0"/>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$0.01 par value per share</w:t>
            </w:r>
          </w:p>
        </w:tc>
        <w:tc>
          <w:tcPr>
            <w:tcW w:w="8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MITT</w:t>
            </w:r>
          </w:p>
        </w:tc>
        <w:tc>
          <w:tcPr>
            <w:tcW w:w="80" w:type="dxa"/>
            <w:vAlign w:val="bottom"/>
          </w:tcPr>
          <w:p>
            <w:pPr>
              <w:spacing w:after="0"/>
              <w:rPr>
                <w:sz w:val="12"/>
                <w:szCs w:val="12"/>
                <w:color w:val="auto"/>
              </w:rPr>
            </w:pPr>
          </w:p>
        </w:tc>
        <w:tc>
          <w:tcPr>
            <w:tcW w:w="402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2"/>
                <w:szCs w:val="12"/>
                <w:color w:val="auto"/>
              </w:rPr>
              <w:t>New York Stock Exchange (NYSE)</w:t>
            </w:r>
          </w:p>
        </w:tc>
      </w:tr>
      <w:tr>
        <w:trPr>
          <w:trHeight w:val="153"/>
        </w:trPr>
        <w:tc>
          <w:tcPr>
            <w:tcW w:w="5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8.25% Series A Cumulative Redeemable Preferred Stock</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6"/>
              </w:rPr>
              <w:t>MITT PrA</w:t>
            </w:r>
          </w:p>
        </w:tc>
        <w:tc>
          <w:tcPr>
            <w:tcW w:w="402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New York Stock Exchange (NYSE)</w:t>
            </w:r>
          </w:p>
        </w:tc>
      </w:tr>
      <w:tr>
        <w:trPr>
          <w:trHeight w:val="153"/>
        </w:trPr>
        <w:tc>
          <w:tcPr>
            <w:tcW w:w="5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8.00% Series B Cumulative Redeemable Preferred Stock</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MITT PrB</w:t>
            </w:r>
          </w:p>
        </w:tc>
        <w:tc>
          <w:tcPr>
            <w:tcW w:w="402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New York Stock Exchange (NYSE)</w:t>
            </w:r>
          </w:p>
        </w:tc>
      </w:tr>
      <w:tr>
        <w:trPr>
          <w:trHeight w:val="153"/>
        </w:trPr>
        <w:tc>
          <w:tcPr>
            <w:tcW w:w="5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8.000% Series C Fixed-to-Floating Rate Cumulative Redeemable Preferred Stock</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MITT PrC</w:t>
            </w:r>
          </w:p>
        </w:tc>
        <w:tc>
          <w:tcPr>
            <w:tcW w:w="402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New York Stock Exchange (NYSE)</w:t>
            </w:r>
          </w:p>
        </w:tc>
      </w:tr>
      <w:tr>
        <w:trPr>
          <w:trHeight w:val="153"/>
        </w:trPr>
        <w:tc>
          <w:tcPr>
            <w:tcW w:w="5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9.500% Senior Notes due 2029</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MITN</w:t>
            </w:r>
          </w:p>
        </w:tc>
        <w:tc>
          <w:tcPr>
            <w:tcW w:w="402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New York Stock Exchange (NYSE)</w:t>
            </w:r>
          </w:p>
        </w:tc>
      </w:tr>
      <w:tr>
        <w:trPr>
          <w:trHeight w:val="155"/>
        </w:trPr>
        <w:tc>
          <w:tcPr>
            <w:tcW w:w="5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9.500% Senior Notes due 2029</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MITP</w:t>
            </w:r>
          </w:p>
        </w:tc>
        <w:tc>
          <w:tcPr>
            <w:tcW w:w="402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New York Stock Exchange (NYSE)</w:t>
            </w:r>
          </w:p>
        </w:tc>
      </w:tr>
    </w:tbl>
    <w:p>
      <w:pPr>
        <w:spacing w:after="0" w:line="214"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410845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April 29, 2026, TPG Mortgage Investment Trust, Inc. (the “Company”) issued a press release and an earnings presentation announcing its financial results for the fiscal quarter ended March 31, 2026.</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Pursuant to the rules and regulations of the Securities and Exchange Commission, the press release and earnings presentation are attached to this Current Report on Form 8-K as Exhibits 99.1 and 99.2, respectively, and the information contained in such press release and earnings presentation are incorporated into this Item 2.02 by this reference. The information contained in this Item 2.02, including Exhibits 99.1 and 99.2, is being “furnished” and shall not be deemed “filed” for the purposes of Section 18 of the Securities Exchange Act of 1934, as amended (“Exchange Act”), or otherwise subject to the liabilities of that section, nor shall it be deemed to be incorporated by reference into any registration statement or other document pursuant to the Securities Act of 1933, as amended, or into any filing or other document pursuant to the Exchange Act, except as otherwise expressly stated in such filing.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i w:val="1"/>
                <w:iCs w:val="1"/>
                <w:color w:val="auto"/>
              </w:rPr>
              <w:t>Exhibits.</w:t>
            </w: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80" w:type="dxa"/>
            <w:vAlign w:val="bottom"/>
          </w:tcPr>
          <w:p>
            <w:pPr>
              <w:spacing w:after="0"/>
              <w:rPr>
                <w:sz w:val="13"/>
                <w:szCs w:val="13"/>
                <w:color w:val="auto"/>
              </w:rPr>
            </w:pPr>
          </w:p>
        </w:tc>
      </w:tr>
      <w:tr>
        <w:trPr>
          <w:trHeight w:val="171"/>
        </w:trPr>
        <w:tc>
          <w:tcPr>
            <w:tcW w:w="14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80" w:type="dxa"/>
            <w:vAlign w:val="bottom"/>
          </w:tcPr>
          <w:p>
            <w:pPr>
              <w:ind w:left="14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8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7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dated April 29, 2026</w:t>
            </w:r>
          </w:p>
        </w:tc>
        <w:tc>
          <w:tcPr>
            <w:tcW w:w="8120" w:type="dxa"/>
            <w:vAlign w:val="bottom"/>
            <w:tcBorders>
              <w:top w:val="single" w:sz="8" w:color="auto"/>
            </w:tcBorders>
            <w:gridSpan w:val="2"/>
          </w:tcPr>
          <w:p>
            <w:pPr>
              <w:spacing w:after="0"/>
              <w:rPr>
                <w:sz w:val="21"/>
                <w:szCs w:val="21"/>
                <w:color w:val="auto"/>
              </w:rPr>
            </w:pPr>
          </w:p>
        </w:tc>
      </w:tr>
      <w:tr>
        <w:trPr>
          <w:trHeight w:val="133"/>
        </w:trPr>
        <w:tc>
          <w:tcPr>
            <w:tcW w:w="80" w:type="dxa"/>
            <w:vAlign w:val="bottom"/>
          </w:tcPr>
          <w:p>
            <w:pPr>
              <w:spacing w:after="0"/>
              <w:rPr>
                <w:sz w:val="11"/>
                <w:szCs w:val="11"/>
                <w:color w:val="auto"/>
              </w:rPr>
            </w:pPr>
          </w:p>
        </w:tc>
        <w:tc>
          <w:tcPr>
            <w:tcW w:w="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Earnings Presentation for the fiscal quarter ended March 31, 2026</w:t>
            </w:r>
          </w:p>
        </w:tc>
      </w:tr>
      <w:tr>
        <w:trPr>
          <w:trHeight w:val="160"/>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auto"/>
              </w:rPr>
              <w:t>104</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c>
          <w:tcPr>
            <w:tcW w:w="6680" w:type="dxa"/>
            <w:vAlign w:val="bottom"/>
          </w:tcPr>
          <w:p>
            <w:pPr>
              <w:spacing w:after="0"/>
              <w:rPr>
                <w:sz w:val="13"/>
                <w:szCs w:val="13"/>
                <w:color w:val="auto"/>
              </w:rPr>
            </w:pPr>
          </w:p>
        </w:tc>
      </w:tr>
      <w:tr>
        <w:trPr>
          <w:trHeight w:val="1467"/>
        </w:trPr>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April 29, 2026</w:t>
            </w:r>
          </w:p>
        </w:tc>
        <w:tc>
          <w:tcPr>
            <w:tcW w:w="802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TPG MORTGAGE INVESTMENT TRUST, INC.</w:t>
            </w:r>
          </w:p>
        </w:tc>
      </w:tr>
      <w:tr>
        <w:trPr>
          <w:trHeight w:val="297"/>
        </w:trPr>
        <w:tc>
          <w:tcPr>
            <w:tcW w:w="3280" w:type="dxa"/>
            <w:vAlign w:val="bottom"/>
          </w:tcPr>
          <w:p>
            <w:pPr>
              <w:spacing w:after="0"/>
              <w:rPr>
                <w:sz w:val="24"/>
                <w:szCs w:val="24"/>
                <w:color w:val="auto"/>
              </w:rPr>
            </w:pPr>
          </w:p>
        </w:tc>
        <w:tc>
          <w:tcPr>
            <w:tcW w:w="298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JENNY B. NESLIN</w:t>
            </w:r>
          </w:p>
        </w:tc>
      </w:tr>
      <w:tr>
        <w:trPr>
          <w:trHeight w:val="140"/>
        </w:trPr>
        <w:tc>
          <w:tcPr>
            <w:tcW w:w="3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Jenny B. Neslin</w:t>
            </w:r>
          </w:p>
        </w:tc>
      </w:tr>
      <w:tr>
        <w:trPr>
          <w:trHeight w:val="155"/>
        </w:trPr>
        <w:tc>
          <w:tcPr>
            <w:tcW w:w="32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General Counsel and Secretary</w:t>
            </w:r>
          </w:p>
        </w:tc>
      </w:tr>
    </w:tbl>
    <w:p>
      <w:pPr>
        <w:sectPr>
          <w:pgSz w:w="11900" w:h="16838" w:orient="portrait"/>
          <w:cols w:equalWidth="0" w:num="1">
            <w:col w:w="11300"/>
          </w:cols>
          <w:pgMar w:left="300" w:top="82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TPG Mortgage Investment Trust, Inc. Reports First Quarter 2026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NY, April 29, 2026 / Business Wire - TPG Mortgage Investment Trust, Inc. ("MITT," "we," the "Company," or "our") (NYSE: MITT) today reported financial results for the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 REMARKS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"Despite a challenging macroeconomic backdrop that pressured book values across the industry, our disciplined leverage profile, consistent capital rotation into higher-returning residential investments, and continued focus on scaling profitability at Arc Home produced EAD of $0.26 for the first quarter, more than covering our recently increased $0.24 dividend" said T.J. Durkin, Chief Executive Officer and President. "Notably, we have been able to raise our common dividend in four of the last six quarters and believe we are well-positioned to drive increased earnings power as we progress through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FINANCIAL HIGHLIGHTS</w:t>
      </w:r>
    </w:p>
    <w:p>
      <w:pPr>
        <w:spacing w:after="0" w:line="156"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$9.97 Book Value per share as of March 31, 2026</w:t>
      </w:r>
      <w:r>
        <w:rPr>
          <w:rFonts w:ascii="Times New Roman" w:cs="Times New Roman" w:eastAsia="Times New Roman" w:hAnsi="Times New Roman"/>
          <w:sz w:val="15"/>
          <w:szCs w:val="15"/>
          <w:color w:val="auto"/>
          <w:vertAlign w:val="superscript"/>
        </w:rPr>
        <w:t>(1)</w:t>
      </w:r>
    </w:p>
    <w:p>
      <w:pPr>
        <w:ind w:left="860" w:hanging="220"/>
        <w:spacing w:after="0" w:line="200" w:lineRule="auto"/>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economic return on equity of (2.6)%</w:t>
      </w:r>
      <w:r>
        <w:rPr>
          <w:rFonts w:ascii="Times New Roman" w:cs="Times New Roman" w:eastAsia="Times New Roman" w:hAnsi="Times New Roman"/>
          <w:sz w:val="15"/>
          <w:szCs w:val="15"/>
          <w:color w:val="auto"/>
          <w:vertAlign w:val="superscript"/>
        </w:rPr>
        <w:t>(2)</w:t>
      </w:r>
    </w:p>
    <w:p>
      <w:pPr>
        <w:ind w:left="420" w:hanging="212"/>
        <w:spacing w:after="0" w:line="189"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$(0.27) of Net Income/(Loss) Available to Common Stockholders per diluted common share</w:t>
      </w:r>
      <w:r>
        <w:rPr>
          <w:rFonts w:ascii="Times New Roman" w:cs="Times New Roman" w:eastAsia="Times New Roman" w:hAnsi="Times New Roman"/>
          <w:sz w:val="15"/>
          <w:szCs w:val="15"/>
          <w:color w:val="auto"/>
          <w:vertAlign w:val="superscript"/>
        </w:rPr>
        <w:t>(3)</w:t>
      </w:r>
    </w:p>
    <w:p>
      <w:pPr>
        <w:ind w:left="420" w:hanging="212"/>
        <w:spacing w:after="0" w:line="210"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$0.26 of Earnings Available for Distribution ("EAD") per diluted common share</w:t>
      </w:r>
      <w:r>
        <w:rPr>
          <w:rFonts w:ascii="Times New Roman" w:cs="Times New Roman" w:eastAsia="Times New Roman" w:hAnsi="Times New Roman"/>
          <w:sz w:val="15"/>
          <w:szCs w:val="15"/>
          <w:color w:val="auto"/>
          <w:vertAlign w:val="superscript"/>
        </w:rPr>
        <w:t>(3),(4)</w:t>
      </w: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$0.24 dividend per common share declared in the first quarter 2026, representing a 4.3% increase over the fourth quarter 2025 dividend of $0.23 per common share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INVESTING AND FINANCING HIGHLIGHTS</w:t>
      </w:r>
    </w:p>
    <w:p>
      <w:pPr>
        <w:spacing w:after="0" w:line="156"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$8.1 billion Investment Portfolio as of March 31, 2026</w:t>
      </w:r>
      <w:r>
        <w:rPr>
          <w:rFonts w:ascii="Times New Roman" w:cs="Times New Roman" w:eastAsia="Times New Roman" w:hAnsi="Times New Roman"/>
          <w:sz w:val="15"/>
          <w:szCs w:val="15"/>
          <w:color w:val="auto"/>
          <w:vertAlign w:val="superscript"/>
        </w:rPr>
        <w:t>(5)</w:t>
      </w:r>
    </w:p>
    <w:p>
      <w:pPr>
        <w:ind w:left="860" w:hanging="220"/>
        <w:spacing w:after="0" w:line="200" w:lineRule="auto"/>
        <w:tabs>
          <w:tab w:leader="none" w:pos="860"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0.6% Net Interest Margin, which includes a 0.02% benefit from the net interest component of our interest rate swaps</w:t>
      </w:r>
      <w:r>
        <w:rPr>
          <w:rFonts w:ascii="Times New Roman" w:cs="Times New Roman" w:eastAsia="Times New Roman" w:hAnsi="Times New Roman"/>
          <w:sz w:val="15"/>
          <w:szCs w:val="15"/>
          <w:color w:val="auto"/>
          <w:vertAlign w:val="superscript"/>
        </w:rPr>
        <w:t>(6)</w:t>
      </w:r>
    </w:p>
    <w:p>
      <w:pPr>
        <w:ind w:left="420" w:hanging="212"/>
        <w:spacing w:after="0" w:line="20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$52.3 million investment in Arc Home as of March 31, 2026 determined using a valuation multiple of 1.05x book value</w:t>
      </w:r>
      <w:r>
        <w:rPr>
          <w:rFonts w:ascii="Times New Roman" w:cs="Times New Roman" w:eastAsia="Times New Roman" w:hAnsi="Times New Roman"/>
          <w:sz w:val="15"/>
          <w:szCs w:val="15"/>
          <w:color w:val="auto"/>
          <w:vertAlign w:val="superscript"/>
        </w:rPr>
        <w:t>(7)</w:t>
      </w:r>
    </w:p>
    <w:p>
      <w:pPr>
        <w:ind w:left="420" w:hanging="212"/>
        <w:spacing w:after="0" w:line="20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$7.7 billion of financing as of March 31, 2026</w:t>
      </w:r>
      <w:r>
        <w:rPr>
          <w:rFonts w:ascii="Times New Roman" w:cs="Times New Roman" w:eastAsia="Times New Roman" w:hAnsi="Times New Roman"/>
          <w:sz w:val="15"/>
          <w:szCs w:val="15"/>
          <w:color w:val="auto"/>
          <w:vertAlign w:val="superscript"/>
        </w:rPr>
        <w:t>(5)</w:t>
      </w:r>
    </w:p>
    <w:p>
      <w:pPr>
        <w:ind w:left="860" w:hanging="220"/>
        <w:spacing w:after="0"/>
        <w:tabs>
          <w:tab w:leader="none" w:pos="860"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$6.8 billion of non-recourse and $0.9 billion of recourse financing</w:t>
      </w:r>
    </w:p>
    <w:p>
      <w:pPr>
        <w:spacing w:after="0" w:line="4" w:lineRule="exact"/>
        <w:rPr>
          <w:rFonts w:ascii="Times New Roman" w:cs="Times New Roman" w:eastAsia="Times New Roman" w:hAnsi="Times New Roman"/>
          <w:sz w:val="12"/>
          <w:szCs w:val="12"/>
          <w:color w:val="auto"/>
        </w:rPr>
      </w:pPr>
    </w:p>
    <w:p>
      <w:pPr>
        <w:ind w:left="860" w:hanging="220"/>
        <w:spacing w:after="0" w:line="201" w:lineRule="auto"/>
        <w:tabs>
          <w:tab w:leader="none" w:pos="860"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14.1x GAAP Leverage Ratio and 1.7x Economic Leverage Ratio</w:t>
      </w:r>
      <w:r>
        <w:rPr>
          <w:rFonts w:ascii="Times New Roman" w:cs="Times New Roman" w:eastAsia="Times New Roman" w:hAnsi="Times New Roman"/>
          <w:sz w:val="15"/>
          <w:szCs w:val="15"/>
          <w:color w:val="auto"/>
          <w:vertAlign w:val="superscript"/>
        </w:rPr>
        <w:t>(8)</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 million of total liquidity as of March 31, 2026</w:t>
      </w:r>
      <w:r>
        <w:rPr>
          <w:rFonts w:ascii="Times New Roman" w:cs="Times New Roman" w:eastAsia="Times New Roman" w:hAnsi="Times New Roman"/>
          <w:sz w:val="15"/>
          <w:szCs w:val="15"/>
          <w:color w:val="auto"/>
          <w:vertAlign w:val="superscript"/>
        </w:rPr>
        <w:t>(9)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172"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16, 2026, declared a first quarter dividend of $0.24 per common share</w:t>
      </w:r>
    </w:p>
    <w:p>
      <w:pPr>
        <w:spacing w:after="0" w:line="16" w:lineRule="exact"/>
        <w:rPr>
          <w:rFonts w:ascii="Times New Roman" w:cs="Times New Roman" w:eastAsia="Times New Roman" w:hAnsi="Times New Roman"/>
          <w:sz w:val="12"/>
          <w:szCs w:val="12"/>
          <w:color w:val="auto"/>
        </w:rPr>
      </w:pPr>
    </w:p>
    <w:p>
      <w:pPr>
        <w:ind w:left="420" w:right="20" w:hanging="212"/>
        <w:spacing w:after="0" w:line="26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27, 2026, declared quarterly cash dividends of $0.51563, $0.50, and $0.665952 per share on our Series A, Series B, and Series C Preferred Stock, respectively, payable on June 17, 2026 to preferred shareholders of record on May 29,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invites stockholders, prospective stockholders, and analysts to participate in MITT’s first quarter earnings conference call on Wednesday, April 29, 2026 at 8:30 a.m. Eastern Time.</w:t>
      </w:r>
    </w:p>
    <w:p>
      <w:pPr>
        <w:spacing w:after="0" w:line="1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To participate in the call by telephone, please dial (800) 274-8461 at least five minutes prior to the start time. International callers should dial (203) 518-9814. The Conference ID is MITTQ126. To listen to the live webcast of the conference call, please go to https://event.on24.com/wcc/r/5302841/31918301826EBF67096CFE9F82ADCD5E and register using the same Conference ID.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issued an earnings presentation detailing its first quarter 2026 financial results, which is available on the Company’s website, www.mitt.tpg.com, under "Presentations" in the "News &amp; Presentations" section.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097"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auto"/>
        </w:rPr>
        <w:t>For those unable to listen to the live call, an audio replay will be available on April 29, 2026 through 9:00 a.m. Eastern Time on May 29, 2026. To access the replay, please go to the Company’s website at www.mitt.tpg.com.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TPG MORTGAGE INVESTMENT TRUST, INC.</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TPG Mortgage Investment Trust, Inc. is a residential mortgage REIT with a focus on investing in a diversified risk-adjusted portfolio of residential mortgage-related assets in the U.S. mortgage market. The Company is externally managed and advised by AG REIT Management, LLC, an affiliate of TPG Inc. (NASDAQ: TPG).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 information can be found on the Company’s website at www.mitt.tpg.com.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This press release includes "forward-looking statements" within the meaning of Section 27A of the Securities Act of 1933, as amended, and Section 21E of the Securities Exchange Act of 1934, as amended. The Company intends such statements to be covered by the safe harbor provisions for forward-looking statements contained in the Private Securities Litigation Reform Act of 1995 and includes this statement for purposes of complying with the safe harbor provisions. Words such as "expects," "endeavor," "anticipates," "intends," "plans," "believes," "seeks," "estimates," "will," "should," "may," "projects," "could," "estimates," "continue" or variations of such words and other similar expressions are intended to identify such forward-looking statements, which generally are not historical in nature, but not all forward-looking statements include such identifying words. Forward-looking statements are based on our beliefs, assumptions and expectations of our future operations, business strategies, performance, financial condition, liquidity and prospects, taking into account information currently available to us, and are not guarantees of future performance. Forward-looking statements regarding the Company include, but are not limited to, the Company’s leverage profile, the Company’s ability to consistently rotate capital into higher-returning residential investments, the ability to scale profitability at Arc Home, whether the Company’s earnings will continue to support its dividend, the Company’s dividend levels, and whether the Company is well positioned to drive increased earnings power. These forward-looking statements are subject to various risks and uncertainties. Accordingly, there are or will be important factors that could cause actual outcomes or results to differ materially from those indicated in these statements. The Company believes these factors include, without limitation, changes in general economic or market conditions, including changes in inflation, tariffs, interest rates and the fair value of our assets; changes in government regulations affecting our business; the Company’s ability to grow its residential loan portfolio; changes in prepayment rates and mortgage default rates on the Company’s assets; financing needs and arrangements; and the risk factors contained in the Company’s filings with the Securities and Exchange Commission ("SEC"), including those described under the headings "Forward-Looking Statements" and "Risk Factors" in the Company’s Annual Report on Form 10-K for the fiscal year ended December 31, 2025 and in other reports and documents filed by the Company with the SEC from time to time, which are accessible on the SEC's website, http://www.sec.gov/. Moreover, other risks and uncertainties of which the Company is not currently aware may also affect the Company’s forward-looking statements and may cause actual results and the timing of events to differ materially from those anticipated. The forward-looking statements made in this press release are made only as of the date of this press release or as of the dates indicated in the forward-looking statements, even if they are subsequently made available by the Company on its website or otherwise. The Company undertakes no obligation to update or supplement any forward-looking statements to reflect actual results, new information, future events, changes in its expectations or other circumstances that exist after the date as of which the forward-looking statements were made, except as required by law. All financial information in this press release is as of March 31, 2026, unless otherwise indicated.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This press release contains EAD and Economic Leverage Ratio, non-GAAP financial measures. Our presentation of these measures may not be comparable to similarly-titled measures of other companies, who may use different calculations. These non-GAAP measures should not be considered a substitute for, or superior to, the financial measures calculated in accordance with GAAP. Our GAAP financial results and the reconciliations from these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939" w:right="299" w:bottom="1440" w:gutter="0" w:footer="0" w:header="0"/>
        </w:sectPr>
      </w:pPr>
    </w:p>
    <w:bookmarkStart w:id="5" w:name="page6"/>
    <w:bookmarkEnd w:id="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Earnings Available for Distribution</w:t>
      </w:r>
      <w:r>
        <w:rPr>
          <w:rFonts w:ascii="Times New Roman" w:cs="Times New Roman" w:eastAsia="Times New Roman" w:hAnsi="Times New Roman"/>
          <w:sz w:val="15"/>
          <w:szCs w:val="15"/>
          <w:b w:val="1"/>
          <w:bCs w:val="1"/>
          <w:color w:val="auto"/>
          <w:vertAlign w:val="superscript"/>
        </w:rPr>
        <w:t>(4)</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reconciliation of GAAP Net Income/(loss) available to common stockholders to EAD is set forth below (in thousands, except per share data).</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3"/>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98"/>
              </w:rPr>
              <w:t>Three Months Ended March 31, 2026</w:t>
            </w:r>
          </w:p>
        </w:tc>
        <w:tc>
          <w:tcPr>
            <w:tcW w:w="440" w:type="dxa"/>
            <w:vAlign w:val="bottom"/>
            <w:tcBorders>
              <w:bottom w:val="single" w:sz="8" w:color="auto"/>
            </w:tcBorders>
          </w:tcPr>
          <w:p>
            <w:pPr>
              <w:spacing w:after="0"/>
              <w:rPr>
                <w:sz w:val="12"/>
                <w:szCs w:val="12"/>
                <w:color w:val="auto"/>
              </w:rPr>
            </w:pPr>
          </w:p>
        </w:tc>
      </w:tr>
      <w:tr>
        <w:trPr>
          <w:trHeight w:val="135"/>
        </w:trPr>
        <w:tc>
          <w:tcPr>
            <w:tcW w:w="70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106"/>
              <w:spacing w:after="0" w:line="135" w:lineRule="exact"/>
              <w:rPr>
                <w:sz w:val="20"/>
                <w:szCs w:val="20"/>
                <w:color w:val="auto"/>
              </w:rPr>
            </w:pPr>
            <w:r>
              <w:rPr>
                <w:rFonts w:ascii="Times New Roman" w:cs="Times New Roman" w:eastAsia="Times New Roman" w:hAnsi="Times New Roman"/>
                <w:sz w:val="11"/>
                <w:szCs w:val="11"/>
                <w:b w:val="1"/>
                <w:bCs w:val="1"/>
                <w:color w:val="auto"/>
              </w:rPr>
              <w:t>Per Diluted Share</w:t>
            </w:r>
            <w:r>
              <w:rPr>
                <w:rFonts w:ascii="Times New Roman" w:cs="Times New Roman" w:eastAsia="Times New Roman" w:hAnsi="Times New Roman"/>
                <w:sz w:val="14"/>
                <w:szCs w:val="14"/>
                <w:b w:val="1"/>
                <w:bCs w:val="1"/>
                <w:color w:val="auto"/>
                <w:vertAlign w:val="superscript"/>
              </w:rPr>
              <w:t>(3)</w:t>
            </w:r>
          </w:p>
        </w:tc>
        <w:tc>
          <w:tcPr>
            <w:tcW w:w="440" w:type="dxa"/>
            <w:vAlign w:val="bottom"/>
            <w:tcBorders>
              <w:bottom w:val="single" w:sz="8" w:color="auto"/>
            </w:tcBorders>
          </w:tcPr>
          <w:p>
            <w:pPr>
              <w:spacing w:after="0"/>
              <w:rPr>
                <w:sz w:val="11"/>
                <w:szCs w:val="11"/>
                <w:color w:val="auto"/>
              </w:rPr>
            </w:pPr>
          </w:p>
        </w:tc>
      </w:tr>
      <w:tr>
        <w:trPr>
          <w:trHeight w:val="13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Income/(loss) available to common stockholders</w:t>
            </w:r>
          </w:p>
        </w:tc>
        <w:tc>
          <w:tcPr>
            <w:tcW w:w="126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(8,715)</w:t>
            </w: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15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7"/>
              </w:rPr>
              <w:t>(0.27)</w:t>
            </w:r>
          </w:p>
        </w:tc>
      </w:tr>
      <w:tr>
        <w:trPr>
          <w:trHeight w:val="142"/>
        </w:trPr>
        <w:tc>
          <w:tcPr>
            <w:tcW w:w="7000" w:type="dxa"/>
            <w:vAlign w:val="bottom"/>
          </w:tcPr>
          <w:p>
            <w:pPr>
              <w:spacing w:after="0"/>
              <w:rPr>
                <w:sz w:val="20"/>
                <w:szCs w:val="20"/>
                <w:color w:val="auto"/>
              </w:rPr>
            </w:pPr>
            <w:r>
              <w:rPr>
                <w:rFonts w:ascii="Times New Roman" w:cs="Times New Roman" w:eastAsia="Times New Roman" w:hAnsi="Times New Roman"/>
                <w:sz w:val="11"/>
                <w:szCs w:val="11"/>
                <w:color w:val="auto"/>
              </w:rPr>
              <w:t>Add (Deduct):</w:t>
            </w: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realized (gain)/loss</w:t>
            </w: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0.00</w:t>
            </w:r>
          </w:p>
        </w:tc>
      </w:tr>
      <w:tr>
        <w:trPr>
          <w:trHeight w:val="142"/>
        </w:trPr>
        <w:tc>
          <w:tcPr>
            <w:tcW w:w="7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unrealized (gain)/loss</w:t>
            </w:r>
          </w:p>
        </w:tc>
        <w:tc>
          <w:tcPr>
            <w:tcW w:w="1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16,460</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3"/>
              </w:rPr>
              <w:t>0.52</w:t>
            </w:r>
          </w:p>
        </w:tc>
      </w:tr>
      <w:tr>
        <w:trPr>
          <w:trHeight w:val="146"/>
        </w:trPr>
        <w:tc>
          <w:tcPr>
            <w:tcW w:w="7000" w:type="dxa"/>
            <w:vAlign w:val="bottom"/>
            <w:shd w:val="clear" w:color="auto" w:fill="CCEEFF"/>
          </w:tcPr>
          <w:p>
            <w:pPr>
              <w:ind w:left="220"/>
              <w:spacing w:after="0" w:line="146" w:lineRule="exact"/>
              <w:rPr>
                <w:sz w:val="20"/>
                <w:szCs w:val="20"/>
                <w:color w:val="auto"/>
              </w:rPr>
            </w:pPr>
            <w:r>
              <w:rPr>
                <w:rFonts w:ascii="Times New Roman" w:cs="Times New Roman" w:eastAsia="Times New Roman" w:hAnsi="Times New Roman"/>
                <w:sz w:val="11"/>
                <w:szCs w:val="11"/>
                <w:color w:val="auto"/>
              </w:rPr>
              <w:t>Transaction related expenses</w:t>
            </w:r>
            <w:r>
              <w:rPr>
                <w:rFonts w:ascii="Times New Roman" w:cs="Times New Roman" w:eastAsia="Times New Roman" w:hAnsi="Times New Roman"/>
                <w:sz w:val="14"/>
                <w:szCs w:val="14"/>
                <w:color w:val="auto"/>
                <w:vertAlign w:val="superscript"/>
              </w:rPr>
              <w:t>(a)</w:t>
            </w: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0.02</w:t>
            </w:r>
          </w:p>
        </w:tc>
      </w:tr>
      <w:tr>
        <w:trPr>
          <w:trHeight w:val="142"/>
        </w:trPr>
        <w:tc>
          <w:tcPr>
            <w:tcW w:w="7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Equity in (earnings)/loss from affiliates</w:t>
            </w:r>
          </w:p>
        </w:tc>
        <w:tc>
          <w:tcPr>
            <w:tcW w:w="1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7"/>
              </w:rPr>
              <w:t>(0.06)</w:t>
            </w:r>
          </w:p>
        </w:tc>
      </w:tr>
      <w:tr>
        <w:trPr>
          <w:trHeight w:val="146"/>
        </w:trPr>
        <w:tc>
          <w:tcPr>
            <w:tcW w:w="7000" w:type="dxa"/>
            <w:vAlign w:val="bottom"/>
            <w:shd w:val="clear" w:color="auto" w:fill="CCEEFF"/>
          </w:tcPr>
          <w:p>
            <w:pPr>
              <w:ind w:left="220"/>
              <w:spacing w:after="0" w:line="146" w:lineRule="exact"/>
              <w:rPr>
                <w:sz w:val="20"/>
                <w:szCs w:val="20"/>
                <w:color w:val="auto"/>
              </w:rPr>
            </w:pPr>
            <w:r>
              <w:rPr>
                <w:rFonts w:ascii="Times New Roman" w:cs="Times New Roman" w:eastAsia="Times New Roman" w:hAnsi="Times New Roman"/>
                <w:sz w:val="11"/>
                <w:szCs w:val="11"/>
                <w:color w:val="auto"/>
              </w:rPr>
              <w:t>EAD from equity method investments</w:t>
            </w:r>
            <w:r>
              <w:rPr>
                <w:rFonts w:ascii="Times New Roman" w:cs="Times New Roman" w:eastAsia="Times New Roman" w:hAnsi="Times New Roman"/>
                <w:sz w:val="14"/>
                <w:szCs w:val="14"/>
                <w:color w:val="auto"/>
                <w:vertAlign w:val="superscript"/>
              </w:rPr>
              <w:t>(b),(c),(d)</w:t>
            </w:r>
          </w:p>
        </w:tc>
        <w:tc>
          <w:tcPr>
            <w:tcW w:w="1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1,608</w:t>
            </w:r>
          </w:p>
        </w:tc>
        <w:tc>
          <w:tcPr>
            <w:tcW w:w="80" w:type="dxa"/>
            <w:vAlign w:val="bottom"/>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0.05</w:t>
            </w:r>
          </w:p>
        </w:tc>
      </w:tr>
      <w:tr>
        <w:trPr>
          <w:trHeight w:val="129"/>
        </w:trPr>
        <w:tc>
          <w:tcPr>
            <w:tcW w:w="7000" w:type="dxa"/>
            <w:vAlign w:val="bottom"/>
          </w:tcPr>
          <w:p>
            <w:pPr>
              <w:spacing w:after="0"/>
              <w:rPr>
                <w:sz w:val="20"/>
                <w:szCs w:val="20"/>
                <w:color w:val="auto"/>
              </w:rPr>
            </w:pPr>
            <w:r>
              <w:rPr>
                <w:rFonts w:ascii="Times New Roman" w:cs="Times New Roman" w:eastAsia="Times New Roman" w:hAnsi="Times New Roman"/>
                <w:sz w:val="11"/>
                <w:szCs w:val="11"/>
                <w:color w:val="auto"/>
              </w:rPr>
              <w:t>Earnings available for distribution</w:t>
            </w:r>
          </w:p>
        </w:tc>
        <w:tc>
          <w:tcPr>
            <w:tcW w:w="1260" w:type="dxa"/>
            <w:vAlign w:val="bottom"/>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8,127</w:t>
            </w:r>
          </w:p>
        </w:tc>
        <w:tc>
          <w:tcPr>
            <w:tcW w:w="80" w:type="dxa"/>
            <w:vAlign w:val="bottom"/>
          </w:tcPr>
          <w:p>
            <w:pPr>
              <w:spacing w:after="0"/>
              <w:rPr>
                <w:sz w:val="11"/>
                <w:szCs w:val="11"/>
                <w:color w:val="auto"/>
              </w:rPr>
            </w:pPr>
          </w:p>
        </w:tc>
        <w:tc>
          <w:tcPr>
            <w:tcW w:w="1680" w:type="dxa"/>
            <w:vAlign w:val="bottom"/>
          </w:tcPr>
          <w:p>
            <w:pPr>
              <w:jc w:val="right"/>
              <w:ind w:right="15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3"/>
              </w:rPr>
              <w:t>0.26</w:t>
            </w:r>
          </w:p>
        </w:tc>
      </w:tr>
    </w:tbl>
    <w:p>
      <w:pPr>
        <w:spacing w:after="0" w:line="58" w:lineRule="exact"/>
        <w:rPr>
          <w:sz w:val="20"/>
          <w:szCs w:val="20"/>
          <w:color w:val="auto"/>
        </w:rPr>
      </w:pPr>
    </w:p>
    <w:p>
      <w:pPr>
        <w:ind w:left="8" w:hanging="8"/>
        <w:spacing w:after="0" w:line="262" w:lineRule="auto"/>
        <w:tabs>
          <w:tab w:leader="none" w:pos="155"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following table presents additional detail related to transaction related expenses excluded from EAD (in thousands). The interest expense line item relates to the amortization of deferred financing costs and the income tax expense line item relates to taxes incurred on items excluded from EAD.</w:t>
      </w:r>
    </w:p>
    <w:p>
      <w:pPr>
        <w:spacing w:after="0" w:line="1" w:lineRule="exact"/>
        <w:rPr>
          <w:sz w:val="20"/>
          <w:szCs w:val="20"/>
          <w:color w:val="auto"/>
        </w:rPr>
      </w:pPr>
    </w:p>
    <w:tbl>
      <w:tblPr>
        <w:tblLayout w:type="fixed"/>
        <w:tblInd w:w="2228" w:type="dxa"/>
        <w:tblCellMar>
          <w:top w:w="0" w:type="dxa"/>
          <w:left w:w="0" w:type="dxa"/>
          <w:bottom w:w="0" w:type="dxa"/>
          <w:right w:w="0" w:type="dxa"/>
        </w:tblCellMar>
      </w:tblPr>
      <w:tr>
        <w:trPr>
          <w:trHeight w:val="14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 line item:</w:t>
            </w:r>
          </w:p>
        </w:tc>
        <w:tc>
          <w:tcPr>
            <w:tcW w:w="1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r>
      <w:tr>
        <w:trPr>
          <w:trHeight w:val="135"/>
        </w:trPr>
        <w:tc>
          <w:tcPr>
            <w:tcW w:w="4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Transaction related expenses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w:t>
            </w:r>
          </w:p>
        </w:tc>
      </w:tr>
      <w:tr>
        <w:trPr>
          <w:trHeight w:val="142"/>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160" w:type="dxa"/>
            <w:vAlign w:val="bottom"/>
          </w:tcPr>
          <w:p>
            <w:pPr>
              <w:spacing w:after="0"/>
              <w:rPr>
                <w:sz w:val="12"/>
                <w:szCs w:val="1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r>
      <w:tr>
        <w:trPr>
          <w:trHeight w:val="14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Income tax expense</w:t>
            </w:r>
          </w:p>
        </w:tc>
        <w:tc>
          <w:tcPr>
            <w:tcW w:w="160" w:type="dxa"/>
            <w:vAlign w:val="bottom"/>
            <w:tcBorders>
              <w:bottom w:val="single" w:sz="8" w:color="auto"/>
            </w:tcBorders>
            <w:shd w:val="clear" w:color="auto" w:fill="CCEEFF"/>
          </w:tcPr>
          <w:p>
            <w:pPr>
              <w:spacing w:after="0"/>
              <w:rPr>
                <w:sz w:val="12"/>
                <w:szCs w:val="1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29"/>
        </w:trPr>
        <w:tc>
          <w:tcPr>
            <w:tcW w:w="462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Transaction related expenses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r>
    </w:tbl>
    <w:p>
      <w:pPr>
        <w:spacing w:after="0" w:line="58" w:lineRule="exact"/>
        <w:rPr>
          <w:sz w:val="20"/>
          <w:szCs w:val="20"/>
          <w:color w:val="auto"/>
        </w:rPr>
      </w:pPr>
    </w:p>
    <w:p>
      <w:pPr>
        <w:ind w:left="8" w:hanging="8"/>
        <w:spacing w:after="0" w:line="252" w:lineRule="auto"/>
        <w:tabs>
          <w:tab w:leader="none" w:pos="166"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months ended March 31, 2026, $(0.1) million of realized and unrealized changes in the fair value of Arc Home's mortgage servicing rights, transaction related expenses, and other asset impairments, net of related tax expense or benefit, were excluded from EAD.</w:t>
      </w:r>
    </w:p>
    <w:p>
      <w:pPr>
        <w:ind w:left="148" w:hanging="148"/>
        <w:spacing w:after="0"/>
        <w:tabs>
          <w:tab w:leader="none" w:pos="148"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months ended March 31, 2026, $1.1 million of unrealized changes in the fair value of our investment in Arc Home were excluded from EAD.</w:t>
      </w:r>
    </w:p>
    <w:p>
      <w:pPr>
        <w:spacing w:after="0" w:line="6" w:lineRule="exact"/>
        <w:rPr>
          <w:rFonts w:ascii="Times New Roman" w:cs="Times New Roman" w:eastAsia="Times New Roman" w:hAnsi="Times New Roman"/>
          <w:sz w:val="11"/>
          <w:szCs w:val="11"/>
          <w:color w:val="auto"/>
        </w:rPr>
      </w:pPr>
    </w:p>
    <w:p>
      <w:pPr>
        <w:ind w:left="8" w:hanging="8"/>
        <w:spacing w:after="0" w:line="259" w:lineRule="auto"/>
        <w:tabs>
          <w:tab w:leader="none" w:pos="169"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EAD recognized by AG Arc does not include our portion of gains recorded by Arc Home in connection with the sale of residential mortgage loans to us. During the three months ended March 31, 2026, we eliminated $6 thousand of intra-entity profits recognized by Arc Home, and also decreased the cost basis of the underlying loans we purchased by the same amount.</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Economic Leverage Ratio</w:t>
      </w:r>
      <w:r>
        <w:rPr>
          <w:rFonts w:ascii="Times New Roman" w:cs="Times New Roman" w:eastAsia="Times New Roman" w:hAnsi="Times New Roman"/>
          <w:sz w:val="15"/>
          <w:szCs w:val="15"/>
          <w:b w:val="1"/>
          <w:bCs w:val="1"/>
          <w:color w:val="auto"/>
          <w:vertAlign w:val="superscript"/>
        </w:rPr>
        <w:t>(8)</w:t>
      </w:r>
    </w:p>
    <w:p>
      <w:pPr>
        <w:spacing w:after="0" w:line="139"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calculation in the table below divides GAAP Leverage and Economic Leverage by our GAAP stockholders’ equity to derive our leverage ratios. The following table presents a reconciliation of our GAAP Leverage ratio to our Economic Leverage ratio ($ in thousands).</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Leverage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2020" w:type="dxa"/>
            <w:vAlign w:val="bottom"/>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Leverage Ratio</w:t>
            </w:r>
          </w:p>
        </w:tc>
      </w:tr>
      <w:tr>
        <w:trPr>
          <w:trHeight w:val="135"/>
        </w:trPr>
        <w:tc>
          <w:tcPr>
            <w:tcW w:w="498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Securitized debt, at fair value</w:t>
            </w:r>
            <w:r>
              <w:rPr>
                <w:rFonts w:ascii="Times New Roman" w:cs="Times New Roman" w:eastAsia="Times New Roman" w:hAnsi="Times New Roman"/>
                <w:sz w:val="14"/>
                <w:szCs w:val="14"/>
                <w:color w:val="auto"/>
                <w:vertAlign w:val="superscript"/>
              </w:rPr>
              <w:t>(a)</w:t>
            </w: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ind w:right="12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6,749,708</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r>
      <w:tr>
        <w:trPr>
          <w:trHeight w:val="144"/>
        </w:trPr>
        <w:tc>
          <w:tcPr>
            <w:tcW w:w="50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Financing arrangements</w:t>
            </w:r>
            <w:r>
              <w:rPr>
                <w:rFonts w:ascii="Times New Roman" w:cs="Times New Roman" w:eastAsia="Times New Roman" w:hAnsi="Times New Roman"/>
                <w:sz w:val="14"/>
                <w:szCs w:val="14"/>
                <w:color w:val="auto"/>
                <w:vertAlign w:val="superscript"/>
              </w:rPr>
              <w:t>(b)</w:t>
            </w:r>
          </w:p>
        </w:tc>
        <w:tc>
          <w:tcPr>
            <w:tcW w:w="1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850,231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4"/>
        </w:trPr>
        <w:tc>
          <w:tcPr>
            <w:tcW w:w="50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Senior unsecured notes</w:t>
            </w:r>
            <w:r>
              <w:rPr>
                <w:rFonts w:ascii="Times New Roman" w:cs="Times New Roman" w:eastAsia="Times New Roman" w:hAnsi="Times New Roman"/>
                <w:sz w:val="14"/>
                <w:szCs w:val="14"/>
                <w:color w:val="auto"/>
                <w:vertAlign w:val="superscript"/>
              </w:rPr>
              <w:t>(b)</w:t>
            </w:r>
          </w:p>
        </w:tc>
        <w:tc>
          <w:tcPr>
            <w:tcW w:w="1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96,655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42"/>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Restricted cash posted on Financing arrangements</w:t>
            </w:r>
          </w:p>
        </w:tc>
        <w:tc>
          <w:tcPr>
            <w:tcW w:w="1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(7,964)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 on unsettled trades</w:t>
            </w:r>
          </w:p>
        </w:tc>
        <w:tc>
          <w:tcPr>
            <w:tcW w:w="13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tcBorders>
              <w:bottom w:val="single" w:sz="8" w:color="auto"/>
            </w:tcBorders>
            <w:shd w:val="clear" w:color="auto" w:fill="CCEEFF"/>
          </w:tcPr>
          <w:p>
            <w:pPr>
              <w:spacing w:after="0"/>
              <w:rPr>
                <w:sz w:val="12"/>
                <w:szCs w:val="12"/>
                <w:color w:val="auto"/>
              </w:rPr>
            </w:pPr>
          </w:p>
        </w:tc>
      </w:tr>
      <w:tr>
        <w:trPr>
          <w:trHeight w:val="131"/>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GAAP Leverage</w:t>
            </w:r>
          </w:p>
        </w:tc>
        <w:tc>
          <w:tcPr>
            <w:tcW w:w="1360" w:type="dxa"/>
            <w:vAlign w:val="bottom"/>
          </w:tcPr>
          <w:p>
            <w:pPr>
              <w:jc w:val="right"/>
              <w:ind w:right="12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7,688,763</w:t>
            </w:r>
          </w:p>
        </w:tc>
        <w:tc>
          <w:tcPr>
            <w:tcW w:w="100" w:type="dxa"/>
            <w:vAlign w:val="bottom"/>
          </w:tcPr>
          <w:p>
            <w:pPr>
              <w:spacing w:after="0"/>
              <w:rPr>
                <w:sz w:val="11"/>
                <w:szCs w:val="11"/>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544,396</w:t>
            </w:r>
          </w:p>
        </w:tc>
        <w:tc>
          <w:tcPr>
            <w:tcW w:w="100" w:type="dxa"/>
            <w:vAlign w:val="bottom"/>
          </w:tcPr>
          <w:p>
            <w:pPr>
              <w:spacing w:after="0"/>
              <w:rPr>
                <w:sz w:val="11"/>
                <w:szCs w:val="1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14.1x</w:t>
            </w:r>
          </w:p>
        </w:tc>
      </w:tr>
      <w:tr>
        <w:trPr>
          <w:trHeight w:val="146"/>
        </w:trPr>
        <w:tc>
          <w:tcPr>
            <w:tcW w:w="506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Non-recourse financing arrangements</w:t>
            </w:r>
            <w:r>
              <w:rPr>
                <w:rFonts w:ascii="Times New Roman" w:cs="Times New Roman" w:eastAsia="Times New Roman" w:hAnsi="Times New Roman"/>
                <w:sz w:val="14"/>
                <w:szCs w:val="14"/>
                <w:color w:val="auto"/>
                <w:vertAlign w:val="superscript"/>
              </w:rPr>
              <w:t>(a)</w:t>
            </w:r>
          </w:p>
        </w:tc>
        <w:tc>
          <w:tcPr>
            <w:tcW w:w="13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(6,749,708)</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tcBorders>
              <w:bottom w:val="single" w:sz="8" w:color="auto"/>
            </w:tcBorders>
            <w:shd w:val="clear" w:color="auto" w:fill="CCEEFF"/>
          </w:tcPr>
          <w:p>
            <w:pPr>
              <w:spacing w:after="0"/>
              <w:rPr>
                <w:sz w:val="12"/>
                <w:szCs w:val="12"/>
                <w:color w:val="auto"/>
              </w:rPr>
            </w:pPr>
          </w:p>
        </w:tc>
      </w:tr>
      <w:tr>
        <w:trPr>
          <w:trHeight w:val="129"/>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Economic Leverage</w:t>
            </w:r>
          </w:p>
        </w:tc>
        <w:tc>
          <w:tcPr>
            <w:tcW w:w="1360" w:type="dxa"/>
            <w:vAlign w:val="bottom"/>
          </w:tcPr>
          <w:p>
            <w:pPr>
              <w:jc w:val="right"/>
              <w:ind w:right="12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939,055</w:t>
            </w:r>
          </w:p>
        </w:tc>
        <w:tc>
          <w:tcPr>
            <w:tcW w:w="100" w:type="dxa"/>
            <w:vAlign w:val="bottom"/>
          </w:tcPr>
          <w:p>
            <w:pPr>
              <w:spacing w:after="0"/>
              <w:rPr>
                <w:sz w:val="11"/>
                <w:szCs w:val="11"/>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544,396</w:t>
            </w:r>
          </w:p>
        </w:tc>
        <w:tc>
          <w:tcPr>
            <w:tcW w:w="100" w:type="dxa"/>
            <w:vAlign w:val="bottom"/>
          </w:tcPr>
          <w:p>
            <w:pPr>
              <w:spacing w:after="0"/>
              <w:rPr>
                <w:sz w:val="11"/>
                <w:szCs w:val="1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1.7x</w:t>
            </w:r>
          </w:p>
        </w:tc>
      </w:tr>
    </w:tbl>
    <w:p>
      <w:pPr>
        <w:spacing w:after="0" w:line="58" w:lineRule="exact"/>
        <w:rPr>
          <w:sz w:val="20"/>
          <w:szCs w:val="20"/>
          <w:color w:val="auto"/>
        </w:rPr>
      </w:pPr>
    </w:p>
    <w:p>
      <w:pPr>
        <w:ind w:left="148" w:hanging="148"/>
        <w:spacing w:after="0"/>
        <w:tabs>
          <w:tab w:leader="none" w:pos="148"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Securitized debt, at fair value is non-recourse to us.</w:t>
      </w:r>
    </w:p>
    <w:p>
      <w:pPr>
        <w:spacing w:after="0" w:line="11" w:lineRule="exact"/>
        <w:rPr>
          <w:rFonts w:ascii="Times New Roman" w:cs="Times New Roman" w:eastAsia="Times New Roman" w:hAnsi="Times New Roman"/>
          <w:sz w:val="11"/>
          <w:szCs w:val="11"/>
          <w:color w:val="auto"/>
        </w:rPr>
      </w:pPr>
    </w:p>
    <w:p>
      <w:pPr>
        <w:ind w:left="148" w:hanging="148"/>
        <w:spacing w:after="0"/>
        <w:tabs>
          <w:tab w:leader="none" w:pos="148"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Financing arrangements and senior unsecured notes are recourse to us.</w:t>
      </w:r>
    </w:p>
    <w:p>
      <w:pPr>
        <w:spacing w:after="0" w:line="200" w:lineRule="exact"/>
        <w:rPr>
          <w:sz w:val="20"/>
          <w:szCs w:val="20"/>
          <w:color w:val="auto"/>
        </w:rPr>
      </w:pP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773"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b w:val="1"/>
          <w:bCs w:val="1"/>
          <w:color w:val="auto"/>
        </w:rPr>
        <w:t>Footnotes</w:t>
      </w:r>
    </w:p>
    <w:p>
      <w:pPr>
        <w:spacing w:after="0" w:line="21" w:lineRule="exact"/>
        <w:rPr>
          <w:sz w:val="20"/>
          <w:szCs w:val="20"/>
          <w:color w:val="auto"/>
        </w:rPr>
      </w:pPr>
    </w:p>
    <w:p>
      <w:pPr>
        <w:ind w:left="268" w:hanging="268"/>
        <w:spacing w:after="0"/>
        <w:tabs>
          <w:tab w:leader="none" w:pos="2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Book value is calculated using stockholders’ equity less the liquidation preference of our cumulative redeemable preferred stock of $228.0 million.</w:t>
      </w:r>
    </w:p>
    <w:p>
      <w:pPr>
        <w:spacing w:after="0" w:line="6" w:lineRule="exact"/>
        <w:rPr>
          <w:rFonts w:ascii="Times New Roman" w:cs="Times New Roman" w:eastAsia="Times New Roman" w:hAnsi="Times New Roman"/>
          <w:sz w:val="12"/>
          <w:szCs w:val="12"/>
          <w:color w:val="auto"/>
        </w:rPr>
      </w:pPr>
    </w:p>
    <w:p>
      <w:pPr>
        <w:ind w:left="248" w:hanging="248"/>
        <w:spacing w:after="0"/>
        <w:tabs>
          <w:tab w:leader="none" w:pos="24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economic return on equity represents the change in book value per share during the period, plus the common dividends per share declared over the period, divided by book value per share from the prior period.</w:t>
      </w:r>
    </w:p>
    <w:p>
      <w:pPr>
        <w:spacing w:after="0" w:line="6"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per share figures are calculated using diluted weighted average outstanding shares in accordance with GAAP.</w:t>
      </w:r>
    </w:p>
    <w:p>
      <w:pPr>
        <w:spacing w:after="0" w:line="6" w:lineRule="exact"/>
        <w:rPr>
          <w:rFonts w:ascii="Times New Roman" w:cs="Times New Roman" w:eastAsia="Times New Roman" w:hAnsi="Times New Roman"/>
          <w:sz w:val="12"/>
          <w:szCs w:val="12"/>
          <w:color w:val="auto"/>
        </w:rPr>
      </w:pPr>
    </w:p>
    <w:p>
      <w:pPr>
        <w:jc w:val="both"/>
        <w:ind w:left="8" w:hanging="8"/>
        <w:spacing w:after="0" w:line="250" w:lineRule="auto"/>
        <w:tabs>
          <w:tab w:leader="none" w:pos="26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EAD, a non-GAAP financial measure, as Net Income/(loss) available to common stockholders excluding (i) (a) unrealized gains/(losses) on loans, real estate securities, derivatives and other investments, inclusive of our investment in AG Arc and Arc Home's net mortgage servicing rights, and (b) net realized gains/(losses) on the sale or termination of such instruments, (ii) any transaction related expenses incurred in connection with the acquisition, disposition, or securitization of our investments, (iii) the income tax effect on non-EAD income/(loss) items, and (iv) certain other nonrecurring gains or losses. Items (i) through (iv) above include any amount related to those items held in affiliated entities. EAD includes the net interest income and other income earned on our investments on a yield adjusted basis, including the net interest component of interest rate swaps, TBA dollar roll income/(loss), or any other investment activity that may earn or pay net interest or its economic equivalent. Additionally, EAD includes the net operating income/(loss) from Arc Home. Transaction related expenses are primarily comprised of costs incurred prior to or at the time of executing our securitizations and acquiring or disposing of residential mortgage loans. These costs are nonrecurring and may include underwriting fees, legal fees, diligence fees, and other similar transaction related expenses. Recurring expenses, such as servicing fees, custodial fees, trustee fees and other similar ongoing fees are not excluded from earnings available for distribution. Management considers the transaction related expenses and income taxes related to non-EAD income/(loss) items to be similar to realized losses incurred at the acquisition, disposition, or securitization of an asset and does not view them as being part of its core operations.</w:t>
      </w:r>
    </w:p>
    <w:p>
      <w:pPr>
        <w:spacing w:after="0" w:line="2" w:lineRule="exact"/>
        <w:rPr>
          <w:rFonts w:ascii="Times New Roman" w:cs="Times New Roman" w:eastAsia="Times New Roman" w:hAnsi="Times New Roman"/>
          <w:sz w:val="12"/>
          <w:szCs w:val="12"/>
          <w:color w:val="auto"/>
        </w:rPr>
      </w:pPr>
    </w:p>
    <w:p>
      <w:pPr>
        <w:jc w:val="both"/>
        <w:ind w:left="8" w:hanging="8"/>
        <w:spacing w:after="0" w:line="250" w:lineRule="auto"/>
        <w:tabs>
          <w:tab w:leader="none" w:pos="32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 Portfolio consists of Residential Investments, Agency RMBS, and Legacy WMC Commercial Investments, all of which are held at fair value. Our financing is inclusive of Securitized Debt, which is held at fair value, Financing Arrangements, and Senior Unsecured Notes. Throughout this press release where we disclose our Investment Portfolio and the related financing, we have presented this information inclusive of (i) securities owned through investments in affiliates that are accounted for under GAAP using the equity method and, where applicable, (ii) long positions in TBAs, which are accounted for as derivatives under GAAP. This press release excludes investments held through AG Arc LLC unless otherwise noted.</w:t>
      </w:r>
    </w:p>
    <w:p>
      <w:pPr>
        <w:spacing w:after="0" w:line="1"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interest margin is calculated by subtracting the weighted average cost of funds on our financing from the weighted average yield for our Investment Portfolio, which excludes cash held.</w:t>
      </w:r>
    </w:p>
    <w:p>
      <w:pPr>
        <w:spacing w:after="0" w:line="6" w:lineRule="exact"/>
        <w:rPr>
          <w:rFonts w:ascii="Times New Roman" w:cs="Times New Roman" w:eastAsia="Times New Roman" w:hAnsi="Times New Roman"/>
          <w:sz w:val="12"/>
          <w:szCs w:val="12"/>
          <w:color w:val="auto"/>
        </w:rPr>
      </w:pPr>
    </w:p>
    <w:p>
      <w:pPr>
        <w:ind w:left="288" w:hanging="288"/>
        <w:spacing w:after="0"/>
        <w:tabs>
          <w:tab w:leader="none" w:pos="28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invest in Arc Home LLC, a licensed mortgage originator, through AG Arc LLC, one of our equity method investees. Our investment in AG Arc LLC represents a 66.0% ownership interest as of March 31, 2026.</w:t>
      </w:r>
    </w:p>
    <w:p>
      <w:pPr>
        <w:spacing w:after="0" w:line="6" w:lineRule="exact"/>
        <w:rPr>
          <w:rFonts w:ascii="Times New Roman" w:cs="Times New Roman" w:eastAsia="Times New Roman" w:hAnsi="Times New Roman"/>
          <w:sz w:val="12"/>
          <w:szCs w:val="12"/>
          <w:color w:val="auto"/>
        </w:rPr>
      </w:pPr>
    </w:p>
    <w:p>
      <w:pPr>
        <w:jc w:val="both"/>
        <w:ind w:left="8" w:hanging="8"/>
        <w:spacing w:after="0" w:line="250" w:lineRule="auto"/>
        <w:tabs>
          <w:tab w:leader="none" w:pos="27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GAAP Leverage as the sum of (1) Securitized debt, at fair value, (2) Financing arrangements, net of any restricted cash posted on such financing arrangements, (3) Senior Unsecured Notes, and (4) the amount payable on purchases that have not yet settled less the financing remaining on sales that have not yet settled. We define Economic Leverage, a non-GAAP financial measure, as the sum of our GAAP Leverage, exclusive of any fully non-recourse financing arrangements, and our net TBA position (at cost), if any. Our leverage does not include any financing utilized through AG Arc.</w:t>
      </w:r>
    </w:p>
    <w:p>
      <w:pPr>
        <w:jc w:val="both"/>
        <w:ind w:left="8" w:hanging="8"/>
        <w:spacing w:after="0" w:line="255" w:lineRule="auto"/>
        <w:tabs>
          <w:tab w:leader="none" w:pos="323"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liquidity includes $49.3 million of cash and cash equivalents, $50.0 million of available committed financing on certain Home Equity Loans, and $0.7 million of unencumbered Agency RMBS. As of March 31, 2026, we pledged Home Equity Loans with a fair value of $66.2 million and an unpaid principal balance of $63.7 million, in which we have no outstanding financing but have the ability to borrow at an advance rate of 87.5% of unpaid principal balance pledged as collateral. Of this available financing, $50 million is contractually 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935" w:right="299" w:bottom="144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70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701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5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695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2026-04-29T05:36:21Z</dcterms:created>
  <dcterms:modified xsi:type="dcterms:W3CDTF">2026-04-29T05:36:21Z</dcterms:modified>
</cp:coreProperties>
</file>